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September 21, 2020.</w:t>
      </w:r>
    </w:p>
    <w:p>
      <w:pPr>
        <w:spacing w:after="0" w:line="109"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333-248627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113030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Amendment No. 1</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to</w:t>
      </w:r>
    </w:p>
    <w:p>
      <w:pPr>
        <w:jc w:val="center"/>
        <w:ind w:right="-99"/>
        <w:spacing w:after="0"/>
        <w:rPr>
          <w:sz w:val="20"/>
          <w:szCs w:val="20"/>
          <w:color w:val="auto"/>
        </w:rPr>
      </w:pPr>
      <w:r>
        <w:rPr>
          <w:rFonts w:ascii="Arial" w:cs="Arial" w:eastAsia="Arial" w:hAnsi="Arial"/>
          <w:sz w:val="27"/>
          <w:szCs w:val="27"/>
          <w:b w:val="1"/>
          <w:bCs w:val="1"/>
          <w:color w:val="auto"/>
        </w:rPr>
        <w:t>FORM S-1</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PMV PHARMACEUTICALS, INC.</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tbl>
      <w:tblPr>
        <w:tblLayout w:type="fixed"/>
        <w:tblInd w:w="960" w:type="dxa"/>
        <w:tblCellMar>
          <w:top w:w="0" w:type="dxa"/>
          <w:left w:w="0" w:type="dxa"/>
          <w:bottom w:w="0" w:type="dxa"/>
          <w:right w:w="0" w:type="dxa"/>
        </w:tblCellMar>
      </w:tblP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right"/>
              <w:ind w:right="1688"/>
              <w:spacing w:after="0"/>
              <w:rPr>
                <w:sz w:val="20"/>
                <w:szCs w:val="20"/>
                <w:color w:val="auto"/>
              </w:rPr>
            </w:pPr>
            <w:r>
              <w:rPr>
                <w:rFonts w:ascii="Arial" w:cs="Arial" w:eastAsia="Arial" w:hAnsi="Arial"/>
                <w:sz w:val="14"/>
                <w:szCs w:val="14"/>
                <w:b w:val="1"/>
                <w:bCs w:val="1"/>
                <w:color w:val="auto"/>
              </w:rPr>
              <w:t>2834</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46-3218129</w:t>
            </w:r>
          </w:p>
        </w:tc>
      </w:tr>
      <w:tr>
        <w:trPr>
          <w:trHeight w:val="16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(Primary Standard Industrial</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Identification Number)</w:t>
            </w:r>
          </w:p>
        </w:tc>
      </w:tr>
      <w:tr>
        <w:trPr>
          <w:trHeight w:val="203"/>
        </w:trPr>
        <w:tc>
          <w:tcPr>
            <w:tcW w:w="2920" w:type="dxa"/>
            <w:vAlign w:val="bottom"/>
          </w:tcPr>
          <w:p>
            <w:pPr>
              <w:spacing w:after="0"/>
              <w:rPr>
                <w:sz w:val="17"/>
                <w:szCs w:val="17"/>
                <w:color w:val="auto"/>
              </w:rPr>
            </w:pP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8 Clarke Drive, Suite 3</w:t>
            </w:r>
          </w:p>
        </w:tc>
        <w:tc>
          <w:tcPr>
            <w:tcW w:w="2480" w:type="dxa"/>
            <w:vAlign w:val="bottom"/>
          </w:tcPr>
          <w:p>
            <w:pPr>
              <w:spacing w:after="0"/>
              <w:rPr>
                <w:sz w:val="17"/>
                <w:szCs w:val="17"/>
                <w:color w:val="auto"/>
              </w:rPr>
            </w:pPr>
          </w:p>
        </w:tc>
      </w:tr>
      <w:tr>
        <w:trPr>
          <w:trHeight w:val="162"/>
        </w:trPr>
        <w:tc>
          <w:tcPr>
            <w:tcW w:w="2920" w:type="dxa"/>
            <w:vAlign w:val="bottom"/>
          </w:tcPr>
          <w:p>
            <w:pPr>
              <w:spacing w:after="0"/>
              <w:rPr>
                <w:sz w:val="14"/>
                <w:szCs w:val="14"/>
                <w:color w:val="auto"/>
              </w:rPr>
            </w:pP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Cranbury, NJ 08512</w:t>
            </w:r>
          </w:p>
        </w:tc>
        <w:tc>
          <w:tcPr>
            <w:tcW w:w="2480" w:type="dxa"/>
            <w:vAlign w:val="bottom"/>
          </w:tcPr>
          <w:p>
            <w:pPr>
              <w:spacing w:after="0"/>
              <w:rPr>
                <w:sz w:val="14"/>
                <w:szCs w:val="14"/>
                <w:color w:val="auto"/>
              </w:rPr>
            </w:pPr>
          </w:p>
        </w:tc>
      </w:tr>
      <w:tr>
        <w:trPr>
          <w:trHeight w:val="202"/>
        </w:trPr>
        <w:tc>
          <w:tcPr>
            <w:tcW w:w="2920" w:type="dxa"/>
            <w:vAlign w:val="bottom"/>
          </w:tcPr>
          <w:p>
            <w:pPr>
              <w:spacing w:after="0"/>
              <w:rPr>
                <w:sz w:val="17"/>
                <w:szCs w:val="17"/>
                <w:color w:val="auto"/>
              </w:rPr>
            </w:pPr>
          </w:p>
        </w:tc>
        <w:tc>
          <w:tcPr>
            <w:tcW w:w="3780" w:type="dxa"/>
            <w:vAlign w:val="bottom"/>
          </w:tcPr>
          <w:p>
            <w:pPr>
              <w:jc w:val="right"/>
              <w:ind w:right="1348"/>
              <w:spacing w:after="0"/>
              <w:rPr>
                <w:sz w:val="20"/>
                <w:szCs w:val="20"/>
                <w:color w:val="auto"/>
              </w:rPr>
            </w:pPr>
            <w:r>
              <w:rPr>
                <w:rFonts w:ascii="Arial" w:cs="Arial" w:eastAsia="Arial" w:hAnsi="Arial"/>
                <w:sz w:val="14"/>
                <w:szCs w:val="14"/>
                <w:b w:val="1"/>
                <w:bCs w:val="1"/>
                <w:color w:val="auto"/>
              </w:rPr>
              <w:t>(609) 642-6670</w:t>
            </w:r>
          </w:p>
        </w:tc>
        <w:tc>
          <w:tcPr>
            <w:tcW w:w="2480" w:type="dxa"/>
            <w:vAlign w:val="bottom"/>
          </w:tcPr>
          <w:p>
            <w:pPr>
              <w:spacing w:after="0"/>
              <w:rPr>
                <w:sz w:val="17"/>
                <w:szCs w:val="17"/>
                <w:color w:val="auto"/>
              </w:rPr>
            </w:pPr>
          </w:p>
        </w:tc>
      </w:tr>
    </w:tbl>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David H. Mack, Ph.D.</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8 Clarke Drive, Suite 3</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Cranbury, NJ 08512</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(609) 642-6670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7" w:lineRule="exact"/>
        <w:rPr>
          <w:sz w:val="24"/>
          <w:szCs w:val="24"/>
          <w:color w:val="auto"/>
        </w:rPr>
      </w:pPr>
    </w:p>
    <w:tbl>
      <w:tblPr>
        <w:tblLayout w:type="fixed"/>
        <w:tblInd w:w="700" w:type="dxa"/>
        <w:tblCellMar>
          <w:top w:w="0" w:type="dxa"/>
          <w:left w:w="0" w:type="dxa"/>
          <w:bottom w:w="0" w:type="dxa"/>
          <w:right w:w="0" w:type="dxa"/>
        </w:tblCellMar>
      </w:tblPr>
      <w:tr>
        <w:trPr>
          <w:trHeight w:val="200"/>
        </w:trPr>
        <w:tc>
          <w:tcPr>
            <w:tcW w:w="3500" w:type="dxa"/>
            <w:vAlign w:val="bottom"/>
          </w:tcPr>
          <w:p>
            <w:pPr>
              <w:spacing w:after="0"/>
              <w:rPr>
                <w:sz w:val="17"/>
                <w:szCs w:val="17"/>
                <w:color w:val="auto"/>
              </w:rPr>
            </w:pPr>
          </w:p>
        </w:tc>
        <w:tc>
          <w:tcPr>
            <w:tcW w:w="3640" w:type="dxa"/>
            <w:vAlign w:val="bottom"/>
          </w:tcPr>
          <w:p>
            <w:pPr>
              <w:ind w:left="1080"/>
              <w:spacing w:after="0"/>
              <w:rPr>
                <w:sz w:val="20"/>
                <w:szCs w:val="20"/>
                <w:color w:val="auto"/>
              </w:rPr>
            </w:pPr>
            <w:r>
              <w:rPr>
                <w:rFonts w:ascii="Arial" w:cs="Arial" w:eastAsia="Arial" w:hAnsi="Arial"/>
                <w:sz w:val="14"/>
                <w:szCs w:val="14"/>
                <w:b w:val="1"/>
                <w:bCs w:val="1"/>
                <w:i w:val="1"/>
                <w:iCs w:val="1"/>
                <w:color w:val="auto"/>
              </w:rPr>
              <w:t>Copies to:</w:t>
            </w:r>
          </w:p>
        </w:tc>
        <w:tc>
          <w:tcPr>
            <w:tcW w:w="2480" w:type="dxa"/>
            <w:vAlign w:val="bottom"/>
          </w:tcPr>
          <w:p>
            <w:pPr>
              <w:spacing w:after="0"/>
              <w:rPr>
                <w:sz w:val="17"/>
                <w:szCs w:val="17"/>
                <w:color w:val="auto"/>
              </w:rPr>
            </w:pPr>
          </w:p>
        </w:tc>
      </w:tr>
      <w:tr>
        <w:trPr>
          <w:trHeight w:val="203"/>
        </w:trPr>
        <w:tc>
          <w:tcPr>
            <w:tcW w:w="3500" w:type="dxa"/>
            <w:vAlign w:val="bottom"/>
          </w:tcPr>
          <w:p>
            <w:pPr>
              <w:jc w:val="center"/>
              <w:ind w:right="748"/>
              <w:spacing w:after="0"/>
              <w:rPr>
                <w:sz w:val="20"/>
                <w:szCs w:val="20"/>
                <w:color w:val="auto"/>
              </w:rPr>
            </w:pPr>
            <w:r>
              <w:rPr>
                <w:rFonts w:ascii="Arial" w:cs="Arial" w:eastAsia="Arial" w:hAnsi="Arial"/>
                <w:sz w:val="14"/>
                <w:szCs w:val="14"/>
                <w:b w:val="1"/>
                <w:bCs w:val="1"/>
                <w:color w:val="auto"/>
              </w:rPr>
              <w:t>Kenneth A. Clark</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Winston Kung</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Brian Cuneo</w:t>
            </w:r>
          </w:p>
        </w:tc>
      </w:tr>
      <w:tr>
        <w:trPr>
          <w:trHeight w:val="162"/>
        </w:trPr>
        <w:tc>
          <w:tcPr>
            <w:tcW w:w="3500" w:type="dxa"/>
            <w:vAlign w:val="bottom"/>
          </w:tcPr>
          <w:p>
            <w:pPr>
              <w:jc w:val="center"/>
              <w:ind w:right="748"/>
              <w:spacing w:after="0"/>
              <w:rPr>
                <w:sz w:val="20"/>
                <w:szCs w:val="20"/>
                <w:color w:val="auto"/>
              </w:rPr>
            </w:pPr>
            <w:r>
              <w:rPr>
                <w:rFonts w:ascii="Arial" w:cs="Arial" w:eastAsia="Arial" w:hAnsi="Arial"/>
                <w:sz w:val="14"/>
                <w:szCs w:val="14"/>
                <w:b w:val="1"/>
                <w:bCs w:val="1"/>
                <w:color w:val="auto"/>
              </w:rPr>
              <w:t>Tony Jeffries</w:t>
            </w:r>
          </w:p>
        </w:tc>
        <w:tc>
          <w:tcPr>
            <w:tcW w:w="3640" w:type="dxa"/>
            <w:vAlign w:val="bottom"/>
          </w:tcPr>
          <w:p>
            <w:pPr>
              <w:jc w:val="center"/>
              <w:ind w:right="48"/>
              <w:spacing w:after="0"/>
              <w:rPr>
                <w:sz w:val="20"/>
                <w:szCs w:val="20"/>
                <w:color w:val="auto"/>
              </w:rPr>
            </w:pPr>
            <w:r>
              <w:rPr>
                <w:rFonts w:ascii="Arial" w:cs="Arial" w:eastAsia="Arial" w:hAnsi="Arial"/>
                <w:sz w:val="14"/>
                <w:szCs w:val="14"/>
                <w:b w:val="1"/>
                <w:bCs w:val="1"/>
                <w:color w:val="auto"/>
              </w:rPr>
              <w:t>Chief Operating Officer and</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Nathan Ajiashvili</w:t>
            </w:r>
          </w:p>
        </w:tc>
      </w:tr>
      <w:tr>
        <w:trPr>
          <w:trHeight w:val="16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Megan J. Baier</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Chief Financial Officer</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Richard Kim</w:t>
            </w:r>
          </w:p>
        </w:tc>
      </w:tr>
      <w:tr>
        <w:trPr>
          <w:trHeight w:val="162"/>
        </w:trPr>
        <w:tc>
          <w:tcPr>
            <w:tcW w:w="3500" w:type="dxa"/>
            <w:vAlign w:val="bottom"/>
          </w:tcPr>
          <w:p>
            <w:pPr>
              <w:jc w:val="center"/>
              <w:ind w:right="748"/>
              <w:spacing w:after="0"/>
              <w:rPr>
                <w:sz w:val="20"/>
                <w:szCs w:val="20"/>
                <w:color w:val="auto"/>
              </w:rPr>
            </w:pPr>
            <w:r>
              <w:rPr>
                <w:rFonts w:ascii="Arial" w:cs="Arial" w:eastAsia="Arial" w:hAnsi="Arial"/>
                <w:sz w:val="14"/>
                <w:szCs w:val="14"/>
                <w:b w:val="1"/>
                <w:bCs w:val="1"/>
                <w:color w:val="auto"/>
              </w:rPr>
              <w:t>Wilson Sonsini Goodrich &amp; Rosati, P.C.</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PMV Pharmaceuticals, Inc.</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Latham &amp; Watkins LLP</w:t>
            </w:r>
          </w:p>
        </w:tc>
      </w:tr>
      <w:tr>
        <w:trPr>
          <w:trHeight w:val="16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650 Page Mill Road</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8 Clarke Drive, Suite 3</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140 Scott Drive</w:t>
            </w:r>
          </w:p>
        </w:tc>
      </w:tr>
      <w:tr>
        <w:trPr>
          <w:trHeight w:val="16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Palo Alto, CA 94304</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Cranbury, NJ 08512</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Menlo Park, CA 94025</w:t>
            </w:r>
          </w:p>
        </w:tc>
      </w:tr>
      <w:tr>
        <w:trPr>
          <w:trHeight w:val="20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(650) 493-9300</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(609) 642-6670</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(650) 328-4600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64" w:lineRule="exact"/>
        <w:rPr>
          <w:sz w:val="24"/>
          <w:szCs w:val="24"/>
          <w:color w:val="auto"/>
        </w:rPr>
      </w:pPr>
    </w:p>
    <w:p>
      <w:pPr>
        <w:ind w:left="120" w:right="20" w:firstLine="551"/>
        <w:spacing w:after="0" w:line="18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37" w:lineRule="exact"/>
        <w:rPr>
          <w:sz w:val="24"/>
          <w:szCs w:val="24"/>
          <w:color w:val="auto"/>
        </w:rPr>
      </w:pPr>
    </w:p>
    <w:p>
      <w:pPr>
        <w:ind w:left="120" w:right="520" w:firstLine="551"/>
        <w:spacing w:after="0" w:line="18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7" w:lineRule="exact"/>
        <w:rPr>
          <w:sz w:val="24"/>
          <w:szCs w:val="24"/>
          <w:color w:val="auto"/>
        </w:rPr>
      </w:pPr>
    </w:p>
    <w:p>
      <w:pPr>
        <w:ind w:left="120" w:right="400" w:firstLine="551"/>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1" w:lineRule="exact"/>
        <w:rPr>
          <w:sz w:val="24"/>
          <w:szCs w:val="24"/>
          <w:color w:val="auto"/>
        </w:rPr>
      </w:pPr>
    </w:p>
    <w:p>
      <w:pPr>
        <w:ind w:left="120" w:right="400" w:firstLine="551"/>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7" w:lineRule="exact"/>
        <w:rPr>
          <w:sz w:val="24"/>
          <w:szCs w:val="24"/>
          <w:color w:val="auto"/>
        </w:rPr>
      </w:pPr>
    </w:p>
    <w:p>
      <w:pPr>
        <w:ind w:left="120" w:right="300" w:firstLine="551"/>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120" w:type="dxa"/>
        <w:tblCellMar>
          <w:top w:w="0" w:type="dxa"/>
          <w:left w:w="0" w:type="dxa"/>
          <w:bottom w:w="0" w:type="dxa"/>
          <w:right w:w="0" w:type="dxa"/>
        </w:tblCellMar>
      </w:tblPr>
      <w:tr>
        <w:trPr>
          <w:trHeight w:val="176"/>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7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18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7" w:lineRule="exact"/>
        <w:rPr>
          <w:sz w:val="24"/>
          <w:szCs w:val="24"/>
          <w:color w:val="auto"/>
        </w:rPr>
      </w:pPr>
    </w:p>
    <w:p>
      <w:pPr>
        <w:jc w:val="both"/>
        <w:ind w:left="120" w:right="120" w:firstLine="551"/>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7"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44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127"/>
        </w:trPr>
        <w:tc>
          <w:tcPr>
            <w:tcW w:w="3440" w:type="dxa"/>
            <w:vAlign w:val="bottom"/>
            <w:tcBorders>
              <w:right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rPr>
              <w:t>Proposed</w:t>
            </w:r>
          </w:p>
        </w:tc>
        <w:tc>
          <w:tcPr>
            <w:tcW w:w="100" w:type="dxa"/>
            <w:vAlign w:val="bottom"/>
          </w:tcPr>
          <w:p>
            <w:pPr>
              <w:spacing w:after="0"/>
              <w:rPr>
                <w:sz w:val="11"/>
                <w:szCs w:val="11"/>
                <w:color w:val="auto"/>
              </w:rPr>
            </w:pPr>
          </w:p>
        </w:tc>
        <w:tc>
          <w:tcPr>
            <w:tcW w:w="1760" w:type="dxa"/>
            <w:vAlign w:val="bottom"/>
            <w:tcBorders>
              <w:right w:val="single" w:sz="8" w:color="auto"/>
            </w:tcBorders>
          </w:tcPr>
          <w:p>
            <w:pPr>
              <w:jc w:val="center"/>
              <w:spacing w:after="0" w:line="127" w:lineRule="exact"/>
              <w:rPr>
                <w:sz w:val="20"/>
                <w:szCs w:val="20"/>
                <w:color w:val="auto"/>
              </w:rPr>
            </w:pPr>
            <w:r>
              <w:rPr>
                <w:rFonts w:ascii="Arial" w:cs="Arial" w:eastAsia="Arial" w:hAnsi="Arial"/>
                <w:sz w:val="14"/>
                <w:szCs w:val="14"/>
                <w:b w:val="1"/>
                <w:bCs w:val="1"/>
                <w:color w:val="auto"/>
              </w:rPr>
              <w:t>Proposed</w:t>
            </w: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2"/>
        </w:trPr>
        <w:tc>
          <w:tcPr>
            <w:tcW w:w="344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Amount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4"/>
                <w:szCs w:val="14"/>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59"/>
        </w:trPr>
        <w:tc>
          <w:tcPr>
            <w:tcW w:w="344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Title of each Class of</w:t>
            </w:r>
          </w:p>
        </w:tc>
        <w:tc>
          <w:tcPr>
            <w:tcW w:w="180" w:type="dxa"/>
            <w:vAlign w:val="bottom"/>
            <w:tcBorders>
              <w:right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jc w:val="center"/>
              <w:ind w:left="9"/>
              <w:spacing w:after="0" w:line="159" w:lineRule="exact"/>
              <w:rPr>
                <w:sz w:val="20"/>
                <w:szCs w:val="20"/>
                <w:color w:val="auto"/>
              </w:rPr>
            </w:pPr>
            <w:r>
              <w:rPr>
                <w:rFonts w:ascii="Arial" w:cs="Arial" w:eastAsia="Arial" w:hAnsi="Arial"/>
                <w:sz w:val="14"/>
                <w:szCs w:val="14"/>
                <w:b w:val="1"/>
                <w:bCs w:val="1"/>
                <w:color w:val="auto"/>
              </w:rPr>
              <w:t>to be</w:t>
            </w:r>
          </w:p>
        </w:tc>
        <w:tc>
          <w:tcPr>
            <w:tcW w:w="1840" w:type="dxa"/>
            <w:vAlign w:val="bottom"/>
            <w:tcBorders>
              <w:right w:val="single" w:sz="8" w:color="auto"/>
            </w:tcBorders>
          </w:tcPr>
          <w:p>
            <w:pPr>
              <w:jc w:val="center"/>
              <w:ind w:left="9"/>
              <w:spacing w:after="0" w:line="159" w:lineRule="exact"/>
              <w:rPr>
                <w:sz w:val="20"/>
                <w:szCs w:val="20"/>
                <w:color w:val="auto"/>
              </w:rPr>
            </w:pPr>
            <w:r>
              <w:rPr>
                <w:rFonts w:ascii="Arial" w:cs="Arial" w:eastAsia="Arial" w:hAnsi="Arial"/>
                <w:sz w:val="14"/>
                <w:szCs w:val="14"/>
                <w:b w:val="1"/>
                <w:bCs w:val="1"/>
                <w:color w:val="auto"/>
              </w:rPr>
              <w:t>Offering Price</w:t>
            </w:r>
          </w:p>
        </w:tc>
        <w:tc>
          <w:tcPr>
            <w:tcW w:w="100" w:type="dxa"/>
            <w:vAlign w:val="bottom"/>
          </w:tcPr>
          <w:p>
            <w:pPr>
              <w:spacing w:after="0"/>
              <w:rPr>
                <w:sz w:val="13"/>
                <w:szCs w:val="13"/>
                <w:color w:val="auto"/>
              </w:rPr>
            </w:pPr>
          </w:p>
        </w:tc>
        <w:tc>
          <w:tcPr>
            <w:tcW w:w="176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Amount of</w:t>
            </w:r>
          </w:p>
        </w:tc>
      </w:tr>
      <w:tr>
        <w:trPr>
          <w:trHeight w:val="194"/>
        </w:trPr>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jc w:val="center"/>
              <w:ind w:left="9"/>
              <w:spacing w:after="0" w:line="194" w:lineRule="exact"/>
              <w:rPr>
                <w:sz w:val="20"/>
                <w:szCs w:val="20"/>
                <w:color w:val="auto"/>
              </w:rPr>
            </w:pPr>
            <w:r>
              <w:rPr>
                <w:rFonts w:ascii="Arial" w:cs="Arial" w:eastAsia="Arial" w:hAnsi="Arial"/>
                <w:sz w:val="13"/>
                <w:szCs w:val="13"/>
                <w:b w:val="1"/>
                <w:bCs w:val="1"/>
                <w:color w:val="auto"/>
              </w:rPr>
              <w:t>Registered</w:t>
            </w:r>
            <w:r>
              <w:rPr>
                <w:rFonts w:ascii="Arial" w:cs="Arial" w:eastAsia="Arial" w:hAnsi="Arial"/>
                <w:sz w:val="22"/>
                <w:szCs w:val="22"/>
                <w:b w:val="1"/>
                <w:bCs w:val="1"/>
                <w:color w:val="auto"/>
                <w:vertAlign w:val="superscript"/>
              </w:rPr>
              <w:t>(1)</w:t>
            </w:r>
          </w:p>
        </w:tc>
        <w:tc>
          <w:tcPr>
            <w:tcW w:w="1840" w:type="dxa"/>
            <w:vAlign w:val="bottom"/>
            <w:tcBorders>
              <w:bottom w:val="single" w:sz="8" w:color="auto"/>
              <w:right w:val="single" w:sz="8" w:color="auto"/>
            </w:tcBorders>
          </w:tcPr>
          <w:p>
            <w:pPr>
              <w:jc w:val="center"/>
              <w:spacing w:after="0" w:line="194" w:lineRule="exact"/>
              <w:rPr>
                <w:sz w:val="20"/>
                <w:szCs w:val="20"/>
                <w:color w:val="auto"/>
              </w:rPr>
            </w:pPr>
            <w:r>
              <w:rPr>
                <w:rFonts w:ascii="Arial" w:cs="Arial" w:eastAsia="Arial" w:hAnsi="Arial"/>
                <w:sz w:val="13"/>
                <w:szCs w:val="13"/>
                <w:b w:val="1"/>
                <w:bCs w:val="1"/>
                <w:color w:val="auto"/>
              </w:rPr>
              <w:t>per Share</w:t>
            </w:r>
            <w:r>
              <w:rPr>
                <w:rFonts w:ascii="Arial" w:cs="Arial" w:eastAsia="Arial" w:hAnsi="Arial"/>
                <w:sz w:val="22"/>
                <w:szCs w:val="22"/>
                <w:b w:val="1"/>
                <w:bCs w:val="1"/>
                <w:color w:val="auto"/>
                <w:vertAlign w:val="superscript"/>
              </w:rPr>
              <w:t>(2)</w:t>
            </w: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jc w:val="center"/>
              <w:spacing w:after="0" w:line="194" w:lineRule="exact"/>
              <w:rPr>
                <w:sz w:val="20"/>
                <w:szCs w:val="20"/>
                <w:color w:val="auto"/>
              </w:rPr>
            </w:pPr>
            <w:r>
              <w:rPr>
                <w:rFonts w:ascii="Arial" w:cs="Arial" w:eastAsia="Arial" w:hAnsi="Arial"/>
                <w:sz w:val="13"/>
                <w:szCs w:val="13"/>
                <w:b w:val="1"/>
                <w:bCs w:val="1"/>
                <w:color w:val="auto"/>
              </w:rPr>
              <w:t>Offering Price</w:t>
            </w:r>
            <w:r>
              <w:rPr>
                <w:rFonts w:ascii="Arial" w:cs="Arial" w:eastAsia="Arial" w:hAnsi="Arial"/>
                <w:sz w:val="22"/>
                <w:szCs w:val="22"/>
                <w:b w:val="1"/>
                <w:bCs w:val="1"/>
                <w:color w:val="auto"/>
                <w:vertAlign w:val="superscript"/>
              </w:rPr>
              <w:t>(2)</w:t>
            </w: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3"/>
                <w:szCs w:val="13"/>
                <w:b w:val="1"/>
                <w:bCs w:val="1"/>
                <w:color w:val="auto"/>
              </w:rPr>
              <w:t>Registration Fee</w:t>
            </w:r>
            <w:r>
              <w:rPr>
                <w:rFonts w:ascii="Arial" w:cs="Arial" w:eastAsia="Arial" w:hAnsi="Arial"/>
                <w:sz w:val="22"/>
                <w:szCs w:val="22"/>
                <w:b w:val="1"/>
                <w:bCs w:val="1"/>
                <w:color w:val="auto"/>
                <w:vertAlign w:val="superscript"/>
              </w:rPr>
              <w:t>(3)</w:t>
            </w:r>
          </w:p>
        </w:tc>
      </w:tr>
      <w:tr>
        <w:trPr>
          <w:trHeight w:val="169"/>
        </w:trPr>
        <w:tc>
          <w:tcPr>
            <w:tcW w:w="34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Common Stock $0.00001 par value per share</w:t>
            </w:r>
          </w:p>
        </w:tc>
        <w:tc>
          <w:tcPr>
            <w:tcW w:w="18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8,452,500</w:t>
            </w:r>
          </w:p>
        </w:tc>
        <w:tc>
          <w:tcPr>
            <w:tcW w:w="184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color w:val="auto"/>
              </w:rPr>
              <w:t>$18.00</w:t>
            </w:r>
          </w:p>
        </w:tc>
        <w:tc>
          <w:tcPr>
            <w:tcW w:w="1860" w:type="dxa"/>
            <w:vAlign w:val="bottom"/>
            <w:tcBorders>
              <w:right w:val="single" w:sz="8" w:color="auto"/>
            </w:tcBorders>
            <w:gridSpan w:val="2"/>
          </w:tcPr>
          <w:p>
            <w:pPr>
              <w:jc w:val="center"/>
              <w:ind w:left="28"/>
              <w:spacing w:after="0"/>
              <w:rPr>
                <w:sz w:val="20"/>
                <w:szCs w:val="20"/>
                <w:color w:val="auto"/>
              </w:rPr>
            </w:pPr>
            <w:r>
              <w:rPr>
                <w:rFonts w:ascii="Arial" w:cs="Arial" w:eastAsia="Arial" w:hAnsi="Arial"/>
                <w:sz w:val="14"/>
                <w:szCs w:val="14"/>
                <w:color w:val="auto"/>
              </w:rPr>
              <w:t>$152,145,000</w:t>
            </w:r>
          </w:p>
        </w:tc>
        <w:tc>
          <w:tcPr>
            <w:tcW w:w="1860" w:type="dxa"/>
            <w:vAlign w:val="bottom"/>
            <w:gridSpan w:val="2"/>
          </w:tcPr>
          <w:p>
            <w:pPr>
              <w:jc w:val="center"/>
              <w:ind w:left="28"/>
              <w:spacing w:after="0"/>
              <w:rPr>
                <w:sz w:val="20"/>
                <w:szCs w:val="20"/>
                <w:color w:val="auto"/>
              </w:rPr>
            </w:pPr>
            <w:r>
              <w:rPr>
                <w:rFonts w:ascii="Arial" w:cs="Arial" w:eastAsia="Arial" w:hAnsi="Arial"/>
                <w:sz w:val="14"/>
                <w:szCs w:val="14"/>
                <w:color w:val="auto"/>
              </w:rPr>
              <w:t>$19,749</w:t>
            </w:r>
          </w:p>
        </w:tc>
      </w:tr>
      <w:tr>
        <w:trPr>
          <w:trHeight w:val="20"/>
        </w:trPr>
        <w:tc>
          <w:tcPr>
            <w:tcW w:w="3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ind w:left="660" w:hanging="544"/>
        <w:spacing w:after="0" w:line="188" w:lineRule="auto"/>
        <w:tabs>
          <w:tab w:leader="none" w:pos="660" w:val="left"/>
        </w:tabs>
        <w:numPr>
          <w:ilvl w:val="0"/>
          <w:numId w:val="1"/>
        </w:numPr>
        <w:rPr>
          <w:rFonts w:ascii="Arial" w:cs="Arial" w:eastAsia="Arial" w:hAnsi="Arial"/>
          <w:sz w:val="20"/>
          <w:szCs w:val="20"/>
          <w:color w:val="auto"/>
          <w:vertAlign w:val="superscript"/>
        </w:rPr>
      </w:pPr>
      <w:r>
        <w:rPr>
          <w:rFonts w:ascii="Arial" w:cs="Arial" w:eastAsia="Arial" w:hAnsi="Arial"/>
          <w:sz w:val="12"/>
          <w:szCs w:val="12"/>
          <w:color w:val="auto"/>
        </w:rPr>
        <w:t>Includes the additional shares that the underwriters have the option to purchase from the Registrant.</w:t>
      </w:r>
    </w:p>
    <w:p>
      <w:pPr>
        <w:ind w:left="660" w:hanging="544"/>
        <w:spacing w:after="0" w:line="187" w:lineRule="auto"/>
        <w:tabs>
          <w:tab w:leader="none" w:pos="660" w:val="left"/>
        </w:tabs>
        <w:numPr>
          <w:ilvl w:val="0"/>
          <w:numId w:val="1"/>
        </w:numPr>
        <w:rPr>
          <w:rFonts w:ascii="Arial" w:cs="Arial" w:eastAsia="Arial" w:hAnsi="Arial"/>
          <w:sz w:val="18"/>
          <w:szCs w:val="18"/>
          <w:color w:val="auto"/>
          <w:vertAlign w:val="superscript"/>
        </w:rPr>
      </w:pPr>
      <w:r>
        <w:rPr>
          <w:rFonts w:ascii="Arial" w:cs="Arial" w:eastAsia="Arial" w:hAnsi="Arial"/>
          <w:sz w:val="11"/>
          <w:szCs w:val="11"/>
          <w:color w:val="auto"/>
        </w:rPr>
        <w:t>Estimated solely for the purpose of computing the amount of the registration fee pursuant to Rule 457(a) under the Securities Act of 1933, as amended.</w:t>
      </w:r>
    </w:p>
    <w:p>
      <w:pPr>
        <w:ind w:left="660" w:hanging="544"/>
        <w:spacing w:after="0" w:line="183" w:lineRule="auto"/>
        <w:tabs>
          <w:tab w:leader="none" w:pos="660" w:val="left"/>
        </w:tabs>
        <w:numPr>
          <w:ilvl w:val="0"/>
          <w:numId w:val="1"/>
        </w:numPr>
        <w:rPr>
          <w:rFonts w:ascii="Arial" w:cs="Arial" w:eastAsia="Arial" w:hAnsi="Arial"/>
          <w:sz w:val="20"/>
          <w:szCs w:val="20"/>
          <w:color w:val="auto"/>
          <w:vertAlign w:val="superscript"/>
        </w:rPr>
      </w:pPr>
      <w:r>
        <w:rPr>
          <w:rFonts w:ascii="Arial" w:cs="Arial" w:eastAsia="Arial" w:hAnsi="Arial"/>
          <w:sz w:val="12"/>
          <w:szCs w:val="12"/>
          <w:color w:val="auto"/>
        </w:rPr>
        <w:t>The Registrant previously paid $12,980 in connection with the initial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57150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9" w:lineRule="exact"/>
        <w:rPr>
          <w:sz w:val="24"/>
          <w:szCs w:val="24"/>
          <w:color w:val="auto"/>
        </w:rPr>
      </w:pPr>
    </w:p>
    <w:p>
      <w:pPr>
        <w:ind w:left="120" w:right="140" w:firstLine="551"/>
        <w:spacing w:after="0" w:line="26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113"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CC062A"/>
        </w:rPr>
        <w:t>SUBJECT TO COMPLETION, DATED SEPTEMBER 21, 2020</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7,350,000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179705</wp:posOffset>
            </wp:positionV>
            <wp:extent cx="3394710" cy="659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9471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257175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This is an initial public offering of shares of common stock of PMV Pharmaceuticals, Inc. All of the 7,350,000 shares of common stock are being sold by the company.</w:t>
      </w:r>
    </w:p>
    <w:p>
      <w:pPr>
        <w:spacing w:after="0" w:line="145"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We estimate that the initial public offering price of our common stock will be between $16.00 and $18.00 per share. We have applied to list our common stock on the Nasdaq Global Market under the symbol “PMVP.”</w:t>
      </w:r>
    </w:p>
    <w:p>
      <w:pPr>
        <w:spacing w:after="0" w:line="164"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192405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20" w:right="40" w:firstLine="551"/>
        <w:spacing w:after="0" w:line="274"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common stock involves a high degree of risk. Before buying any shares, you should read carefully the discussion of the material risks of investing in our common stock under the heading “</w:t>
      </w:r>
      <w:hyperlink w:anchor="page16">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starting on page 12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193040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120" w:right="220" w:firstLine="551"/>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204470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6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6"/>
              </w:rPr>
              <w:t>Per Share</w:t>
            </w:r>
          </w:p>
        </w:tc>
        <w:tc>
          <w:tcPr>
            <w:tcW w:w="460" w:type="dxa"/>
            <w:vAlign w:val="bottom"/>
          </w:tcPr>
          <w:p>
            <w:pPr>
              <w:spacing w:after="0"/>
              <w:rPr>
                <w:sz w:val="19"/>
                <w:szCs w:val="19"/>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27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3560" w:type="dxa"/>
            <w:vAlign w:val="bottom"/>
            <w:gridSpan w:val="2"/>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3560" w:type="dxa"/>
            <w:vAlign w:val="bottom"/>
            <w:gridSpan w:val="2"/>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4" w:lineRule="exact"/>
        <w:rPr>
          <w:sz w:val="20"/>
          <w:szCs w:val="20"/>
          <w:color w:val="auto"/>
        </w:rPr>
      </w:pPr>
    </w:p>
    <w:p>
      <w:pPr>
        <w:ind w:left="540" w:hanging="424"/>
        <w:spacing w:after="0"/>
        <w:tabs>
          <w:tab w:leader="none" w:pos="54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the section titled “Underwriting” beginning on page 200 for additional information regarding compensation payable to the underwriters.</w:t>
      </w:r>
    </w:p>
    <w:p>
      <w:pPr>
        <w:spacing w:after="0" w:line="174"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We have granted the underwriters an option for a period of 30 days to purchase up to an additional 1,102,500 shares of common stock from us at the initial public offering price, less the underwriting discounts and commissions.</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7820" w:type="dxa"/>
            <w:vAlign w:val="bottom"/>
            <w:gridSpan w:val="5"/>
          </w:tcPr>
          <w:p>
            <w:pPr>
              <w:jc w:val="right"/>
              <w:ind w:right="180"/>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1400" w:type="dxa"/>
            <w:vAlign w:val="bottom"/>
          </w:tcPr>
          <w:p>
            <w:pPr>
              <w:jc w:val="right"/>
              <w:ind w:right="337"/>
              <w:spacing w:after="0"/>
              <w:rPr>
                <w:sz w:val="20"/>
                <w:szCs w:val="20"/>
                <w:color w:val="auto"/>
              </w:rPr>
            </w:pPr>
            <w:r>
              <w:rPr>
                <w:rFonts w:ascii="Arial" w:cs="Arial" w:eastAsia="Arial" w:hAnsi="Arial"/>
                <w:sz w:val="18"/>
                <w:szCs w:val="18"/>
                <w:color w:val="auto"/>
              </w:rPr>
              <w:t>, 2020.</w:t>
            </w:r>
          </w:p>
        </w:tc>
        <w:tc>
          <w:tcPr>
            <w:tcW w:w="1800" w:type="dxa"/>
            <w:vAlign w:val="bottom"/>
          </w:tcPr>
          <w:p>
            <w:pPr>
              <w:spacing w:after="0"/>
              <w:rPr>
                <w:sz w:val="21"/>
                <w:szCs w:val="21"/>
                <w:color w:val="auto"/>
              </w:rPr>
            </w:pPr>
          </w:p>
        </w:tc>
      </w:tr>
      <w:tr>
        <w:trPr>
          <w:trHeight w:val="528"/>
        </w:trPr>
        <w:tc>
          <w:tcPr>
            <w:tcW w:w="3480" w:type="dxa"/>
            <w:vAlign w:val="bottom"/>
          </w:tcPr>
          <w:p>
            <w:pPr>
              <w:spacing w:after="0"/>
              <w:rPr>
                <w:sz w:val="20"/>
                <w:szCs w:val="20"/>
                <w:color w:val="auto"/>
              </w:rPr>
            </w:pPr>
            <w:r>
              <w:rPr>
                <w:rFonts w:ascii="Arial" w:cs="Arial" w:eastAsia="Arial" w:hAnsi="Arial"/>
                <w:sz w:val="23"/>
                <w:szCs w:val="23"/>
                <w:b w:val="1"/>
                <w:bCs w:val="1"/>
                <w:color w:val="auto"/>
              </w:rPr>
              <w:t>Goldman Sachs &amp; Co. LLC</w:t>
            </w:r>
          </w:p>
        </w:tc>
        <w:tc>
          <w:tcPr>
            <w:tcW w:w="860" w:type="dxa"/>
            <w:vAlign w:val="bottom"/>
          </w:tcPr>
          <w:p>
            <w:pPr>
              <w:spacing w:after="0"/>
              <w:rPr>
                <w:sz w:val="24"/>
                <w:szCs w:val="24"/>
                <w:color w:val="auto"/>
              </w:rPr>
            </w:pPr>
          </w:p>
        </w:tc>
        <w:tc>
          <w:tcPr>
            <w:tcW w:w="3480" w:type="dxa"/>
            <w:vAlign w:val="bottom"/>
            <w:gridSpan w:val="3"/>
          </w:tcPr>
          <w:p>
            <w:pPr>
              <w:jc w:val="right"/>
              <w:ind w:right="1080"/>
              <w:spacing w:after="0"/>
              <w:rPr>
                <w:sz w:val="20"/>
                <w:szCs w:val="20"/>
                <w:color w:val="auto"/>
              </w:rPr>
            </w:pPr>
            <w:r>
              <w:rPr>
                <w:rFonts w:ascii="Arial" w:cs="Arial" w:eastAsia="Arial" w:hAnsi="Arial"/>
                <w:sz w:val="23"/>
                <w:szCs w:val="23"/>
                <w:b w:val="1"/>
                <w:bCs w:val="1"/>
                <w:color w:val="auto"/>
              </w:rPr>
              <w:t>BofA Securities</w:t>
            </w:r>
          </w:p>
        </w:tc>
        <w:tc>
          <w:tcPr>
            <w:tcW w:w="1400" w:type="dxa"/>
            <w:vAlign w:val="bottom"/>
          </w:tcPr>
          <w:p>
            <w:pPr>
              <w:jc w:val="right"/>
              <w:ind w:right="337"/>
              <w:spacing w:after="0"/>
              <w:rPr>
                <w:sz w:val="20"/>
                <w:szCs w:val="20"/>
                <w:color w:val="auto"/>
              </w:rPr>
            </w:pPr>
            <w:r>
              <w:rPr>
                <w:rFonts w:ascii="Arial" w:cs="Arial" w:eastAsia="Arial" w:hAnsi="Arial"/>
                <w:sz w:val="23"/>
                <w:szCs w:val="23"/>
                <w:b w:val="1"/>
                <w:bCs w:val="1"/>
                <w:color w:val="auto"/>
              </w:rPr>
              <w:t>Cowen</w:t>
            </w:r>
          </w:p>
        </w:tc>
        <w:tc>
          <w:tcPr>
            <w:tcW w:w="1800" w:type="dxa"/>
            <w:vAlign w:val="bottom"/>
          </w:tcPr>
          <w:p>
            <w:pPr>
              <w:ind w:left="440"/>
              <w:spacing w:after="0"/>
              <w:rPr>
                <w:sz w:val="20"/>
                <w:szCs w:val="20"/>
                <w:color w:val="auto"/>
              </w:rPr>
            </w:pPr>
            <w:r>
              <w:rPr>
                <w:rFonts w:ascii="Arial" w:cs="Arial" w:eastAsia="Arial" w:hAnsi="Arial"/>
                <w:sz w:val="23"/>
                <w:szCs w:val="23"/>
                <w:b w:val="1"/>
                <w:bCs w:val="1"/>
                <w:color w:val="auto"/>
              </w:rPr>
              <w:t>Evercore ISI</w:t>
            </w:r>
          </w:p>
        </w:tc>
      </w:tr>
      <w:tr>
        <w:trPr>
          <w:trHeight w:val="332"/>
        </w:trPr>
        <w:tc>
          <w:tcPr>
            <w:tcW w:w="3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29"/>
        </w:trPr>
        <w:tc>
          <w:tcPr>
            <w:tcW w:w="3480" w:type="dxa"/>
            <w:vAlign w:val="bottom"/>
          </w:tcPr>
          <w:p>
            <w:pPr>
              <w:spacing w:after="0"/>
              <w:rPr>
                <w:sz w:val="24"/>
                <w:szCs w:val="24"/>
                <w:color w:val="auto"/>
              </w:rPr>
            </w:pPr>
          </w:p>
        </w:tc>
        <w:tc>
          <w:tcPr>
            <w:tcW w:w="2440" w:type="dxa"/>
            <w:vAlign w:val="bottom"/>
            <w:gridSpan w:val="2"/>
          </w:tcPr>
          <w:p>
            <w:pPr>
              <w:ind w:left="520"/>
              <w:spacing w:after="0"/>
              <w:rPr>
                <w:sz w:val="20"/>
                <w:szCs w:val="20"/>
                <w:color w:val="auto"/>
              </w:rPr>
            </w:pPr>
            <w:r>
              <w:rPr>
                <w:rFonts w:ascii="Arial" w:cs="Arial" w:eastAsia="Arial" w:hAnsi="Arial"/>
                <w:sz w:val="18"/>
                <w:szCs w:val="18"/>
                <w:color w:val="auto"/>
              </w:rPr>
              <w:t>Prospectus dated</w:t>
            </w: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 2020.</w:t>
            </w:r>
          </w:p>
        </w:tc>
        <w:tc>
          <w:tcPr>
            <w:tcW w:w="14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342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9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3"/>
        </w:trPr>
        <w:tc>
          <w:tcPr>
            <w:tcW w:w="34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THE OFFERING</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SPECIAL NOTE REGARDING FORWARD-LOOKING STATEMENTS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USE OF PROCEEDS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DIVIDEND POLICY</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CAPITALIZATION</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DILUTION</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SELECTED FINANCIAL DATA</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MANAGEMENT’S DISCUSSION AND ANALYSIS OF FINANCIAL CONDITION AND RESULTS OF OPERATIONS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BUSINESS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MANAGEMENT</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EXECUTIVE COMPENSATION</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CERTAIN RELATIONSHIPS AND RELATED PARTY TRANSACTIONS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PRINCIPAL STOCKHOLDERS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DESCRIPTION OF CAPITAL STOCK</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SHARES ELIGIBLE FOR FUTURE SALE</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MATERIAL U.S. FEDERAL INCOME TAX CONSEQUENCES FOR NON-U.S. HOLDERS OF OUR COMMON STOCK</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UNDERWRITING</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LEGAL MATTERS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EXPERTS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WHERE YOU CAN FIND ADDITIONAL INFORMATION</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3420" w:type="dxa"/>
            <w:vAlign w:val="bottom"/>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INDEX TO FINANCIAL STATEMENTS</w:t>
              </w:r>
            </w:hyperlink>
          </w:p>
        </w:tc>
        <w:tc>
          <w:tcPr>
            <w:tcW w:w="9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47"/>
        </w:trPr>
        <w:tc>
          <w:tcPr>
            <w:tcW w:w="3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420" w:type="dxa"/>
            <w:vAlign w:val="bottom"/>
          </w:tcPr>
          <w:p>
            <w:pPr>
              <w:ind w:left="540"/>
              <w:spacing w:after="0"/>
              <w:rPr>
                <w:sz w:val="20"/>
                <w:szCs w:val="20"/>
                <w:color w:val="auto"/>
              </w:rPr>
            </w:pPr>
            <w:r>
              <w:rPr>
                <w:rFonts w:ascii="Arial" w:cs="Arial" w:eastAsia="Arial" w:hAnsi="Arial"/>
                <w:sz w:val="18"/>
                <w:szCs w:val="18"/>
                <w:b w:val="1"/>
                <w:bCs w:val="1"/>
                <w:color w:val="auto"/>
              </w:rPr>
              <w:t>Through and including</w:t>
            </w:r>
          </w:p>
        </w:tc>
        <w:tc>
          <w:tcPr>
            <w:tcW w:w="7540" w:type="dxa"/>
            <w:vAlign w:val="bottom"/>
            <w:gridSpan w:val="5"/>
          </w:tcPr>
          <w:p>
            <w:pPr>
              <w:jc w:val="right"/>
              <w:spacing w:after="0"/>
              <w:rPr>
                <w:sz w:val="20"/>
                <w:szCs w:val="20"/>
                <w:color w:val="auto"/>
              </w:rPr>
            </w:pPr>
            <w:r>
              <w:rPr>
                <w:rFonts w:ascii="Arial" w:cs="Arial" w:eastAsia="Arial" w:hAnsi="Arial"/>
                <w:sz w:val="18"/>
                <w:szCs w:val="18"/>
                <w:b w:val="1"/>
                <w:bCs w:val="1"/>
                <w:color w:val="auto"/>
              </w:rPr>
              <w:t>, 2020 (the 25th day after the date of this prospectus), all dealers effecting transactions</w:t>
            </w:r>
          </w:p>
        </w:tc>
        <w:tc>
          <w:tcPr>
            <w:tcW w:w="0" w:type="dxa"/>
            <w:vAlign w:val="bottom"/>
          </w:tcPr>
          <w:p>
            <w:pPr>
              <w:spacing w:after="0"/>
              <w:rPr>
                <w:sz w:val="1"/>
                <w:szCs w:val="1"/>
                <w:color w:val="auto"/>
              </w:rPr>
            </w:pPr>
          </w:p>
        </w:tc>
      </w:tr>
    </w:tbl>
    <w:p>
      <w:pPr>
        <w:ind w:left="120" w:right="140"/>
        <w:spacing w:after="0" w:line="247" w:lineRule="auto"/>
        <w:rPr>
          <w:sz w:val="20"/>
          <w:szCs w:val="20"/>
          <w:color w:val="auto"/>
        </w:rPr>
      </w:pPr>
      <w:r>
        <w:rPr>
          <w:rFonts w:ascii="Arial" w:cs="Arial" w:eastAsia="Arial" w:hAnsi="Arial"/>
          <w:sz w:val="18"/>
          <w:szCs w:val="18"/>
          <w:b w:val="1"/>
          <w:bCs w:val="1"/>
          <w:color w:val="auto"/>
        </w:rPr>
        <w:t>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and the underwriters have not authorized anyone to provide you any information other than that contained in this prospectus, any amendment or supplement to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4"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w:t>
      </w:r>
    </w:p>
    <w:p>
      <w:pPr>
        <w:spacing w:after="0" w:line="21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 xml:space="preserve">We use the name “PMV Pharma,” the “PMV Pharma” logo and other marks as unregistered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are not intended to indicate in any way that we or their owners will not assert, to the fullest extent under applicable law, our rights or the rights of the applicable owner to these trademarks and trade names. We do not intend our use or display of other entities’ trade names, trademarks or service marks to imply a relationship with, or endorsement or sponsorship of us by, any other entity.</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AND INDUSTRY DATA</w:t>
      </w:r>
    </w:p>
    <w:p>
      <w:pPr>
        <w:spacing w:after="0" w:line="214" w:lineRule="exact"/>
        <w:rPr>
          <w:sz w:val="20"/>
          <w:szCs w:val="20"/>
          <w:color w:val="auto"/>
        </w:rPr>
      </w:pPr>
    </w:p>
    <w:p>
      <w:pPr>
        <w:jc w:val="both"/>
        <w:ind w:left="120" w:right="280" w:firstLine="551"/>
        <w:spacing w:after="0" w:line="268"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potential markets for our product candidates, including data regarding the estimated size of such markets and the incidence of certain medical conditions. We obtained the industry, market and similar data set forth in this prospectus from our internal estimates and research and from academic and industry research, publications, surveys and studies conducted by third parties, including governmental agencies.</w:t>
      </w:r>
    </w:p>
    <w:p>
      <w:pPr>
        <w:spacing w:after="0" w:line="153"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While we believe that the data we use from third parties is reliable, we have not separately verified these data. This information, to the extent it contains estimates or projections, involves a number of assumptions and limitations, and you are cautioned not to give undue weight to such estimates or projections. The industry in which we operate is subject to risks and uncertainties due to a variety of factors, including those described in the section titled “Risk Factors.” These and other factors could cause results to differ materially from those expressed in these publications and reports.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40"/>
          </w:cols>
          <w:pgMar w:left="320" w:top="455" w:right="5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99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39903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firstLine="532"/>
        <w:spacing w:after="0" w:line="241" w:lineRule="auto"/>
        <w:rPr>
          <w:sz w:val="20"/>
          <w:szCs w:val="20"/>
          <w:color w:val="auto"/>
        </w:rPr>
      </w:pPr>
      <w:r>
        <w:rPr>
          <w:rFonts w:ascii="Arial" w:cs="Arial" w:eastAsia="Arial" w:hAnsi="Arial"/>
          <w:sz w:val="18"/>
          <w:szCs w:val="18"/>
          <w:i w:val="1"/>
          <w:iCs w:val="1"/>
          <w:color w:val="auto"/>
        </w:rPr>
        <w:t>This summary highlights information contained in other parts of this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You should read the entire prospectus carefully, especially “Risk Factors,” “Management’s Discussion and Analysis of Financial Condition and Results of Operations,” and our financial statements and the related notes, before deciding to buy shares of our common stock. Unless the context requires otherwise, references in this prospectus to “PMV Pharmaceuticals,” “the Company,” “we,” “us” and “our” refer to PMV Pharmaceuticals, Inc.</w:t>
      </w: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300" w:right="60" w:firstLine="532"/>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300" w:right="20" w:firstLine="532"/>
        <w:spacing w:after="0" w:line="243" w:lineRule="auto"/>
        <w:rPr>
          <w:sz w:val="20"/>
          <w:szCs w:val="20"/>
          <w:color w:val="auto"/>
        </w:rPr>
      </w:pPr>
      <w:r>
        <w:rPr>
          <w:rFonts w:ascii="Arial" w:cs="Arial" w:eastAsia="Arial" w:hAnsi="Arial"/>
          <w:sz w:val="18"/>
          <w:szCs w:val="18"/>
          <w:color w:val="auto"/>
        </w:rPr>
        <w:t>We believe that we have designed our lead product candidate, PC14586, to potently and selectively correct p53 misfolding caused by a specific p53 mutation, Y220C, while sparing wild-type p53. The Y220C mutation is associated with 1.0-1.5% of all cancers, including breast, non-small cell lung cancer, or NSCLC, colorectal, pancreatic and ovarian cancers. While we are in the early stages of discovery and development of our product candidates and our novel approach is unproven, we are initially pursuing a tumor-agnostic development strategy and received authorization to proceed under an investigational new drug application, or IND, for PC14586 on September 4, 2020 and plan to start a Phase 1/2 clinical trial in the second half of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0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In addition, we are leveraging our precision oncology platform to develop a pipeline of oral small molecule product candidates that structurally correct other p53 hotspot mutations to restore their wild-type function. We expect to advance our next program, targeting the p53 R273H hotspot mutation, into lead optimization in the first half of 2021. We own worldwide commercial rights to all of our programs. An overview of our development pipeline is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20" w:hanging="522"/>
        <w:spacing w:after="0"/>
        <w:tabs>
          <w:tab w:leader="none" w:pos="82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820" w:right="80" w:hanging="522"/>
        <w:spacing w:after="0" w:line="182" w:lineRule="auto"/>
        <w:tabs>
          <w:tab w:leader="none" w:pos="820"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820" w:hanging="522"/>
        <w:spacing w:after="0" w:line="183" w:lineRule="auto"/>
        <w:tabs>
          <w:tab w:leader="none" w:pos="82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In IND-Enabling Studies, we conduct preclinical studies, in accordance with Good Laboratory Practice, or GLP, required for an IND submission to the FDA.</w:t>
      </w:r>
    </w:p>
    <w:p>
      <w:pPr>
        <w:spacing w:after="0" w:line="175"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Our strategy is to seek approval under an accelerated pathway, and we believe our Phase 1/2 clinical trial has the potential to serve as a pivotal study. We have not discussed the potential pivotal study designation with the U.S. Food and Drug Administration, or FDA, and we cannot guarantee that the FDA will grant accelerated approval, but if obtained, we anticipate that the FDA will require the conduct of a post-approval commitment to confirm clinical benefit.</w:t>
      </w:r>
    </w:p>
    <w:p>
      <w:pPr>
        <w:spacing w:after="0" w:line="27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Potential of Precision Medicine in p53</w:t>
      </w:r>
    </w:p>
    <w:p>
      <w:pPr>
        <w:spacing w:after="0" w:line="214" w:lineRule="exact"/>
        <w:rPr>
          <w:sz w:val="20"/>
          <w:szCs w:val="20"/>
          <w:color w:val="auto"/>
        </w:rPr>
      </w:pPr>
    </w:p>
    <w:p>
      <w:pPr>
        <w:ind w:left="300" w:right="120" w:firstLine="532"/>
        <w:spacing w:after="0" w:line="248" w:lineRule="auto"/>
        <w:rPr>
          <w:sz w:val="20"/>
          <w:szCs w:val="20"/>
          <w:color w:val="auto"/>
        </w:rPr>
      </w:pPr>
      <w:r>
        <w:rPr>
          <w:rFonts w:ascii="Arial" w:cs="Arial" w:eastAsia="Arial" w:hAnsi="Arial"/>
          <w:sz w:val="18"/>
          <w:szCs w:val="18"/>
          <w:color w:val="auto"/>
        </w:rPr>
        <w:t>Cancer is a genetic disease that results from changes in a person’s DNA that causes cells to grow and divide uncontrollably. Recent advances in genetic sequencing and a better understanding of mutations that drive cancers have facilitated the development of precise, gene- and protein-specific drugs known as targeted therapies. There are multiple tumor-agnostic product approvals that are based on a genetic mutation that defines the cancer, as opposed to the tumor type.</w:t>
      </w:r>
    </w:p>
    <w:p>
      <w:pPr>
        <w:spacing w:after="0" w:line="170" w:lineRule="exact"/>
        <w:rPr>
          <w:sz w:val="20"/>
          <w:szCs w:val="20"/>
          <w:color w:val="auto"/>
        </w:rPr>
      </w:pPr>
    </w:p>
    <w:p>
      <w:pPr>
        <w:ind w:left="300" w:right="20" w:firstLine="532"/>
        <w:spacing w:after="0" w:line="243" w:lineRule="auto"/>
        <w:rPr>
          <w:sz w:val="20"/>
          <w:szCs w:val="20"/>
          <w:color w:val="auto"/>
        </w:rPr>
      </w:pPr>
      <w:r>
        <w:rPr>
          <w:rFonts w:ascii="Arial" w:cs="Arial" w:eastAsia="Arial" w:hAnsi="Arial"/>
          <w:sz w:val="18"/>
          <w:szCs w:val="18"/>
          <w:color w:val="auto"/>
        </w:rPr>
        <w:t>The p53 gene provides instructions for the production of tumor suppression protein p53. p53 activation facilitates the repair of the cell’s damaged DNA or triggers the killing of the damaged cell through a process known as programmed cell death, or apoptosis, before the cell can become cancerous and proliferate. The p53 gene is the most widely mutated gene in human cancers and to date, more than 25,000 unique p53 mutations have been discovered. Strategies that attempt to restore wild-type p53 activity in a non-selective manner (</w:t>
      </w:r>
      <w:r>
        <w:rPr>
          <w:rFonts w:ascii="Arial" w:cs="Arial" w:eastAsia="Arial" w:hAnsi="Arial"/>
          <w:sz w:val="18"/>
          <w:szCs w:val="18"/>
          <w:i w:val="1"/>
          <w:iCs w:val="1"/>
          <w:color w:val="auto"/>
        </w:rPr>
        <w:t>i.e.</w:t>
      </w:r>
      <w:r>
        <w:rPr>
          <w:rFonts w:ascii="Arial" w:cs="Arial" w:eastAsia="Arial" w:hAnsi="Arial"/>
          <w:sz w:val="18"/>
          <w:szCs w:val="18"/>
          <w:color w:val="auto"/>
        </w:rPr>
        <w:t>, regardless of which p53 mutation the tumor is harboring) are likely to face significant challenges, as a “one size fits all” drug is unlikely to address all p53 mutants and could have the potential for off-target toxicities.</w:t>
      </w:r>
    </w:p>
    <w:p>
      <w:pPr>
        <w:spacing w:after="0" w:line="174" w:lineRule="exact"/>
        <w:rPr>
          <w:sz w:val="20"/>
          <w:szCs w:val="20"/>
          <w:color w:val="auto"/>
        </w:rPr>
      </w:pPr>
    </w:p>
    <w:p>
      <w:pPr>
        <w:ind w:left="300" w:right="280" w:firstLine="532"/>
        <w:spacing w:after="0" w:line="248" w:lineRule="auto"/>
        <w:rPr>
          <w:sz w:val="20"/>
          <w:szCs w:val="20"/>
          <w:color w:val="auto"/>
        </w:rPr>
      </w:pPr>
      <w:r>
        <w:rPr>
          <w:rFonts w:ascii="Arial" w:cs="Arial" w:eastAsia="Arial" w:hAnsi="Arial"/>
          <w:sz w:val="18"/>
          <w:szCs w:val="18"/>
          <w:color w:val="auto"/>
        </w:rPr>
        <w:t>Therefore, we believe that the best way to address p53-driven cancers is by targeting individual p53 mutations using a precision oncology approach. Diagnostic tests are currently used by physicians in their practice to identify cancer patients with p53 mutations. We believe that identifying the p53 gene mutation and structurally correcting the specific mutant p53 protein to restore wild-type p53 activity can potentially serve as the basis of treatment for patients with these mutations.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64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Approach</w:t>
      </w:r>
    </w:p>
    <w:p>
      <w:pPr>
        <w:spacing w:after="0" w:line="214" w:lineRule="exact"/>
        <w:rPr>
          <w:sz w:val="20"/>
          <w:szCs w:val="20"/>
          <w:color w:val="auto"/>
        </w:rPr>
      </w:pPr>
    </w:p>
    <w:p>
      <w:pPr>
        <w:ind w:left="300" w:right="140" w:firstLine="532"/>
        <w:spacing w:after="0" w:line="245" w:lineRule="auto"/>
        <w:rPr>
          <w:sz w:val="20"/>
          <w:szCs w:val="20"/>
          <w:color w:val="auto"/>
        </w:rPr>
      </w:pPr>
      <w:r>
        <w:rPr>
          <w:rFonts w:ascii="Arial" w:cs="Arial" w:eastAsia="Arial" w:hAnsi="Arial"/>
          <w:sz w:val="18"/>
          <w:szCs w:val="18"/>
          <w:color w:val="auto"/>
        </w:rPr>
        <w:t>We believe our novel approach to reactivate the p53 function through structural correction of the mutant p53 protein to wild-type represents a therapeutic strategy to target p53. Decades of research on p53 have unveiled its potential as a precision oncology target. Mutations in the p53 gene can give rise to mutant p53 proteins with different conformational structures. As a result, we are developing oral small molecule therapies that selectively target a specific mutant p53 protein while sparing wild-type p53. Our innovation engine is composed of three complementary drivers:</w:t>
      </w:r>
    </w:p>
    <w:p>
      <w:pPr>
        <w:spacing w:after="0" w:line="76" w:lineRule="exact"/>
        <w:rPr>
          <w:sz w:val="20"/>
          <w:szCs w:val="20"/>
          <w:color w:val="auto"/>
        </w:rPr>
      </w:pPr>
    </w:p>
    <w:p>
      <w:pPr>
        <w:ind w:left="102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Deep understanding of, and leadership in, p53 biology that enable unique insights into targeting individual mutations. </w:t>
      </w:r>
      <w:r>
        <w:rPr>
          <w:rFonts w:ascii="Arial" w:cs="Arial" w:eastAsia="Arial" w:hAnsi="Arial"/>
          <w:sz w:val="18"/>
          <w:szCs w:val="18"/>
          <w:color w:val="auto"/>
        </w:rPr>
        <w:t>We have leveraged more than four decades of research experience and developed unique insights into p53</w:t>
      </w:r>
      <w:r>
        <w:rPr>
          <w:rFonts w:ascii="Arial" w:cs="Arial" w:eastAsia="Arial" w:hAnsi="Arial"/>
          <w:sz w:val="18"/>
          <w:szCs w:val="18"/>
          <w:b w:val="1"/>
          <w:bCs w:val="1"/>
          <w:color w:val="auto"/>
        </w:rPr>
        <w:t xml:space="preserve"> </w:t>
      </w:r>
      <w:r>
        <w:rPr>
          <w:rFonts w:ascii="Arial" w:cs="Arial" w:eastAsia="Arial" w:hAnsi="Arial"/>
          <w:sz w:val="18"/>
          <w:szCs w:val="18"/>
          <w:color w:val="auto"/>
        </w:rPr>
        <w:t>biology, a field that was discovered and established by our co-founder Dr. Arnold Levine</w:t>
      </w:r>
      <w:r>
        <w:rPr>
          <w:rFonts w:ascii="Arial" w:cs="Arial" w:eastAsia="Arial" w:hAnsi="Arial"/>
          <w:sz w:val="18"/>
          <w:szCs w:val="18"/>
          <w:b w:val="1"/>
          <w:bCs w:val="1"/>
          <w:color w:val="auto"/>
        </w:rPr>
        <w:t>.</w:t>
      </w:r>
      <w:r>
        <w:rPr>
          <w:rFonts w:ascii="Arial" w:cs="Arial" w:eastAsia="Arial" w:hAnsi="Arial"/>
          <w:sz w:val="18"/>
          <w:szCs w:val="18"/>
          <w:color w:val="auto"/>
        </w:rPr>
        <w:t xml:space="preserve"> Additionally, our scientific advisory board, or SAB, consists of some of the most prominent thought leaders in p53 biology. p53 is a highly complex gene, and thousands of distinct p53 mutations have been identified. A blanket approach to targeting mutant p53 has significant challenges, as a “one size fits all” drug is unlikely to address all p53 mutants. Based on our experience and expertise, we are developing oral small molecules that each selectively target a specific p53 hotspot mutation.</w:t>
      </w:r>
    </w:p>
    <w:p>
      <w:pPr>
        <w:spacing w:after="0" w:line="78" w:lineRule="exact"/>
        <w:rPr>
          <w:rFonts w:ascii="Arial" w:cs="Arial" w:eastAsia="Arial" w:hAnsi="Arial"/>
          <w:sz w:val="18"/>
          <w:szCs w:val="18"/>
          <w:color w:val="auto"/>
        </w:rPr>
      </w:pPr>
    </w:p>
    <w:p>
      <w:pPr>
        <w:ind w:left="1020" w:right="4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Ability to design structure-based oral small molecule product candidates that selectively target and correct specific p53 mutants</w:t>
      </w:r>
      <w:r>
        <w:rPr>
          <w:rFonts w:ascii="Arial" w:cs="Arial" w:eastAsia="Arial" w:hAnsi="Arial"/>
          <w:sz w:val="18"/>
          <w:szCs w:val="18"/>
          <w:color w:val="auto"/>
        </w:rPr>
        <w:t>. Designing molecules for p53 mutants requires an intricate understanding of the p53 protein structure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associated biology. We leverage structure-based technologies to give our oral small molecule product candidates access to challenging binding sites that are generally not accessible using conventional small molecule drug discovery approaches. For each target, we take detailed data from structural and functional studies of the mutated p53 to design development candidates against the challenging binding sites. Our design techniques help us to identify potential product candidates that can selectively target a single p53 mutant, while sparing wild-type p53.</w:t>
      </w:r>
    </w:p>
    <w:p>
      <w:pPr>
        <w:spacing w:after="0" w:line="78" w:lineRule="exact"/>
        <w:rPr>
          <w:rFonts w:ascii="Arial" w:cs="Arial" w:eastAsia="Arial" w:hAnsi="Arial"/>
          <w:sz w:val="18"/>
          <w:szCs w:val="18"/>
          <w:color w:val="auto"/>
        </w:rPr>
      </w:pPr>
    </w:p>
    <w:p>
      <w:pPr>
        <w:ind w:left="1020" w:right="12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Assays, screens, preclinical model systems and biomarkers that enable us to assess and optimize selective small molecule product candidates for specific p53 mutants. </w:t>
      </w:r>
      <w:r>
        <w:rPr>
          <w:rFonts w:ascii="Arial" w:cs="Arial" w:eastAsia="Arial" w:hAnsi="Arial"/>
          <w:sz w:val="18"/>
          <w:szCs w:val="18"/>
          <w:color w:val="auto"/>
        </w:rPr>
        <w:t>We test our product candidates across a diverse set of human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cancer cells based on research and understanding of bioinformatics and functional genomics. We also identify and monitor pharmacodynamic biomarkers and surrogates of clinical activity to help measure target engagement, including Macrophage Inhibitory Cytokine-1, or MIC-1, a serum-based biomarker. The biological insights we generate help us to better target various p53 mutants based on their structure and biology. We develop innovative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to advance therapeutic programs for translation to the clinic.</w:t>
      </w:r>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PC14586 Program</w:t>
      </w:r>
    </w:p>
    <w:p>
      <w:pPr>
        <w:spacing w:after="0" w:line="214"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Our lead product candidate, PC14586, is designed to be an orally available small molecule that structurally corrects a mutant p53 protein with the Y220C mutation and restores wild-type p53 function. The Y220C mutation is associated with 1.0-1.5% of all cancers, including breast, NSCLC, colorectal, pancreatic and ovarian cancers. There are currently no drugs approved by the FDA and we are not aware of any other products in clinical development that selectively target the p53 Y220C mutation.</w:t>
      </w:r>
    </w:p>
    <w:p>
      <w:pPr>
        <w:spacing w:after="0" w:line="170" w:lineRule="exact"/>
        <w:rPr>
          <w:sz w:val="20"/>
          <w:szCs w:val="20"/>
          <w:color w:val="auto"/>
        </w:rPr>
      </w:pPr>
    </w:p>
    <w:p>
      <w:pPr>
        <w:ind w:left="300" w:right="380" w:firstLine="532"/>
        <w:spacing w:after="0" w:line="248" w:lineRule="auto"/>
        <w:rPr>
          <w:sz w:val="20"/>
          <w:szCs w:val="20"/>
          <w:color w:val="auto"/>
        </w:rPr>
      </w:pPr>
      <w:r>
        <w:rPr>
          <w:rFonts w:ascii="Arial" w:cs="Arial" w:eastAsia="Arial" w:hAnsi="Arial"/>
          <w:sz w:val="18"/>
          <w:szCs w:val="18"/>
          <w:color w:val="auto"/>
        </w:rPr>
        <w:t>PC14586 is designed to selectively bind to the crevice created by the p53 Y220C mutation and restore the wild-type p53 protein structure and tumor suppressing function. In preclinical studies, we have demonstrated that PC14586 rapidly converts the large protein pool of mutant p53 Y220C protein to wild-type structure. Additionally, structural correction from a mutant p53 Y220C conformation to 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36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0"/>
        <w:spacing w:after="0" w:line="276" w:lineRule="auto"/>
        <w:rPr>
          <w:sz w:val="20"/>
          <w:szCs w:val="20"/>
          <w:color w:val="auto"/>
        </w:rPr>
      </w:pPr>
      <w:r>
        <w:rPr>
          <w:rFonts w:ascii="Arial" w:cs="Arial" w:eastAsia="Arial" w:hAnsi="Arial"/>
          <w:sz w:val="18"/>
          <w:szCs w:val="18"/>
          <w:color w:val="auto"/>
        </w:rPr>
        <w:t>wild-type p53 conformation by PC14586 restored p53-dependent transcription of downstream targets, which is indicative of wild-type p53 biological activity.</w:t>
      </w:r>
    </w:p>
    <w:p>
      <w:pPr>
        <w:spacing w:after="0" w:line="145" w:lineRule="exact"/>
        <w:rPr>
          <w:sz w:val="20"/>
          <w:szCs w:val="20"/>
          <w:color w:val="auto"/>
        </w:rPr>
      </w:pPr>
    </w:p>
    <w:p>
      <w:pPr>
        <w:ind w:left="300" w:right="120" w:firstLine="532"/>
        <w:spacing w:after="0" w:line="243" w:lineRule="auto"/>
        <w:rPr>
          <w:sz w:val="20"/>
          <w:szCs w:val="20"/>
          <w:color w:val="auto"/>
        </w:rPr>
      </w:pPr>
      <w:r>
        <w:rPr>
          <w:rFonts w:ascii="Arial" w:cs="Arial" w:eastAsia="Arial" w:hAnsi="Arial"/>
          <w:sz w:val="18"/>
          <w:szCs w:val="18"/>
          <w:color w:val="auto"/>
        </w:rPr>
        <w:t>PC14586 also exhibited profound single-agent anti-tumor activity in mouse models. We created a human p53 knock-in, or HUPKI, mouse that expresses a p53 protein with the human p53 DNA binding domain and the Y220C mutation. The HUPKI mouse presents spontaneously with sarcomas at six to eight months of age, which we can harvest and re-implant in a wild-type mouse to create a mouse tumor model that has an intact immune system harboring a human Y220C mutation. We believe this syngeneic mouse model better represents the patient population that we expect to see in the clinic, as compared to mouse xenograft models that incorporate human tumors in mice with no immune system.</w:t>
      </w:r>
    </w:p>
    <w:p>
      <w:pPr>
        <w:spacing w:after="0" w:line="174" w:lineRule="exact"/>
        <w:rPr>
          <w:sz w:val="20"/>
          <w:szCs w:val="20"/>
          <w:color w:val="auto"/>
        </w:rPr>
      </w:pPr>
    </w:p>
    <w:p>
      <w:pPr>
        <w:jc w:val="both"/>
        <w:ind w:left="300" w:right="420" w:firstLine="532"/>
        <w:spacing w:after="0" w:line="255" w:lineRule="auto"/>
        <w:rPr>
          <w:sz w:val="20"/>
          <w:szCs w:val="20"/>
          <w:color w:val="auto"/>
        </w:rPr>
      </w:pPr>
      <w:r>
        <w:rPr>
          <w:rFonts w:ascii="Arial" w:cs="Arial" w:eastAsia="Arial" w:hAnsi="Arial"/>
          <w:sz w:val="18"/>
          <w:szCs w:val="18"/>
          <w:color w:val="auto"/>
        </w:rPr>
        <w:t>PC14586 administered as a single-agent demonstrated regression in tumors that express the p53 Y220C mutation in the syngeneic mouse model. PC14586 also exhibited anti-tumor activity in combination with anti-PD-1 therapy in syngeneic mouse models with the human p53 Y220C mutation.</w:t>
      </w:r>
    </w:p>
    <w:p>
      <w:pPr>
        <w:spacing w:after="0" w:line="164" w:lineRule="exact"/>
        <w:rPr>
          <w:sz w:val="20"/>
          <w:szCs w:val="20"/>
          <w:color w:val="auto"/>
        </w:rPr>
      </w:pPr>
    </w:p>
    <w:p>
      <w:pPr>
        <w:ind w:left="300" w:right="500" w:firstLine="532"/>
        <w:spacing w:after="0" w:line="276" w:lineRule="auto"/>
        <w:rPr>
          <w:sz w:val="20"/>
          <w:szCs w:val="20"/>
          <w:color w:val="auto"/>
        </w:rPr>
      </w:pPr>
      <w:r>
        <w:rPr>
          <w:rFonts w:ascii="Arial" w:cs="Arial" w:eastAsia="Arial" w:hAnsi="Arial"/>
          <w:sz w:val="18"/>
          <w:szCs w:val="18"/>
          <w:color w:val="auto"/>
        </w:rPr>
        <w:t>We are initially pursuing a tumor-agnostic development strategy and received authorization to proceed under an IND for PC14586 on September 4, 2020 and plan to start a Phase 1/2 clinical trial in the second half of 2020.</w:t>
      </w:r>
    </w:p>
    <w:p>
      <w:pPr>
        <w:spacing w:after="0" w:line="25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Second Program R273H</w:t>
      </w:r>
    </w:p>
    <w:p>
      <w:pPr>
        <w:spacing w:after="0" w:line="214" w:lineRule="exact"/>
        <w:rPr>
          <w:sz w:val="20"/>
          <w:szCs w:val="20"/>
          <w:color w:val="auto"/>
        </w:rPr>
      </w:pPr>
    </w:p>
    <w:p>
      <w:pPr>
        <w:ind w:left="300" w:firstLine="532"/>
        <w:spacing w:after="0" w:line="243" w:lineRule="auto"/>
        <w:rPr>
          <w:sz w:val="20"/>
          <w:szCs w:val="20"/>
          <w:color w:val="auto"/>
        </w:rPr>
      </w:pPr>
      <w:r>
        <w:rPr>
          <w:rFonts w:ascii="Arial" w:cs="Arial" w:eastAsia="Arial" w:hAnsi="Arial"/>
          <w:sz w:val="18"/>
          <w:szCs w:val="18"/>
          <w:color w:val="auto"/>
        </w:rPr>
        <w:t>We expect to advance our next program, targeting the p53 R273H hotspot mutation, into lead optimization in the first half of 2021. R273H is the third most frequent p53 mutation and is found in approximately 4% of all p53 mutations. The R273H mutation causes a decrease in binding between the p53 protein and DNA, resulting in the p53 protein’s inability to activate transcription of p53 target genes. We are generating molecules designed to enhance and restore the binding of the p53 protein and DNA. Our R273H program continues to progress towards lead optimization, as we have identified several potential candidates from our screening campaigns.</w:t>
      </w:r>
    </w:p>
    <w:p>
      <w:pPr>
        <w:spacing w:after="0" w:line="28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Other Pipeline Programs</w:t>
      </w:r>
    </w:p>
    <w:p>
      <w:pPr>
        <w:spacing w:after="0" w:line="214" w:lineRule="exact"/>
        <w:rPr>
          <w:sz w:val="20"/>
          <w:szCs w:val="20"/>
          <w:color w:val="auto"/>
        </w:rPr>
      </w:pPr>
    </w:p>
    <w:p>
      <w:pPr>
        <w:ind w:left="300" w:right="220" w:firstLine="532"/>
        <w:spacing w:after="0" w:line="255" w:lineRule="auto"/>
        <w:rPr>
          <w:sz w:val="20"/>
          <w:szCs w:val="20"/>
          <w:color w:val="auto"/>
        </w:rPr>
      </w:pPr>
      <w:r>
        <w:rPr>
          <w:rFonts w:ascii="Arial" w:cs="Arial" w:eastAsia="Arial" w:hAnsi="Arial"/>
          <w:sz w:val="18"/>
          <w:szCs w:val="18"/>
          <w:color w:val="auto"/>
        </w:rPr>
        <w:t>In addition to our PC14586 Y220C and R273H programs, we are focused on developing a pipeline of product candidates targeting other p53 hotspot mutations. These programs have been developed internally using our precision oncology platform and expertise.</w:t>
      </w:r>
    </w:p>
    <w:p>
      <w:pPr>
        <w:spacing w:after="0" w:line="27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Our History and Team</w:t>
      </w:r>
    </w:p>
    <w:p>
      <w:pPr>
        <w:spacing w:after="0" w:line="214" w:lineRule="exact"/>
        <w:rPr>
          <w:sz w:val="20"/>
          <w:szCs w:val="20"/>
          <w:color w:val="auto"/>
        </w:rPr>
      </w:pPr>
    </w:p>
    <w:p>
      <w:pPr>
        <w:ind w:left="300" w:right="80" w:firstLine="532"/>
        <w:spacing w:after="0" w:line="243" w:lineRule="auto"/>
        <w:rPr>
          <w:sz w:val="20"/>
          <w:szCs w:val="20"/>
          <w:color w:val="auto"/>
        </w:rPr>
      </w:pPr>
      <w:r>
        <w:rPr>
          <w:rFonts w:ascii="Arial" w:cs="Arial" w:eastAsia="Arial" w:hAnsi="Arial"/>
          <w:sz w:val="18"/>
          <w:szCs w:val="18"/>
          <w:color w:val="auto"/>
        </w:rPr>
        <w:t>We were founded in 2013 by David Mack, Ph.D., Arnold Levine, Ph.D. and Thomas Shenk, Ph.D. Over the past seven years, we have built a precision oncology platform and chemistry discovery engine that leverages more than four decades of research experience and unique insights into the p53 protein. Dr. Levine is widely recognized for his seminal contributions to the field of p53 biology, having discovered p53 in 1979. Our vision has been supported by leading investors, including InterWest Partners, OrbiMed Advisors, Topspin Partners, Euclidean Capital, Nextech Invest, Viking Global Investors, Boxer Capital of Tavistock Group, Osage University Partners, Avoro Capital, RA Capital Management and Wellington Management.</w:t>
      </w:r>
    </w:p>
    <w:p>
      <w:pPr>
        <w:spacing w:after="0" w:line="174" w:lineRule="exact"/>
        <w:rPr>
          <w:sz w:val="20"/>
          <w:szCs w:val="20"/>
          <w:color w:val="auto"/>
        </w:rPr>
      </w:pPr>
    </w:p>
    <w:p>
      <w:pPr>
        <w:ind w:left="300" w:right="360" w:firstLine="532"/>
        <w:spacing w:after="0" w:line="255" w:lineRule="auto"/>
        <w:rPr>
          <w:sz w:val="20"/>
          <w:szCs w:val="20"/>
          <w:color w:val="auto"/>
        </w:rPr>
      </w:pPr>
      <w:r>
        <w:rPr>
          <w:rFonts w:ascii="Arial" w:cs="Arial" w:eastAsia="Arial" w:hAnsi="Arial"/>
          <w:sz w:val="18"/>
          <w:szCs w:val="18"/>
          <w:color w:val="auto"/>
        </w:rPr>
        <w:t>Additionally, we have assembled a management team of biopharmaceutical experts with extensive experience in drug discovery and development, with particular expertise in the discovery of small molecule oncology programs. Dr. David Mack, our President and Chief Executive Officer, was</w:t>
      </w:r>
    </w:p>
    <w:p>
      <w:pPr>
        <w:spacing w:after="0" w:line="200" w:lineRule="exact"/>
        <w:rPr>
          <w:sz w:val="20"/>
          <w:szCs w:val="20"/>
          <w:color w:val="auto"/>
        </w:rPr>
      </w:pPr>
    </w:p>
    <w:p>
      <w:pPr>
        <w:spacing w:after="0" w:line="39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320" w:top="455" w:right="7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0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0"/>
        <w:spacing w:after="0"/>
        <w:rPr>
          <w:sz w:val="20"/>
          <w:szCs w:val="20"/>
          <w:color w:val="auto"/>
        </w:rPr>
      </w:pPr>
      <w:r>
        <w:rPr>
          <w:rFonts w:ascii="Arial" w:cs="Arial" w:eastAsia="Arial" w:hAnsi="Arial"/>
          <w:sz w:val="18"/>
          <w:szCs w:val="18"/>
          <w:color w:val="auto"/>
        </w:rPr>
        <w:t>previously General Partner at Alta Partners and co-founder and Vice President of Genomic Research at Eos Biotechnology, where he led the advancement of multiple product candidates prior to the company’s sale to Protein Design Labs. Mr. Winston Kung, our Chief Operating Officer and Chief Financial Officer, was previously Vice President of Business Development and Global Alliances at Celgene and Chief Business Officer of Celgene Cellular Therapeutics. Dr. Leila Alland, our Chief Medical Officer, is an oncologist with 20 years of experience developing oncology products in the biopharmaceutical industry, most recently as Chief Medical Officer of Affimed. Dr. Deepika Jalota, Pharm.D., our Senior Vice President, Regulatory Affairs and Quality Assurance, was previously Vice President of Oncology Regulatory Affairs at Bayer and led the tumor-agnostic regulatory strategy for larotrectinib (Vitrakvi) in collaboration with Loxo Oncology.</w:t>
      </w:r>
    </w:p>
    <w:p>
      <w:pPr>
        <w:spacing w:after="0" w:line="180" w:lineRule="exact"/>
        <w:rPr>
          <w:sz w:val="20"/>
          <w:szCs w:val="20"/>
          <w:color w:val="auto"/>
        </w:rPr>
      </w:pPr>
    </w:p>
    <w:p>
      <w:pPr>
        <w:ind w:left="300" w:right="20" w:firstLine="532"/>
        <w:spacing w:after="0" w:line="276" w:lineRule="auto"/>
        <w:rPr>
          <w:sz w:val="20"/>
          <w:szCs w:val="20"/>
          <w:color w:val="auto"/>
        </w:rPr>
      </w:pPr>
      <w:r>
        <w:rPr>
          <w:rFonts w:ascii="Arial" w:cs="Arial" w:eastAsia="Arial" w:hAnsi="Arial"/>
          <w:sz w:val="18"/>
          <w:szCs w:val="18"/>
          <w:color w:val="auto"/>
        </w:rPr>
        <w:t>Our company was founded and continues to be supported by world-class scientific advisors, including our SAB, many of whom have been associated with multiple oncology product approvals.</w:t>
      </w: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Our Strategy</w:t>
      </w:r>
    </w:p>
    <w:p>
      <w:pPr>
        <w:spacing w:after="0" w:line="214" w:lineRule="exact"/>
        <w:rPr>
          <w:sz w:val="20"/>
          <w:szCs w:val="20"/>
          <w:color w:val="auto"/>
        </w:rPr>
      </w:pPr>
    </w:p>
    <w:p>
      <w:pPr>
        <w:ind w:left="300" w:right="140" w:firstLine="532"/>
        <w:spacing w:after="0" w:line="276" w:lineRule="auto"/>
        <w:rPr>
          <w:sz w:val="20"/>
          <w:szCs w:val="20"/>
          <w:color w:val="auto"/>
        </w:rPr>
      </w:pPr>
      <w:r>
        <w:rPr>
          <w:rFonts w:ascii="Arial" w:cs="Arial" w:eastAsia="Arial" w:hAnsi="Arial"/>
          <w:sz w:val="18"/>
          <w:szCs w:val="18"/>
          <w:color w:val="auto"/>
        </w:rPr>
        <w:t>Our vision is to become a leading precision oncology company by designing, developing and commercializing small molecule therapies targeting mutant p53. The critical components of our strategy include:</w:t>
      </w:r>
    </w:p>
    <w:p>
      <w:pPr>
        <w:spacing w:after="0" w:line="50" w:lineRule="exact"/>
        <w:rPr>
          <w:sz w:val="20"/>
          <w:szCs w:val="20"/>
          <w:color w:val="auto"/>
        </w:rPr>
      </w:pPr>
    </w:p>
    <w:p>
      <w:pPr>
        <w:ind w:left="1020" w:right="20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advancing our lead product candidate, PC14586, as a tumor-agnostic, oral small molecule single-agent therapy for cancer patients;</w:t>
      </w:r>
    </w:p>
    <w:p>
      <w:pPr>
        <w:spacing w:after="0" w:line="50" w:lineRule="exact"/>
        <w:rPr>
          <w:rFonts w:ascii="Arial" w:cs="Arial" w:eastAsia="Arial" w:hAnsi="Arial"/>
          <w:sz w:val="18"/>
          <w:szCs w:val="18"/>
          <w:color w:val="auto"/>
        </w:rPr>
      </w:pPr>
    </w:p>
    <w:p>
      <w:pPr>
        <w:ind w:left="102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harnessing the power of our precision oncology platform to discover and develop additional differentiated product candidates that are designed to precisely target p53 mutations in cancer;</w:t>
      </w:r>
    </w:p>
    <w:p>
      <w:pPr>
        <w:spacing w:after="0" w:line="50" w:lineRule="exact"/>
        <w:rPr>
          <w:rFonts w:ascii="Arial" w:cs="Arial" w:eastAsia="Arial" w:hAnsi="Arial"/>
          <w:sz w:val="18"/>
          <w:szCs w:val="18"/>
          <w:color w:val="auto"/>
        </w:rPr>
      </w:pPr>
    </w:p>
    <w:p>
      <w:pPr>
        <w:ind w:left="1020" w:right="42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the advantages of precision medicine and our expertise in p53 biology to pursue accelerated approval of our product candidates; and</w:t>
      </w:r>
    </w:p>
    <w:p>
      <w:pPr>
        <w:spacing w:after="0" w:line="50"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identifying and exploring combination therapy approaches for our product candidates.</w:t>
      </w:r>
    </w:p>
    <w:p>
      <w:pPr>
        <w:spacing w:after="0" w:line="31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Related to Our Business</w:t>
      </w:r>
    </w:p>
    <w:p>
      <w:pPr>
        <w:spacing w:after="0" w:line="214" w:lineRule="exact"/>
        <w:rPr>
          <w:sz w:val="20"/>
          <w:szCs w:val="20"/>
          <w:color w:val="auto"/>
        </w:rPr>
      </w:pPr>
    </w:p>
    <w:p>
      <w:pPr>
        <w:ind w:left="300" w:right="300" w:firstLine="532"/>
        <w:spacing w:after="0" w:line="255" w:lineRule="auto"/>
        <w:rPr>
          <w:sz w:val="20"/>
          <w:szCs w:val="20"/>
          <w:color w:val="auto"/>
        </w:rPr>
      </w:pPr>
      <w:r>
        <w:rPr>
          <w:rFonts w:ascii="Arial" w:cs="Arial" w:eastAsia="Arial" w:hAnsi="Arial"/>
          <w:sz w:val="18"/>
          <w:szCs w:val="18"/>
          <w:color w:val="auto"/>
        </w:rPr>
        <w:t>Our ability to execute on our business strategy is subject to a number of risks, which are discussed more fully in the section titled “Risk Factors.” You should carefully consider these risks before making an investment in our common stock. These risks include, among others, the following:</w:t>
      </w:r>
    </w:p>
    <w:p>
      <w:pPr>
        <w:spacing w:after="0" w:line="69" w:lineRule="exact"/>
        <w:rPr>
          <w:sz w:val="20"/>
          <w:szCs w:val="20"/>
          <w:color w:val="auto"/>
        </w:rPr>
      </w:pPr>
    </w:p>
    <w:p>
      <w:pPr>
        <w:ind w:left="1020" w:right="34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have not initiated or completed any clinical trials, and have no products approved for commercial sale;</w:t>
      </w:r>
    </w:p>
    <w:p>
      <w:pPr>
        <w:spacing w:after="0" w:line="50" w:lineRule="exact"/>
        <w:rPr>
          <w:rFonts w:ascii="Arial" w:cs="Arial" w:eastAsia="Arial" w:hAnsi="Arial"/>
          <w:sz w:val="18"/>
          <w:szCs w:val="18"/>
          <w:color w:val="auto"/>
        </w:rPr>
      </w:pPr>
    </w:p>
    <w:p>
      <w:pPr>
        <w:ind w:left="1020" w:right="42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we expect to incur significant net losses for the foreseeable future and may not be able to achieve or sustain revenue or profitability in the future;</w:t>
      </w:r>
    </w:p>
    <w:p>
      <w:pPr>
        <w:spacing w:after="0" w:line="50" w:lineRule="exact"/>
        <w:rPr>
          <w:rFonts w:ascii="Arial" w:cs="Arial" w:eastAsia="Arial" w:hAnsi="Arial"/>
          <w:sz w:val="18"/>
          <w:szCs w:val="18"/>
          <w:color w:val="auto"/>
        </w:rPr>
      </w:pPr>
    </w:p>
    <w:p>
      <w:pPr>
        <w:jc w:val="both"/>
        <w:ind w:left="1020" w:right="8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not generated any revenue from our product candidates and may never generate revenue or be profitable and our ability to generate revenue and achieve profitability depends significantly on our ability to achieve several objectives relating to the discovery, development and commercialization of our product candidates;</w:t>
      </w:r>
    </w:p>
    <w:p>
      <w:pPr>
        <w:spacing w:after="0" w:line="69" w:lineRule="exact"/>
        <w:rPr>
          <w:rFonts w:ascii="Arial" w:cs="Arial" w:eastAsia="Arial" w:hAnsi="Arial"/>
          <w:sz w:val="18"/>
          <w:szCs w:val="18"/>
          <w:color w:val="auto"/>
        </w:rPr>
      </w:pPr>
    </w:p>
    <w:p>
      <w:pPr>
        <w:ind w:left="1020" w:right="16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5" w:right="6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0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capital to finance our operations;</w:t>
      </w:r>
    </w:p>
    <w:p>
      <w:pPr>
        <w:spacing w:after="0" w:line="117" w:lineRule="exact"/>
        <w:rPr>
          <w:rFonts w:ascii="Arial" w:cs="Arial" w:eastAsia="Arial" w:hAnsi="Arial"/>
          <w:sz w:val="18"/>
          <w:szCs w:val="18"/>
          <w:color w:val="auto"/>
        </w:rPr>
      </w:pPr>
    </w:p>
    <w:p>
      <w:pPr>
        <w:ind w:left="1020" w:right="40" w:hanging="195"/>
        <w:spacing w:after="0" w:line="24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discovery and preclinical development is focused on the development of precision medicines for patients with genetically defined cancers, which is a rapidly evolving area of science, and the approach we are taking to discover and develop drugs targeting p53 hotspot mutations is novel, may never lead to marketable products and may not ultimately represent a significant market;</w:t>
      </w:r>
    </w:p>
    <w:p>
      <w:pPr>
        <w:spacing w:after="0" w:line="75" w:lineRule="exact"/>
        <w:rPr>
          <w:rFonts w:ascii="Arial" w:cs="Arial" w:eastAsia="Arial" w:hAnsi="Arial"/>
          <w:sz w:val="18"/>
          <w:szCs w:val="18"/>
          <w:color w:val="auto"/>
        </w:rPr>
      </w:pPr>
    </w:p>
    <w:p>
      <w:pPr>
        <w:ind w:left="1020" w:right="6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very early in our development efforts and are substantially dependent on our lead product candidate, PC14586. If we are unable to advance, obtain regulatory approval for and commercialize PC14586, our business, financial condition and results of operations will be materially adversely affected;</w:t>
      </w:r>
    </w:p>
    <w:p>
      <w:pPr>
        <w:spacing w:after="0" w:line="69" w:lineRule="exact"/>
        <w:rPr>
          <w:rFonts w:ascii="Arial" w:cs="Arial" w:eastAsia="Arial" w:hAnsi="Arial"/>
          <w:sz w:val="18"/>
          <w:szCs w:val="18"/>
          <w:color w:val="auto"/>
        </w:rPr>
      </w:pPr>
    </w:p>
    <w:p>
      <w:pPr>
        <w:ind w:left="1020" w:right="220" w:hanging="195"/>
        <w:spacing w:after="0" w:line="24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interim “top-line” and preliminary data that we announce for our initial open-label Phase 1/2 clinical trial for PC14586 may change as more patient data become available and are subject to audit and verification procedures that could result in material changes in the final data. If the interim, top-line or preliminary data that we report differ from actual results, our ability to obtain approval for our product candidates may be adversely affected, which could materially adversely affect our business, financial condition and results of operations;</w:t>
      </w:r>
    </w:p>
    <w:p>
      <w:pPr>
        <w:spacing w:after="0" w:line="77" w:lineRule="exact"/>
        <w:rPr>
          <w:rFonts w:ascii="Arial" w:cs="Arial" w:eastAsia="Arial" w:hAnsi="Arial"/>
          <w:sz w:val="18"/>
          <w:szCs w:val="18"/>
          <w:color w:val="auto"/>
        </w:rPr>
      </w:pPr>
    </w:p>
    <w:p>
      <w:pPr>
        <w:ind w:left="1020" w:right="10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69" w:lineRule="exact"/>
        <w:rPr>
          <w:rFonts w:ascii="Arial" w:cs="Arial" w:eastAsia="Arial" w:hAnsi="Arial"/>
          <w:sz w:val="18"/>
          <w:szCs w:val="18"/>
          <w:color w:val="auto"/>
        </w:rPr>
      </w:pPr>
    </w:p>
    <w:p>
      <w:pPr>
        <w:ind w:left="1020" w:right="4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69" w:lineRule="exact"/>
        <w:rPr>
          <w:rFonts w:ascii="Arial" w:cs="Arial" w:eastAsia="Arial" w:hAnsi="Arial"/>
          <w:sz w:val="18"/>
          <w:szCs w:val="18"/>
          <w:color w:val="auto"/>
        </w:rPr>
      </w:pPr>
    </w:p>
    <w:p>
      <w:pPr>
        <w:ind w:left="1020" w:right="780" w:hanging="195"/>
        <w:spacing w:after="0" w:line="24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regulatory approval processes of the FDA and other comparable foreign regulatory authorities are lengthy, time consuming and inherently unpredictable. If we are not able to obtain required regulatory approvals for our product candidates, we will not be able to commercialize our product candidates, and our ability to generate revenue will be materially impaired;</w:t>
      </w:r>
    </w:p>
    <w:p>
      <w:pPr>
        <w:spacing w:after="0" w:line="75" w:lineRule="exact"/>
        <w:rPr>
          <w:rFonts w:ascii="Arial" w:cs="Arial" w:eastAsia="Arial" w:hAnsi="Arial"/>
          <w:sz w:val="18"/>
          <w:szCs w:val="18"/>
          <w:color w:val="auto"/>
        </w:rPr>
      </w:pPr>
    </w:p>
    <w:p>
      <w:pPr>
        <w:ind w:left="1020" w:right="20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rely, and plan to rely in the future, on third parties to conduct and support preclinical and clinical development, and these third parties may not meet expectations;</w:t>
      </w:r>
    </w:p>
    <w:p>
      <w:pPr>
        <w:spacing w:after="0" w:line="50" w:lineRule="exact"/>
        <w:rPr>
          <w:rFonts w:ascii="Arial" w:cs="Arial" w:eastAsia="Arial" w:hAnsi="Arial"/>
          <w:sz w:val="18"/>
          <w:szCs w:val="18"/>
          <w:color w:val="auto"/>
        </w:rPr>
      </w:pPr>
    </w:p>
    <w:p>
      <w:pPr>
        <w:ind w:left="1020" w:right="120" w:hanging="195"/>
        <w:spacing w:after="0" w:line="30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patent and other intellectual property protection for our product candidates and technology, our competitors could develop and commercialize products and technology similar or identical to ours;</w:t>
      </w:r>
    </w:p>
    <w:p>
      <w:pPr>
        <w:spacing w:after="0" w:line="28" w:lineRule="exact"/>
        <w:rPr>
          <w:rFonts w:ascii="Arial" w:cs="Arial" w:eastAsia="Arial" w:hAnsi="Arial"/>
          <w:sz w:val="17"/>
          <w:szCs w:val="17"/>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and</w:t>
      </w:r>
    </w:p>
    <w:p>
      <w:pPr>
        <w:spacing w:after="0" w:line="117" w:lineRule="exact"/>
        <w:rPr>
          <w:rFonts w:ascii="Arial" w:cs="Arial" w:eastAsia="Arial" w:hAnsi="Arial"/>
          <w:sz w:val="18"/>
          <w:szCs w:val="18"/>
          <w:color w:val="auto"/>
        </w:rPr>
      </w:pPr>
    </w:p>
    <w:p>
      <w:pPr>
        <w:ind w:left="1020" w:right="54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companion diagnostics with third party collaborators, which must also separately be approved as medical devices by the FDA.</w:t>
      </w:r>
    </w:p>
    <w:p>
      <w:pPr>
        <w:spacing w:after="0" w:line="25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214" w:lineRule="exact"/>
        <w:rPr>
          <w:sz w:val="20"/>
          <w:szCs w:val="20"/>
          <w:color w:val="auto"/>
        </w:rPr>
      </w:pPr>
    </w:p>
    <w:p>
      <w:pPr>
        <w:ind w:left="300" w:firstLine="532"/>
        <w:spacing w:after="0" w:line="245" w:lineRule="auto"/>
        <w:rPr>
          <w:sz w:val="20"/>
          <w:szCs w:val="20"/>
          <w:color w:val="auto"/>
        </w:rPr>
      </w:pPr>
      <w:r>
        <w:rPr>
          <w:rFonts w:ascii="Arial" w:cs="Arial" w:eastAsia="Arial" w:hAnsi="Arial"/>
          <w:sz w:val="18"/>
          <w:szCs w:val="18"/>
          <w:color w:val="auto"/>
        </w:rPr>
        <w:t>We were incorporated in Delaware in March 2013 under the name “PJ Pharmaceuticals, Inc.” In July 2013, we changed our name to “PMV Pharmaceuticals, Inc.” Our principal executive offices are located at 8 Clarke Drive, Suite 3, Cranbury, New Jersey 08512. Our telephone number is (609) 642-6670. Our website address is www.pmvpharma.com. Information contained on, or that can be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5" w:right="6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72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48729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14" w:lineRule="exact"/>
        <w:rPr>
          <w:sz w:val="20"/>
          <w:szCs w:val="20"/>
          <w:color w:val="auto"/>
        </w:rPr>
      </w:pPr>
    </w:p>
    <w:p>
      <w:pPr>
        <w:ind w:left="300" w:right="100" w:firstLine="532"/>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An emerging growth company may take advantage of certain reduced reporting requirements that are otherwise applicable to public companies. These provisions include, but are not limited to:</w:t>
      </w:r>
    </w:p>
    <w:p>
      <w:pPr>
        <w:spacing w:after="0" w:line="69" w:lineRule="exact"/>
        <w:rPr>
          <w:sz w:val="20"/>
          <w:szCs w:val="20"/>
          <w:color w:val="auto"/>
        </w:rPr>
      </w:pPr>
    </w:p>
    <w:p>
      <w:pPr>
        <w:ind w:left="1020" w:right="20" w:hanging="195"/>
        <w:spacing w:after="0" w:line="25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pacing w:after="0" w:line="69" w:lineRule="exact"/>
        <w:rPr>
          <w:rFonts w:ascii="Arial" w:cs="Arial" w:eastAsia="Arial" w:hAnsi="Arial"/>
          <w:sz w:val="18"/>
          <w:szCs w:val="18"/>
          <w:color w:val="auto"/>
        </w:rPr>
      </w:pPr>
    </w:p>
    <w:p>
      <w:pPr>
        <w:ind w:left="1020" w:right="12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w:t>
      </w:r>
    </w:p>
    <w:p>
      <w:pPr>
        <w:spacing w:after="0" w:line="50" w:lineRule="exact"/>
        <w:rPr>
          <w:rFonts w:ascii="Arial" w:cs="Arial" w:eastAsia="Arial" w:hAnsi="Arial"/>
          <w:sz w:val="18"/>
          <w:szCs w:val="18"/>
          <w:color w:val="auto"/>
        </w:rPr>
      </w:pPr>
    </w:p>
    <w:p>
      <w:pPr>
        <w:ind w:left="1020" w:right="78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prospectus and our periodic reports, proxy statements and registration statements; and</w:t>
      </w:r>
    </w:p>
    <w:p>
      <w:pPr>
        <w:spacing w:after="0" w:line="50" w:lineRule="exact"/>
        <w:rPr>
          <w:rFonts w:ascii="Arial" w:cs="Arial" w:eastAsia="Arial" w:hAnsi="Arial"/>
          <w:sz w:val="18"/>
          <w:szCs w:val="18"/>
          <w:color w:val="auto"/>
        </w:rPr>
      </w:pPr>
    </w:p>
    <w:p>
      <w:pPr>
        <w:ind w:left="1020" w:right="66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any golden parachute payments.</w:t>
      </w:r>
    </w:p>
    <w:p>
      <w:pPr>
        <w:spacing w:after="0" w:line="145"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at least $1.07 billion in annual gross revenue; (ii) the date we are deemed to be a “large accelerated filer”; (iii) the issuance, in any three-year period, by us of more than $1.0 billion in non-convertible debt securities; and (iv) the last day of the fiscal year following the fifth anniversary of this offering.</w:t>
      </w:r>
    </w:p>
    <w:p>
      <w:pPr>
        <w:spacing w:after="0" w:line="170" w:lineRule="exact"/>
        <w:rPr>
          <w:sz w:val="20"/>
          <w:szCs w:val="20"/>
          <w:color w:val="auto"/>
        </w:rPr>
      </w:pPr>
    </w:p>
    <w:p>
      <w:pPr>
        <w:ind w:left="300" w:firstLine="532"/>
        <w:spacing w:after="0" w:line="245" w:lineRule="auto"/>
        <w:rPr>
          <w:sz w:val="20"/>
          <w:szCs w:val="20"/>
          <w:color w:val="auto"/>
        </w:rPr>
      </w:pPr>
      <w:r>
        <w:rPr>
          <w:rFonts w:ascii="Arial" w:cs="Arial" w:eastAsia="Arial" w:hAnsi="Arial"/>
          <w:sz w:val="18"/>
          <w:szCs w:val="18"/>
          <w:color w:val="auto"/>
        </w:rPr>
        <w:t>We have taken advantage of reduced reporting requirements in this prospectus and may elect to take advantage of other reduced reporting requirements in our future filings with the Securities and Exchange Commission. As a result, the information that we provide to our stockholders may be different than, and not comparable to, information presented by other public reporting companies. In particular, in this prospectus, we have provided only two years of audited financial statements and have not included all of the executive compensation related information that would be required if we were not an emerging growth company.</w:t>
      </w:r>
    </w:p>
    <w:p>
      <w:pPr>
        <w:spacing w:after="0" w:line="172" w:lineRule="exact"/>
        <w:rPr>
          <w:sz w:val="20"/>
          <w:szCs w:val="20"/>
          <w:color w:val="auto"/>
        </w:rPr>
      </w:pPr>
    </w:p>
    <w:p>
      <w:pPr>
        <w:ind w:left="300" w:right="140" w:firstLine="532"/>
        <w:spacing w:after="0" w:line="241"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we either (i) irrevocably elect to “opt out” of such extended transition period or (ii) no longer qualify as an emerging growth company.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061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0615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Common stock offered by us</w:t>
            </w:r>
          </w:p>
        </w:tc>
        <w:tc>
          <w:tcPr>
            <w:tcW w:w="5680" w:type="dxa"/>
            <w:vAlign w:val="bottom"/>
          </w:tcPr>
          <w:p>
            <w:pPr>
              <w:ind w:left="360"/>
              <w:spacing w:after="0"/>
              <w:rPr>
                <w:sz w:val="20"/>
                <w:szCs w:val="20"/>
                <w:color w:val="auto"/>
              </w:rPr>
            </w:pPr>
            <w:r>
              <w:rPr>
                <w:rFonts w:ascii="Arial" w:cs="Arial" w:eastAsia="Arial" w:hAnsi="Arial"/>
                <w:sz w:val="18"/>
                <w:szCs w:val="18"/>
                <w:color w:val="auto"/>
              </w:rPr>
              <w:t>7,350,000 shares.</w:t>
            </w:r>
          </w:p>
        </w:tc>
      </w:tr>
      <w:tr>
        <w:trPr>
          <w:trHeight w:val="257"/>
        </w:trPr>
        <w:tc>
          <w:tcPr>
            <w:tcW w:w="5340" w:type="dxa"/>
            <w:vAlign w:val="bottom"/>
          </w:tcPr>
          <w:p>
            <w:pPr>
              <w:ind w:left="180"/>
              <w:spacing w:after="0"/>
              <w:rPr>
                <w:sz w:val="20"/>
                <w:szCs w:val="20"/>
                <w:color w:val="auto"/>
              </w:rPr>
            </w:pPr>
            <w:r>
              <w:rPr>
                <w:rFonts w:ascii="Arial" w:cs="Arial" w:eastAsia="Arial" w:hAnsi="Arial"/>
                <w:sz w:val="18"/>
                <w:szCs w:val="18"/>
                <w:color w:val="auto"/>
              </w:rPr>
              <w:t>Underwriters’ option to purchase additional shares</w:t>
            </w:r>
          </w:p>
        </w:tc>
        <w:tc>
          <w:tcPr>
            <w:tcW w:w="5680" w:type="dxa"/>
            <w:vAlign w:val="bottom"/>
          </w:tcPr>
          <w:p>
            <w:pPr>
              <w:ind w:left="360"/>
              <w:spacing w:after="0"/>
              <w:rPr>
                <w:sz w:val="20"/>
                <w:szCs w:val="20"/>
                <w:color w:val="auto"/>
              </w:rPr>
            </w:pPr>
            <w:r>
              <w:rPr>
                <w:rFonts w:ascii="Arial" w:cs="Arial" w:eastAsia="Arial" w:hAnsi="Arial"/>
                <w:sz w:val="18"/>
                <w:szCs w:val="18"/>
                <w:color w:val="auto"/>
              </w:rPr>
              <w:t>We have granted the underwriters an option for a period of</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30 days to purchase up to 1,102,500 additional shares of our</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common stock.</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Common stock to be outstanding immediately after this offering</w:t>
            </w:r>
          </w:p>
        </w:tc>
        <w:tc>
          <w:tcPr>
            <w:tcW w:w="5680" w:type="dxa"/>
            <w:vAlign w:val="bottom"/>
          </w:tcPr>
          <w:p>
            <w:pPr>
              <w:ind w:left="360"/>
              <w:spacing w:after="0"/>
              <w:rPr>
                <w:sz w:val="20"/>
                <w:szCs w:val="20"/>
                <w:color w:val="auto"/>
              </w:rPr>
            </w:pPr>
            <w:r>
              <w:rPr>
                <w:rFonts w:ascii="Arial" w:cs="Arial" w:eastAsia="Arial" w:hAnsi="Arial"/>
                <w:sz w:val="18"/>
                <w:szCs w:val="18"/>
                <w:color w:val="auto"/>
              </w:rPr>
              <w:t>38,584,310 shares (or 39,686,810 shares if the underwriters</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exercise their option to purchase additional shares in full).</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5680" w:type="dxa"/>
            <w:vAlign w:val="bottom"/>
          </w:tcPr>
          <w:p>
            <w:pPr>
              <w:ind w:left="360"/>
              <w:spacing w:after="0"/>
              <w:rPr>
                <w:sz w:val="20"/>
                <w:szCs w:val="20"/>
                <w:color w:val="auto"/>
              </w:rPr>
            </w:pPr>
            <w:r>
              <w:rPr>
                <w:rFonts w:ascii="Arial" w:cs="Arial" w:eastAsia="Arial" w:hAnsi="Arial"/>
                <w:sz w:val="18"/>
                <w:szCs w:val="18"/>
                <w:color w:val="auto"/>
              </w:rPr>
              <w:t>We estimate that the net proceeds to us from the sale of the</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shares of our common stock in this offering will be</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approximately $112.8 million million, or approximately $130.2</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million if the underwriters exercise their option to purchase</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additional shares in full, based upon the assumed initial public</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offering price of $17.00 per share, which is the midpoint of the</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estimated offering price range set forth on the cover page of this</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prospectus, and after deducting estimated underwriting</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discounts and commissions and estimated offering expenses</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payable by us.</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We currently anticipate that we will use the net proceeds from</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this offering, together with our existing cash, cash equivalents</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and short-term marketable securities, as follows: (1) to fund the</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Phase 1/2 development of PC14586; (2) to support the</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development of our R273H program, including lead optimization</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and IND-enabling studies; (3) for the development of our</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pipeline discovery programs; and (4) for other research and</w:t>
            </w:r>
          </w:p>
        </w:tc>
      </w:tr>
      <w:tr>
        <w:trPr>
          <w:trHeight w:val="202"/>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development opportunities, working capital and general</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corporate purposes.</w:t>
            </w:r>
          </w:p>
        </w:tc>
      </w:tr>
      <w:tr>
        <w:trPr>
          <w:trHeight w:val="284"/>
        </w:trPr>
        <w:tc>
          <w:tcPr>
            <w:tcW w:w="5340" w:type="dxa"/>
            <w:vAlign w:val="bottom"/>
          </w:tcPr>
          <w:p>
            <w:pPr>
              <w:spacing w:after="0"/>
              <w:rPr>
                <w:sz w:val="24"/>
                <w:szCs w:val="24"/>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See the section titled “Use of Proceeds” for more information.</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5680" w:type="dxa"/>
            <w:vAlign w:val="bottom"/>
          </w:tcPr>
          <w:p>
            <w:pPr>
              <w:ind w:left="360"/>
              <w:spacing w:after="0"/>
              <w:rPr>
                <w:sz w:val="20"/>
                <w:szCs w:val="20"/>
                <w:color w:val="auto"/>
              </w:rPr>
            </w:pPr>
            <w:r>
              <w:rPr>
                <w:rFonts w:ascii="Arial" w:cs="Arial" w:eastAsia="Arial" w:hAnsi="Arial"/>
                <w:sz w:val="18"/>
                <w:szCs w:val="18"/>
                <w:color w:val="auto"/>
              </w:rPr>
              <w:t>See the section of this prospectus titled “Risk Factors”</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beginning on page 12 and other information included in this</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prospectus for a discussion of factors you should carefully</w:t>
            </w:r>
          </w:p>
        </w:tc>
      </w:tr>
      <w:tr>
        <w:trPr>
          <w:trHeight w:val="203"/>
        </w:trPr>
        <w:tc>
          <w:tcPr>
            <w:tcW w:w="5340" w:type="dxa"/>
            <w:vAlign w:val="bottom"/>
          </w:tcPr>
          <w:p>
            <w:pPr>
              <w:spacing w:after="0"/>
              <w:rPr>
                <w:sz w:val="17"/>
                <w:szCs w:val="17"/>
                <w:color w:val="auto"/>
              </w:rPr>
            </w:pPr>
          </w:p>
        </w:tc>
        <w:tc>
          <w:tcPr>
            <w:tcW w:w="5680" w:type="dxa"/>
            <w:vAlign w:val="bottom"/>
          </w:tcPr>
          <w:p>
            <w:pPr>
              <w:ind w:left="360"/>
              <w:spacing w:after="0" w:line="202" w:lineRule="exact"/>
              <w:rPr>
                <w:sz w:val="20"/>
                <w:szCs w:val="20"/>
                <w:color w:val="auto"/>
              </w:rPr>
            </w:pPr>
            <w:r>
              <w:rPr>
                <w:rFonts w:ascii="Arial" w:cs="Arial" w:eastAsia="Arial" w:hAnsi="Arial"/>
                <w:sz w:val="18"/>
                <w:szCs w:val="18"/>
                <w:color w:val="auto"/>
              </w:rPr>
              <w:t>consider before deciding to invest in shares of our common</w:t>
            </w:r>
          </w:p>
        </w:tc>
      </w:tr>
      <w:tr>
        <w:trPr>
          <w:trHeight w:val="243"/>
        </w:trPr>
        <w:tc>
          <w:tcPr>
            <w:tcW w:w="534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stock.</w:t>
            </w:r>
          </w:p>
        </w:tc>
      </w:tr>
      <w:tr>
        <w:trPr>
          <w:trHeight w:val="283"/>
        </w:trPr>
        <w:tc>
          <w:tcPr>
            <w:tcW w:w="5340" w:type="dxa"/>
            <w:vAlign w:val="bottom"/>
          </w:tcPr>
          <w:p>
            <w:pPr>
              <w:ind w:left="180"/>
              <w:spacing w:after="0"/>
              <w:rPr>
                <w:sz w:val="20"/>
                <w:szCs w:val="20"/>
                <w:color w:val="auto"/>
              </w:rPr>
            </w:pPr>
            <w:r>
              <w:rPr>
                <w:rFonts w:ascii="Arial" w:cs="Arial" w:eastAsia="Arial" w:hAnsi="Arial"/>
                <w:sz w:val="18"/>
                <w:szCs w:val="18"/>
                <w:color w:val="auto"/>
              </w:rPr>
              <w:t>Proposed Nasdaq Global Market trading symbol</w:t>
            </w:r>
          </w:p>
        </w:tc>
        <w:tc>
          <w:tcPr>
            <w:tcW w:w="5680" w:type="dxa"/>
            <w:vAlign w:val="bottom"/>
          </w:tcPr>
          <w:p>
            <w:pPr>
              <w:ind w:left="360"/>
              <w:spacing w:after="0"/>
              <w:rPr>
                <w:sz w:val="20"/>
                <w:szCs w:val="20"/>
                <w:color w:val="auto"/>
              </w:rPr>
            </w:pPr>
            <w:r>
              <w:rPr>
                <w:rFonts w:ascii="Arial" w:cs="Arial" w:eastAsia="Arial" w:hAnsi="Arial"/>
                <w:sz w:val="18"/>
                <w:szCs w:val="18"/>
                <w:color w:val="auto"/>
              </w:rPr>
              <w:t>“PMVP”</w:t>
            </w:r>
          </w:p>
        </w:tc>
      </w:tr>
      <w:tr>
        <w:trPr>
          <w:trHeight w:val="236"/>
        </w:trPr>
        <w:tc>
          <w:tcPr>
            <w:tcW w:w="5340" w:type="dxa"/>
            <w:vAlign w:val="bottom"/>
            <w:tcBorders>
              <w:bottom w:val="single" w:sz="8" w:color="auto"/>
            </w:tcBorders>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p>
        </w:tc>
      </w:tr>
      <w:tr>
        <w:trPr>
          <w:trHeight w:val="608"/>
        </w:trPr>
        <w:tc>
          <w:tcPr>
            <w:tcW w:w="5340" w:type="dxa"/>
            <w:vAlign w:val="bottom"/>
          </w:tcPr>
          <w:p>
            <w:pPr>
              <w:spacing w:after="0"/>
              <w:rPr>
                <w:sz w:val="24"/>
                <w:szCs w:val="24"/>
                <w:color w:val="auto"/>
              </w:rPr>
            </w:pPr>
          </w:p>
        </w:tc>
        <w:tc>
          <w:tcPr>
            <w:tcW w:w="5680" w:type="dxa"/>
            <w:vAlign w:val="bottom"/>
          </w:tcPr>
          <w:p>
            <w:pPr>
              <w:ind w:left="12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30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1301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40" w:firstLine="532"/>
        <w:spacing w:after="0" w:line="248" w:lineRule="auto"/>
        <w:rPr>
          <w:sz w:val="20"/>
          <w:szCs w:val="20"/>
          <w:color w:val="auto"/>
        </w:rPr>
      </w:pPr>
      <w:r>
        <w:rPr>
          <w:rFonts w:ascii="Arial" w:cs="Arial" w:eastAsia="Arial" w:hAnsi="Arial"/>
          <w:sz w:val="18"/>
          <w:szCs w:val="18"/>
          <w:color w:val="auto"/>
        </w:rPr>
        <w:t>The number of shares of our common stock to be outstanding after this offering is based on 25,912,446 shares of our common stock outstanding as of June 30, 2020 (including an aggregate of 22,866,246 shares of common stock issuable upon conversion of our outstanding convertible preferred stock as of June 30, 2020), plus 5,321,864 shares of our common stock issuable pursuant to the conversion of our Series D convertible preferred stock issued and sold in July 2020, and excludes the following:</w:t>
      </w:r>
    </w:p>
    <w:p>
      <w:pPr>
        <w:spacing w:after="0" w:line="76" w:lineRule="exact"/>
        <w:rPr>
          <w:sz w:val="20"/>
          <w:szCs w:val="20"/>
          <w:color w:val="auto"/>
        </w:rPr>
      </w:pPr>
    </w:p>
    <w:p>
      <w:pPr>
        <w:ind w:left="1020" w:right="120" w:hanging="195"/>
        <w:spacing w:after="0" w:line="27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3,922,612 shares of common stock issuable upon exercise of options to purchase shares of our common stock outstanding as of June 30, 2020, with a weighted-average exercise price of $2.66 per share;</w:t>
      </w:r>
    </w:p>
    <w:p>
      <w:pPr>
        <w:spacing w:after="0" w:line="50" w:lineRule="exact"/>
        <w:rPr>
          <w:rFonts w:ascii="Arial" w:cs="Arial" w:eastAsia="Arial" w:hAnsi="Arial"/>
          <w:sz w:val="18"/>
          <w:szCs w:val="18"/>
          <w:color w:val="auto"/>
        </w:rPr>
      </w:pPr>
    </w:p>
    <w:p>
      <w:pPr>
        <w:ind w:left="1020" w:right="620" w:hanging="195"/>
        <w:spacing w:after="0" w:line="27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149,472 shares of common stock issuable upon exercise of options to purchase shares of our common stock that we granted after June 30, 2020, with a weighted-average exercise price of $8.53 per share;</w:t>
      </w:r>
    </w:p>
    <w:p>
      <w:pPr>
        <w:spacing w:after="0" w:line="50"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warrant to purchase an aggregate of 10,800 shares of our Series Seed convertible preferred stock outstanding as of</w:t>
      </w:r>
    </w:p>
    <w:p>
      <w:pPr>
        <w:spacing w:after="0" w:line="17" w:lineRule="exact"/>
        <w:rPr>
          <w:rFonts w:ascii="Arial" w:cs="Arial" w:eastAsia="Arial" w:hAnsi="Arial"/>
          <w:sz w:val="18"/>
          <w:szCs w:val="18"/>
          <w:color w:val="auto"/>
        </w:rPr>
      </w:pPr>
    </w:p>
    <w:p>
      <w:pPr>
        <w:ind w:left="1020"/>
        <w:spacing w:after="0" w:line="250" w:lineRule="auto"/>
        <w:rPr>
          <w:rFonts w:ascii="Arial" w:cs="Arial" w:eastAsia="Arial" w:hAnsi="Arial"/>
          <w:sz w:val="18"/>
          <w:szCs w:val="18"/>
          <w:color w:val="auto"/>
        </w:rPr>
      </w:pPr>
      <w:r>
        <w:rPr>
          <w:rFonts w:ascii="Arial" w:cs="Arial" w:eastAsia="Arial" w:hAnsi="Arial"/>
          <w:sz w:val="18"/>
          <w:szCs w:val="18"/>
          <w:color w:val="auto"/>
        </w:rPr>
        <w:t>June 30, 2020 that will be converted into a warrant to purchase an aggregate of 10,800 shares of our common stock, with an exercise price of $1.8518 per share, upon the completion of this offering;</w:t>
      </w:r>
    </w:p>
    <w:p>
      <w:pPr>
        <w:spacing w:after="0" w:line="73" w:lineRule="exact"/>
        <w:rPr>
          <w:rFonts w:ascii="Arial" w:cs="Arial" w:eastAsia="Arial" w:hAnsi="Arial"/>
          <w:sz w:val="18"/>
          <w:szCs w:val="18"/>
          <w:color w:val="auto"/>
        </w:rPr>
      </w:pPr>
    </w:p>
    <w:p>
      <w:pPr>
        <w:ind w:left="1020" w:right="260" w:hanging="195"/>
        <w:spacing w:after="0" w:line="24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4,406,374 shares of common stock reserved for future issuance under our 2020 Equity Incentive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75" w:lineRule="exact"/>
        <w:rPr>
          <w:rFonts w:ascii="Arial" w:cs="Arial" w:eastAsia="Arial" w:hAnsi="Arial"/>
          <w:sz w:val="18"/>
          <w:szCs w:val="18"/>
          <w:color w:val="auto"/>
        </w:rPr>
      </w:pPr>
    </w:p>
    <w:p>
      <w:pPr>
        <w:ind w:left="1020" w:right="100" w:hanging="195"/>
        <w:spacing w:after="0" w:line="24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400,752 shares of common stock reserved for issuance under our 2020 Employee Stock Purchase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117" w:lineRule="exact"/>
        <w:rPr>
          <w:sz w:val="20"/>
          <w:szCs w:val="20"/>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5.2651-for-1 reverse stock split of our common stock and our convertible preferred stock effected on September 18, 2020;</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outstanding options or warrant;</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from us in this offering;</w:t>
      </w:r>
    </w:p>
    <w:p>
      <w:pPr>
        <w:spacing w:after="0" w:line="117" w:lineRule="exact"/>
        <w:rPr>
          <w:rFonts w:ascii="Arial" w:cs="Arial" w:eastAsia="Arial" w:hAnsi="Arial"/>
          <w:sz w:val="18"/>
          <w:szCs w:val="18"/>
          <w:color w:val="auto"/>
        </w:rPr>
      </w:pPr>
    </w:p>
    <w:p>
      <w:pPr>
        <w:ind w:left="1020" w:right="60" w:hanging="195"/>
        <w:spacing w:after="0" w:line="27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into shares of our common stock, which will occur immediately prior to the completion of this offering;</w:t>
      </w:r>
    </w:p>
    <w:p>
      <w:pPr>
        <w:spacing w:after="0" w:line="50" w:lineRule="exact"/>
        <w:rPr>
          <w:rFonts w:ascii="Arial" w:cs="Arial" w:eastAsia="Arial" w:hAnsi="Arial"/>
          <w:sz w:val="18"/>
          <w:szCs w:val="18"/>
          <w:color w:val="auto"/>
        </w:rPr>
      </w:pPr>
    </w:p>
    <w:p>
      <w:pPr>
        <w:ind w:left="1020" w:hanging="195"/>
        <w:spacing w:after="0" w:line="255"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conversion of an outstanding warrant exercisable for shares of our Series Seed convertible preferred stock into a warrant exercisable for 10,800 shares of our common stock, with an exercise price of $1.8518 per share upon the completion of this offering; and</w:t>
      </w:r>
    </w:p>
    <w:p>
      <w:pPr>
        <w:spacing w:after="0" w:line="69" w:lineRule="exact"/>
        <w:rPr>
          <w:rFonts w:ascii="Arial" w:cs="Arial" w:eastAsia="Arial" w:hAnsi="Arial"/>
          <w:sz w:val="18"/>
          <w:szCs w:val="18"/>
          <w:color w:val="auto"/>
        </w:rPr>
      </w:pPr>
    </w:p>
    <w:p>
      <w:pPr>
        <w:ind w:left="1020" w:right="260" w:hanging="195"/>
        <w:spacing w:after="0" w:line="27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effectiveness of our amended and restated bylaws, which will occur immediately prior to the completion of this offering.</w:t>
      </w: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5" w:right="6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84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106"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The following tables summarize our financial data for the periods and as of the dates indicated. We have derived our summary statements of operations data for the years ended December 31, 2018 and 2019 from our audited financial statements and related notes included elsewhere in this prospectus. For interim periods, we have derived our summary statements of operations data for the six months ended June 30, 2019 and 2020 and the summary balance sheet data as of June 30, 2020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and our interim results are not necessarily indicative of our expected results for the year ending December 31, 2020. You should read the following summary financial data together with our financial statements and the related notes appearing elsewhere in this prospectus and the information in the sections titled “Selected Financial Data” and “Management’s Discussion and Analysis of Financial Condition and Results of Operations.”</w:t>
      </w:r>
    </w:p>
    <w:p>
      <w:pPr>
        <w:spacing w:after="0" w:line="96" w:lineRule="exact"/>
        <w:rPr>
          <w:sz w:val="20"/>
          <w:szCs w:val="20"/>
          <w:color w:val="auto"/>
        </w:rPr>
      </w:pPr>
    </w:p>
    <w:tbl>
      <w:tblPr>
        <w:tblLayout w:type="fixed"/>
        <w:tblInd w:w="34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246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9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2"/>
              <w:spacing w:after="0" w:line="141"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60" w:type="dxa"/>
            <w:vAlign w:val="bottom"/>
            <w:gridSpan w:val="8"/>
          </w:tcPr>
          <w:p>
            <w:pPr>
              <w:jc w:val="right"/>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13,853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20,759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10,165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203"/>
        </w:trPr>
        <w:tc>
          <w:tcPr>
            <w:tcW w:w="4940" w:type="dxa"/>
            <w:vAlign w:val="bottom"/>
          </w:tcPr>
          <w:p>
            <w:pPr>
              <w:ind w:left="38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1340" w:type="dxa"/>
            <w:vAlign w:val="bottom"/>
            <w:gridSpan w:val="2"/>
          </w:tcPr>
          <w:p>
            <w:pPr>
              <w:jc w:val="right"/>
              <w:ind w:right="448"/>
              <w:spacing w:after="0" w:line="202" w:lineRule="exact"/>
              <w:rPr>
                <w:sz w:val="20"/>
                <w:szCs w:val="20"/>
                <w:color w:val="auto"/>
              </w:rPr>
            </w:pPr>
            <w:r>
              <w:rPr>
                <w:rFonts w:ascii="Arial" w:cs="Arial" w:eastAsia="Arial" w:hAnsi="Arial"/>
                <w:sz w:val="18"/>
                <w:szCs w:val="18"/>
                <w:color w:val="auto"/>
              </w:rPr>
              <w:t>5,039</w:t>
            </w:r>
          </w:p>
        </w:tc>
        <w:tc>
          <w:tcPr>
            <w:tcW w:w="120" w:type="dxa"/>
            <w:vAlign w:val="bottom"/>
          </w:tcPr>
          <w:p>
            <w:pPr>
              <w:spacing w:after="0"/>
              <w:rPr>
                <w:sz w:val="17"/>
                <w:szCs w:val="17"/>
                <w:color w:val="auto"/>
              </w:rPr>
            </w:pPr>
          </w:p>
        </w:tc>
        <w:tc>
          <w:tcPr>
            <w:tcW w:w="14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5,878</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2,676</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18,892</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26,637</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12,841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15,739</w:t>
            </w:r>
          </w:p>
        </w:tc>
        <w:tc>
          <w:tcPr>
            <w:tcW w:w="0" w:type="dxa"/>
            <w:vAlign w:val="bottom"/>
          </w:tcPr>
          <w:p>
            <w:pPr>
              <w:spacing w:after="0"/>
              <w:rPr>
                <w:sz w:val="1"/>
                <w:szCs w:val="1"/>
                <w:color w:val="auto"/>
              </w:rPr>
            </w:pPr>
          </w:p>
        </w:tc>
      </w:tr>
      <w:tr>
        <w:trPr>
          <w:trHeight w:val="210"/>
        </w:trPr>
        <w:tc>
          <w:tcPr>
            <w:tcW w:w="494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40" w:type="dxa"/>
            <w:vAlign w:val="bottom"/>
          </w:tcPr>
          <w:p>
            <w:pPr>
              <w:ind w:left="380"/>
              <w:spacing w:after="0" w:line="202" w:lineRule="exact"/>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7"/>
                <w:szCs w:val="17"/>
                <w:color w:val="auto"/>
              </w:rPr>
            </w:pPr>
          </w:p>
        </w:tc>
        <w:tc>
          <w:tcPr>
            <w:tcW w:w="1340" w:type="dxa"/>
            <w:vAlign w:val="bottom"/>
            <w:gridSpan w:val="2"/>
          </w:tcPr>
          <w:p>
            <w:pPr>
              <w:jc w:val="right"/>
              <w:ind w:right="448"/>
              <w:spacing w:after="0" w:line="202" w:lineRule="exact"/>
              <w:rPr>
                <w:sz w:val="20"/>
                <w:szCs w:val="20"/>
                <w:color w:val="auto"/>
              </w:rPr>
            </w:pPr>
            <w:r>
              <w:rPr>
                <w:rFonts w:ascii="Arial" w:cs="Arial" w:eastAsia="Arial" w:hAnsi="Arial"/>
                <w:sz w:val="18"/>
                <w:szCs w:val="18"/>
                <w:color w:val="auto"/>
              </w:rPr>
              <w:t>1,341</w:t>
            </w:r>
          </w:p>
        </w:tc>
        <w:tc>
          <w:tcPr>
            <w:tcW w:w="120" w:type="dxa"/>
            <w:vAlign w:val="bottom"/>
          </w:tcPr>
          <w:p>
            <w:pPr>
              <w:spacing w:after="0"/>
              <w:rPr>
                <w:sz w:val="17"/>
                <w:szCs w:val="17"/>
                <w:color w:val="auto"/>
              </w:rPr>
            </w:pPr>
          </w:p>
        </w:tc>
        <w:tc>
          <w:tcPr>
            <w:tcW w:w="14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1,301</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714</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8"/>
              <w:spacing w:after="0" w:line="202" w:lineRule="exact"/>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7"/>
        </w:trPr>
        <w:tc>
          <w:tcPr>
            <w:tcW w:w="4940" w:type="dxa"/>
            <w:vAlign w:val="bottom"/>
          </w:tcPr>
          <w:p>
            <w:pPr>
              <w:ind w:left="74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5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5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5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color w:val="auto"/>
              </w:rPr>
              <w:t>(17,535)</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(25,344)</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(12,127)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03"/>
        </w:trPr>
        <w:tc>
          <w:tcPr>
            <w:tcW w:w="4940" w:type="dxa"/>
            <w:vAlign w:val="bottom"/>
          </w:tcPr>
          <w:p>
            <w:pPr>
              <w:ind w:left="74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7"/>
                <w:szCs w:val="17"/>
                <w:color w:val="auto"/>
              </w:rPr>
            </w:pPr>
          </w:p>
        </w:tc>
        <w:tc>
          <w:tcPr>
            <w:tcW w:w="1340" w:type="dxa"/>
            <w:vAlign w:val="bottom"/>
            <w:gridSpan w:val="2"/>
          </w:tcPr>
          <w:p>
            <w:pPr>
              <w:jc w:val="right"/>
              <w:ind w:right="448"/>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4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3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388"/>
              <w:spacing w:after="0" w:line="202" w:lineRule="exact"/>
              <w:rPr>
                <w:sz w:val="20"/>
                <w:szCs w:val="20"/>
                <w:color w:val="auto"/>
              </w:rPr>
            </w:pPr>
            <w:r>
              <w:rPr>
                <w:rFonts w:ascii="Arial" w:cs="Arial" w:eastAsia="Arial" w:hAnsi="Arial"/>
                <w:sz w:val="18"/>
                <w:szCs w:val="18"/>
                <w:color w:val="auto"/>
              </w:rPr>
              <w:t>(17,538)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(25,352)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(12,129)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380"/>
              <w:spacing w:after="0"/>
              <w:rPr>
                <w:sz w:val="20"/>
                <w:szCs w:val="20"/>
                <w:color w:val="auto"/>
              </w:rPr>
            </w:pPr>
            <w:r>
              <w:rPr>
                <w:rFonts w:ascii="Arial" w:cs="Arial" w:eastAsia="Arial" w:hAnsi="Arial"/>
                <w:sz w:val="18"/>
                <w:szCs w:val="18"/>
                <w:color w:val="auto"/>
              </w:rPr>
              <w:t>Net loss per share — basic and diluted</w:t>
            </w:r>
            <w:r>
              <w:rPr>
                <w:rFonts w:ascii="Arial" w:cs="Arial" w:eastAsia="Arial" w:hAnsi="Arial"/>
                <w:sz w:val="15"/>
                <w:szCs w:val="15"/>
                <w:color w:val="auto"/>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388"/>
              <w:spacing w:after="0" w:line="196" w:lineRule="exact"/>
              <w:rPr>
                <w:sz w:val="20"/>
                <w:szCs w:val="20"/>
                <w:color w:val="auto"/>
              </w:rPr>
            </w:pPr>
            <w:r>
              <w:rPr>
                <w:rFonts w:ascii="Arial" w:cs="Arial" w:eastAsia="Arial" w:hAnsi="Arial"/>
                <w:sz w:val="18"/>
                <w:szCs w:val="18"/>
                <w:color w:val="auto"/>
              </w:rPr>
              <w:t>(5.82)</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(8.35)</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(4.01)</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79"/>
        </w:trPr>
        <w:tc>
          <w:tcPr>
            <w:tcW w:w="4940" w:type="dxa"/>
            <w:vAlign w:val="bottom"/>
            <w:shd w:val="clear" w:color="auto" w:fill="CCEEFF"/>
          </w:tcPr>
          <w:p>
            <w:pPr>
              <w:ind w:left="380"/>
              <w:spacing w:after="0" w:line="179" w:lineRule="exact"/>
              <w:rPr>
                <w:sz w:val="20"/>
                <w:szCs w:val="20"/>
                <w:color w:val="auto"/>
              </w:rPr>
            </w:pPr>
            <w:r>
              <w:rPr>
                <w:rFonts w:ascii="Arial" w:cs="Arial" w:eastAsia="Arial" w:hAnsi="Arial"/>
                <w:sz w:val="18"/>
                <w:szCs w:val="18"/>
                <w:color w:val="auto"/>
              </w:rPr>
              <w:t>Weighted-average common shares outstanding —</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w w:val="99"/>
              </w:rPr>
              <w:t>3,012,284</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3,035,243</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3,024,097</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3,046,200</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380"/>
              <w:spacing w:after="0"/>
              <w:rPr>
                <w:sz w:val="20"/>
                <w:szCs w:val="20"/>
                <w:color w:val="auto"/>
              </w:rPr>
            </w:pPr>
            <w:r>
              <w:rPr>
                <w:rFonts w:ascii="Arial" w:cs="Arial" w:eastAsia="Arial" w:hAnsi="Arial"/>
                <w:sz w:val="18"/>
                <w:szCs w:val="18"/>
                <w:color w:val="auto"/>
              </w:rPr>
              <w:t>Pro forma net loss per share attributable to</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940" w:type="dxa"/>
            <w:vAlign w:val="bottom"/>
          </w:tcPr>
          <w:p>
            <w:pPr>
              <w:ind w:left="560"/>
              <w:spacing w:after="0" w:line="202" w:lineRule="exact"/>
              <w:rPr>
                <w:sz w:val="20"/>
                <w:szCs w:val="20"/>
                <w:color w:val="auto"/>
              </w:rPr>
            </w:pPr>
            <w:r>
              <w:rPr>
                <w:rFonts w:ascii="Arial" w:cs="Arial" w:eastAsia="Arial" w:hAnsi="Arial"/>
                <w:sz w:val="18"/>
                <w:szCs w:val="18"/>
                <w:color w:val="auto"/>
              </w:rPr>
              <w:t>common stockholders — basic and diluted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940" w:type="dxa"/>
            <w:vAlign w:val="bottom"/>
          </w:tcPr>
          <w:p>
            <w:pPr>
              <w:ind w:left="5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940" w:type="dxa"/>
            <w:vAlign w:val="bottom"/>
            <w:shd w:val="clear" w:color="auto" w:fill="CCEEFF"/>
          </w:tcPr>
          <w:p>
            <w:pPr>
              <w:ind w:left="380"/>
              <w:spacing w:after="0" w:line="173" w:lineRule="exact"/>
              <w:rPr>
                <w:sz w:val="20"/>
                <w:szCs w:val="20"/>
                <w:color w:val="auto"/>
              </w:rPr>
            </w:pPr>
            <w:r>
              <w:rPr>
                <w:rFonts w:ascii="Arial" w:cs="Arial" w:eastAsia="Arial" w:hAnsi="Arial"/>
                <w:sz w:val="18"/>
                <w:szCs w:val="18"/>
                <w:color w:val="auto"/>
              </w:rPr>
              <w:t>Pro forma weighted-average number of common</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shares — basic and diluted (unaudited)</w:t>
            </w: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31,223,353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31,234,310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820" w:right="220" w:hanging="522"/>
        <w:spacing w:after="0" w:line="208" w:lineRule="auto"/>
        <w:tabs>
          <w:tab w:leader="none" w:pos="82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See Note 11 to our audited financial statements and Note 10 to our unaudited condensed financial statements included elsewhere in this prospectus for an explanation of the method used to calculate net loss per share, basic and diluted, pro forma net loss per share, basic and diluted,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5" w:right="6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02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40246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300" w:type="dxa"/>
        <w:tblCellMar>
          <w:top w:w="0" w:type="dxa"/>
          <w:left w:w="0" w:type="dxa"/>
          <w:bottom w:w="0" w:type="dxa"/>
          <w:right w:w="0" w:type="dxa"/>
        </w:tblCellMar>
      </w:tblPr>
      <w:tr>
        <w:trPr>
          <w:trHeight w:val="177"/>
        </w:trPr>
        <w:tc>
          <w:tcPr>
            <w:tcW w:w="5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As of June 30, 2020</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5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Pro Forma</w:t>
            </w:r>
            <w:r>
              <w:rPr>
                <w:rFonts w:ascii="Arial" w:cs="Arial" w:eastAsia="Arial" w:hAnsi="Arial"/>
                <w:sz w:val="24"/>
                <w:szCs w:val="24"/>
                <w:b w:val="1"/>
                <w:bCs w:val="1"/>
                <w:color w:val="auto"/>
                <w:w w:val="98"/>
                <w:vertAlign w:val="superscript"/>
              </w:rPr>
              <w:t>(1)</w:t>
            </w:r>
          </w:p>
        </w:tc>
        <w:tc>
          <w:tcPr>
            <w:tcW w:w="120" w:type="dxa"/>
            <w:vAlign w:val="bottom"/>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20"/>
              <w:spacing w:after="0" w:line="181"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40"/>
        </w:trPr>
        <w:tc>
          <w:tcPr>
            <w:tcW w:w="5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99"/>
              </w:rPr>
              <w:t>(unaudited)</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1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  86,136</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156,106</w:t>
            </w:r>
          </w:p>
        </w:tc>
        <w:tc>
          <w:tcPr>
            <w:tcW w:w="4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268,888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19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81,704</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151,704</w:t>
            </w:r>
          </w:p>
        </w:tc>
        <w:tc>
          <w:tcPr>
            <w:tcW w:w="4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264,486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89,102</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159,042</w:t>
            </w:r>
          </w:p>
        </w:tc>
        <w:tc>
          <w:tcPr>
            <w:tcW w:w="4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271,824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5,177</w:t>
            </w: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5,147</w:t>
            </w:r>
          </w:p>
        </w:tc>
        <w:tc>
          <w:tcPr>
            <w:tcW w:w="4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5,147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168,933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9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(90,661)</w:t>
            </w:r>
          </w:p>
        </w:tc>
        <w:tc>
          <w:tcPr>
            <w:tcW w:w="16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(90,661)</w:t>
            </w:r>
          </w:p>
        </w:tc>
        <w:tc>
          <w:tcPr>
            <w:tcW w:w="12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(90,661)</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1980" w:type="dxa"/>
            <w:vAlign w:val="bottom"/>
            <w:gridSpan w:val="3"/>
          </w:tcPr>
          <w:p>
            <w:pPr>
              <w:jc w:val="right"/>
              <w:ind w:right="180"/>
              <w:spacing w:after="0"/>
              <w:rPr>
                <w:sz w:val="20"/>
                <w:szCs w:val="20"/>
                <w:color w:val="auto"/>
              </w:rPr>
            </w:pPr>
            <w:r>
              <w:rPr>
                <w:rFonts w:ascii="Arial" w:cs="Arial" w:eastAsia="Arial" w:hAnsi="Arial"/>
                <w:sz w:val="18"/>
                <w:szCs w:val="18"/>
                <w:color w:val="auto"/>
              </w:rPr>
              <w:t>(85,008)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153,895</w:t>
            </w:r>
          </w:p>
        </w:tc>
        <w:tc>
          <w:tcPr>
            <w:tcW w:w="4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266,677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20" w:right="40" w:hanging="522"/>
        <w:spacing w:after="0" w:line="216" w:lineRule="auto"/>
        <w:tabs>
          <w:tab w:leader="none" w:pos="8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The pro forma balance sheet data give effect to (i) our issuance and sale in July 2020 of an aggregate of 5,321,864 shares of our Series D convertible preferred stock for gross proceeds of $70.0 million, (ii) the automatic conversion of all outstanding shares of our convertible preferred stock, including our shares of our Series D convertible preferred stock issued in July 2020, into an aggregate of 28,188,110 shares of our common stock immediately prior to the completion of this offering and (iii) the filing and effectiveness of our amended and restated certificate of incorporation, which will occur immediately prior to the completion of this offering.</w:t>
      </w:r>
    </w:p>
    <w:p>
      <w:pPr>
        <w:ind w:left="820" w:right="40" w:hanging="522"/>
        <w:spacing w:after="0"/>
        <w:tabs>
          <w:tab w:leader="none" w:pos="8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The pro forma as adjusted balance sheet data give further effect to our issuance and sale of 7,350,000 shares of our common stock in this offering at the assumed initial public offering price of $17.00 per share, which is the midpoint of the estimated offering price range set forth on the cover page of this prospectus, after deducting estimated underwriting discounts and commissions and estimated offering expenses payable by us. The pro forma as adjusted balance sheet data is illustrative only and will depend on the actual initial public offering price and other terms of this offering determined at pricing. Each $1.00 increase or decrease in the assumed initial public offering price of $17.00 per share, which is the midpoint of the estimated offering price range set forth on the cover page of this prospectus, would increase or decrease, as applicable, our pro forma as adjusted cash, cash equivalents and short-term marketable securities, working capital, total assets and total stockholders’ equity by approximately $6.8 million, assuming the number of shares of common stock offered by us, as set forth on the cover page of this prospectus, remains the same, and after deducting estimated underwriting discounts and commissions and estimated offering expenses payable by us. Each increase or decrease of 1.0 million shares of common stock offered by us would increase or decrease, as applicable, our pro forma as adjusted cash, cash equivalents and short-term marketable securities, working capital, total assets and total stockholders’ equity by approximately $15.8 million, assuming the assumed initial public offering price of $17.00 per share, which is the midpoint of the estimated offering price range set forth on the cover page of this prospectus, remains the same, and after deducting estimated underwriting discounts and commissions and estimated offering expenses payable by us.</w:t>
      </w:r>
    </w:p>
    <w:p>
      <w:pPr>
        <w:spacing w:after="0" w:line="59" w:lineRule="exact"/>
        <w:rPr>
          <w:rFonts w:ascii="Arial" w:cs="Arial" w:eastAsia="Arial" w:hAnsi="Arial"/>
          <w:sz w:val="24"/>
          <w:szCs w:val="24"/>
          <w:color w:val="auto"/>
          <w:vertAlign w:val="superscript"/>
        </w:rPr>
      </w:pPr>
    </w:p>
    <w:p>
      <w:pPr>
        <w:ind w:left="820" w:right="240" w:hanging="522"/>
        <w:spacing w:after="0" w:line="185" w:lineRule="auto"/>
        <w:tabs>
          <w:tab w:leader="none" w:pos="8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unaudited condensed financial statements included elsewhere in this prospectus and related notes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5" w:right="6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“Management’s Discussion and Analysis of Financial Condition and Results of Operations,” before deciding whether to invest in our common stock. The occurrence of any of the events or developments described below could materially adversely affect our business, financial condition, results of operations and growth prospects. In such an event, the market price of our common stock could decline and you may lose all or part of your investment. Many of the following risks and uncertainties are, and will be, exacerbated by the coronavirus disease 2019, or COVID-19, pandemic and any worsening of the global business and economic environment as a result. Additional risks and uncertainties not presently known to us or that we currently deem immaterial also may impair our business operations.</w:t>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Limited Operating History, Business, Financial Condition, Results of</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Operations and Need for Additional Capital</w:t>
      </w:r>
    </w:p>
    <w:p>
      <w:pPr>
        <w:spacing w:after="0" w:line="190" w:lineRule="exact"/>
        <w:rPr>
          <w:sz w:val="20"/>
          <w:szCs w:val="20"/>
          <w:color w:val="auto"/>
        </w:rPr>
      </w:pPr>
    </w:p>
    <w:p>
      <w:pPr>
        <w:ind w:left="120" w:right="380"/>
        <w:spacing w:after="0" w:line="314" w:lineRule="auto"/>
        <w:rPr>
          <w:sz w:val="20"/>
          <w:szCs w:val="20"/>
          <w:color w:val="auto"/>
        </w:rPr>
      </w:pPr>
      <w:r>
        <w:rPr>
          <w:rFonts w:ascii="Arial" w:cs="Arial" w:eastAsia="Arial" w:hAnsi="Arial"/>
          <w:sz w:val="17"/>
          <w:szCs w:val="17"/>
          <w:b w:val="1"/>
          <w:bCs w:val="1"/>
          <w:i w:val="1"/>
          <w:iCs w:val="1"/>
          <w:color w:val="auto"/>
        </w:rPr>
        <w:t>We have a limited operating history, have not initiated or completed any clinical trials, and have no products approved for commercial sale, which may make it difficult for you to evaluate our current business and likelihood of success and viability.</w:t>
      </w:r>
    </w:p>
    <w:p>
      <w:pPr>
        <w:spacing w:after="0" w:line="2"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We are a preclinical stage biotechnology company with a limited operating history. We commenced operations in March 2013, and our operations to date have been primarily limited to organizing and staffing our company, business planning, raising capital, conducting discovery and research activities, filing patent applications, identifying potential product candidates, undertaking preclinical studies and establishing arrangements with third parties for the manufacture of initial quantities of product candidates. Our lead product candidate, PC14586, is still in preclinical development, and we recently received authorization to proceed under an investigational new drug application, or IND, with the U.S. Food and Drug Administration, or FDA. We have not demonstrated an ability to successfully initiate, conduct or complete any clinical trials,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80"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6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72"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have incurred significant losses since inception, and we expect to incur significant losses for the foreseeable future and may not be able to achieve or sustain revenue or profitability in the future.</w:t>
      </w:r>
    </w:p>
    <w:p>
      <w:pPr>
        <w:spacing w:after="0" w:line="21" w:lineRule="exact"/>
        <w:rPr>
          <w:sz w:val="20"/>
          <w:szCs w:val="20"/>
          <w:color w:val="auto"/>
        </w:rPr>
      </w:pPr>
    </w:p>
    <w:p>
      <w:pPr>
        <w:jc w:val="both"/>
        <w:ind w:left="120" w:right="360" w:firstLine="551"/>
        <w:spacing w:after="0" w:line="255" w:lineRule="auto"/>
        <w:rPr>
          <w:sz w:val="20"/>
          <w:szCs w:val="20"/>
          <w:color w:val="auto"/>
        </w:rPr>
      </w:pPr>
      <w:r>
        <w:rPr>
          <w:rFonts w:ascii="Arial" w:cs="Arial" w:eastAsia="Arial" w:hAnsi="Arial"/>
          <w:sz w:val="18"/>
          <w:szCs w:val="18"/>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8" w:lineRule="auto"/>
        <w:rPr>
          <w:sz w:val="20"/>
          <w:szCs w:val="20"/>
          <w:color w:val="auto"/>
        </w:rPr>
      </w:pPr>
      <w:r>
        <w:rPr>
          <w:rFonts w:ascii="Arial" w:cs="Arial" w:eastAsia="Arial" w:hAnsi="Arial"/>
          <w:sz w:val="18"/>
          <w:szCs w:val="18"/>
          <w:color w:val="auto"/>
        </w:rPr>
        <w:t>become commercially viable. We are still in the early stages of development of our product candidates and have not yet initiated our first clinical trial. We have no products approved for commercial sale and have not generated any revenue from product sales to date, and we continue to incur significant research and development and other expenses related to our ongoing operations. We have financed our operations primarily through private placements of our preferred stock.</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incurred significant net losses in each period since we commenced operations in March 2013. Our net losses were $17.5 million and $25.4 million for the years ended December 31, 2018 and 2019, respectively, and $12.1 million and $15.2 million for the six months ended June 30, 2019 and 2020, respectively. As of June 30, 2020, we had an accumulated deficit of $90.7 million. Substantially all of our losses have resulted from expenses incurred in connection with our research and development programs and from general and administrative costs associated with our operations. We expect to continue to incur significant losses for the foreseeable future, and we expect these losses to increase substantially if and as we:</w:t>
      </w:r>
    </w:p>
    <w:p>
      <w:pPr>
        <w:spacing w:after="0" w:line="79" w:lineRule="exact"/>
        <w:rPr>
          <w:sz w:val="20"/>
          <w:szCs w:val="20"/>
          <w:color w:val="auto"/>
        </w:rPr>
      </w:pPr>
    </w:p>
    <w:p>
      <w:pPr>
        <w:ind w:left="880" w:right="900" w:hanging="224"/>
        <w:spacing w:after="0" w:line="27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our research and development efforts and submit INDs for our lead product candidate and any other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preclinical studies and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expand, maintain, enforce and protect our intellectual property portfolio;</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12"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87"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43"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ability to become profitable depends upon our ability to generate revenue. We have not received marketing approval for any product candidate, and we have not generated any revenue from any product sales. We do not expect to generate revenue unless or until we successfully complete preclinical and clinical development and obtain regulatory approval of, and then successfully commercialize, at least one product candidate. We have not evaluated any product candidate in humans, including PC14586, our lead product candidate. As such, we face significant translational</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color w:val="auto"/>
        </w:rPr>
        <w:t>risk as our product candidates advance to the clinical stage, and promising results in preclinical studies may not be replicated in clinical trials.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76" w:lineRule="exact"/>
        <w:rPr>
          <w:sz w:val="20"/>
          <w:szCs w:val="20"/>
          <w:color w:val="auto"/>
        </w:rPr>
      </w:pPr>
    </w:p>
    <w:p>
      <w:pPr>
        <w:ind w:left="880" w:right="440" w:hanging="224"/>
        <w:spacing w:after="0" w:line="255"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initiation and completion of our preclinical studies and clinical trials for our lead product candidate, PC14586, and our future product candidates, which may be significantly slower or cost more than we currently anticipate and will depend substantially upon the performance of third-party contractors;</w:t>
      </w:r>
    </w:p>
    <w:p>
      <w:pPr>
        <w:spacing w:after="0" w:line="69" w:lineRule="exact"/>
        <w:rPr>
          <w:rFonts w:ascii="Arial" w:cs="Arial" w:eastAsia="Arial" w:hAnsi="Arial"/>
          <w:sz w:val="18"/>
          <w:szCs w:val="18"/>
          <w:color w:val="auto"/>
        </w:rPr>
      </w:pPr>
    </w:p>
    <w:p>
      <w:pPr>
        <w:ind w:left="880" w:right="62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of PC14586 and our future product candidates;</w:t>
      </w:r>
    </w:p>
    <w:p>
      <w:pPr>
        <w:spacing w:after="0" w:line="50" w:lineRule="exact"/>
        <w:rPr>
          <w:rFonts w:ascii="Arial" w:cs="Arial" w:eastAsia="Arial" w:hAnsi="Arial"/>
          <w:sz w:val="18"/>
          <w:szCs w:val="18"/>
          <w:color w:val="auto"/>
        </w:rPr>
      </w:pPr>
    </w:p>
    <w:p>
      <w:pPr>
        <w:ind w:left="880" w:right="70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complete IND-enabling studies and successfully submit and receive authorization to proceed under INDs or comparable applications;</w:t>
      </w:r>
    </w:p>
    <w:p>
      <w:pPr>
        <w:spacing w:after="0" w:line="50" w:lineRule="exact"/>
        <w:rPr>
          <w:rFonts w:ascii="Arial" w:cs="Arial" w:eastAsia="Arial" w:hAnsi="Arial"/>
          <w:sz w:val="18"/>
          <w:szCs w:val="18"/>
          <w:color w:val="auto"/>
        </w:rPr>
      </w:pPr>
    </w:p>
    <w:p>
      <w:pPr>
        <w:ind w:left="880" w:right="440" w:hanging="224"/>
        <w:spacing w:after="0" w:line="255"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69" w:lineRule="exact"/>
        <w:rPr>
          <w:rFonts w:ascii="Arial" w:cs="Arial" w:eastAsia="Arial" w:hAnsi="Arial"/>
          <w:sz w:val="18"/>
          <w:szCs w:val="18"/>
          <w:color w:val="auto"/>
        </w:rPr>
      </w:pPr>
    </w:p>
    <w:p>
      <w:pPr>
        <w:ind w:left="880" w:right="560" w:hanging="224"/>
        <w:spacing w:after="0" w:line="255"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and comparable foreign regulatory authorities the safety, efficacy, consistent manufacturing quality and acceptable risk-benefit profile of our small molecule product candidates or any future product candidates, and such regulatory authorities’ acceptance of our tumor-agnostic development strategy;</w:t>
      </w:r>
    </w:p>
    <w:p>
      <w:pPr>
        <w:spacing w:after="0" w:line="69"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product candidates, if any;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comparable foreign regulatory authorities;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50" w:lineRule="exact"/>
        <w:rPr>
          <w:rFonts w:ascii="Arial" w:cs="Arial" w:eastAsia="Arial" w:hAnsi="Arial"/>
          <w:sz w:val="18"/>
          <w:szCs w:val="18"/>
          <w:color w:val="auto"/>
        </w:rPr>
      </w:pPr>
    </w:p>
    <w:p>
      <w:pPr>
        <w:ind w:left="880" w:right="80" w:hanging="224"/>
        <w:spacing w:after="0" w:line="248"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or cGMP;</w:t>
      </w:r>
    </w:p>
    <w:p>
      <w:pPr>
        <w:spacing w:after="0" w:line="75" w:lineRule="exact"/>
        <w:rPr>
          <w:rFonts w:ascii="Arial" w:cs="Arial" w:eastAsia="Arial" w:hAnsi="Arial"/>
          <w:sz w:val="18"/>
          <w:szCs w:val="18"/>
          <w:color w:val="auto"/>
        </w:rPr>
      </w:pPr>
    </w:p>
    <w:p>
      <w:pPr>
        <w:ind w:left="880" w:right="320" w:hanging="224"/>
        <w:spacing w:after="0" w:line="255"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 demand for our product candidates and any future product candidates, if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enforce intellectual property rights in and to our product candidates or any future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ind w:left="120" w:right="160" w:firstLine="551"/>
        <w:spacing w:after="0" w:line="268" w:lineRule="auto"/>
        <w:rPr>
          <w:sz w:val="20"/>
          <w:szCs w:val="20"/>
          <w:color w:val="auto"/>
        </w:rPr>
      </w:pPr>
      <w:r>
        <w:rPr>
          <w:rFonts w:ascii="Arial" w:cs="Arial" w:eastAsia="Arial" w:hAnsi="Arial"/>
          <w:sz w:val="17"/>
          <w:szCs w:val="17"/>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261"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we must prioritize development of certain product candidates and/or certain indications. We may expend our limited resources to pursue a particular product candidate or indication and fail to capitalize on product candidates or indications that may be more profitable or for which there is a greater likelihood of success.</w:t>
      </w:r>
    </w:p>
    <w:p>
      <w:pPr>
        <w:spacing w:after="0" w:line="52"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are currently focused on developing orally available small molecule, tumor-agnostic therapies targeting p53 mutants. We seek to maintain a process of prioritization and resource allocation among our programs to maintain a balance between advancing our lead product candidate, PC14586, as well as developing our other and any future product candidates.</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In addition, if we make incorrect determinations regarding the viability or market potential of any of our programs or product candidates or misread trends in the cancer or pharmaceutical, biopharmaceutical or biotechnology industry, our business, financial condition and results of operations could be materially adversely affected.</w:t>
      </w:r>
    </w:p>
    <w:p>
      <w:pPr>
        <w:spacing w:after="0" w:line="288"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product development programs or future commercialization efforts.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PC14586,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planned and</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5" w:right="4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48" w:lineRule="auto"/>
        <w:rPr>
          <w:sz w:val="20"/>
          <w:szCs w:val="20"/>
          <w:color w:val="auto"/>
        </w:rPr>
      </w:pPr>
      <w:r>
        <w:rPr>
          <w:rFonts w:ascii="Arial" w:cs="Arial" w:eastAsia="Arial" w:hAnsi="Arial"/>
          <w:sz w:val="18"/>
          <w:szCs w:val="18"/>
          <w:color w:val="auto"/>
        </w:rPr>
        <w:t>anticipated clinical trials are highly uncertain, we cannot reasonably estimate the actual amount of resources and funding that will be necessary to successfully complete the development and commercialization of any product candidate we develop. Following this offering, we also expect to incur additional costs associated with operating as a public company. Accordingly, we will need to obtain substantial additional funding in order to continue our operations.</w:t>
      </w:r>
    </w:p>
    <w:p>
      <w:pPr>
        <w:spacing w:after="0" w:line="17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of June 30, 2020, we had $86.1 million in cash, cash equivalents and short-term marketable securities. We also received gross proceeds of $70.0 million from the sale of shares of Series D convertible preferred stock in July 2020. Based on our current operating plan, we believe that the proceeds from this offering, together with our existing cash, cash equivalents and short-term marketable securities, will be sufficient to fund our operations at least through 2023. Our estimate as to how long we expect the net proceeds from this offering, together with our existing cash, cash equivalents and short-term marketable securities,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through public or private equity offerings, debt financings, collaborations and licensing arrangements or other sources. Such financing may dilute our stockholders or restrict our operating activities.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future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880" w:right="460" w:hanging="224"/>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current product candidates or any future product candidates we choose to pursue, and conducting preclinical studies and clinical trials, including our planned clinical trials of PC14586;</w:t>
      </w:r>
    </w:p>
    <w:p>
      <w:pPr>
        <w:spacing w:after="0" w:line="69" w:lineRule="exact"/>
        <w:rPr>
          <w:rFonts w:ascii="Arial" w:cs="Arial" w:eastAsia="Arial" w:hAnsi="Arial"/>
          <w:sz w:val="18"/>
          <w:szCs w:val="18"/>
          <w:color w:val="auto"/>
        </w:rPr>
      </w:pPr>
    </w:p>
    <w:p>
      <w:pPr>
        <w:ind w:left="880" w:right="82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 or any future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amount of any milestone, royalty and/or other payments we are required to make pursuant to any future license or collaboration agreements;</w:t>
      </w:r>
    </w:p>
    <w:p>
      <w:pPr>
        <w:spacing w:after="0" w:line="50" w:lineRule="exact"/>
        <w:rPr>
          <w:rFonts w:ascii="Arial" w:cs="Arial" w:eastAsia="Arial" w:hAnsi="Arial"/>
          <w:sz w:val="18"/>
          <w:szCs w:val="18"/>
          <w:color w:val="auto"/>
        </w:rPr>
      </w:pPr>
    </w:p>
    <w:p>
      <w:pPr>
        <w:ind w:left="880" w:right="96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manufacturing our product candidates or any future product candidates and any products we successfully commercialize;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17"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commercialization activities of our product candidates, if approved for sale, including marketing, sales and distribution costs;</w:t>
      </w:r>
    </w:p>
    <w:p>
      <w:pPr>
        <w:spacing w:after="0" w:line="50" w:lineRule="exact"/>
        <w:rPr>
          <w:rFonts w:ascii="Arial" w:cs="Arial" w:eastAsia="Arial" w:hAnsi="Arial"/>
          <w:sz w:val="18"/>
          <w:szCs w:val="18"/>
          <w:color w:val="auto"/>
        </w:rPr>
      </w:pPr>
    </w:p>
    <w:p>
      <w:pPr>
        <w:ind w:left="880" w:right="320" w:hanging="224"/>
        <w:spacing w:after="0" w:line="306"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28" w:lineRule="exact"/>
        <w:rPr>
          <w:rFonts w:ascii="Arial" w:cs="Arial" w:eastAsia="Arial" w:hAnsi="Arial"/>
          <w:sz w:val="17"/>
          <w:szCs w:val="17"/>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expenses needed to attract, hire and retain skilled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5" w:right="4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our intellectual property portfolio;</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12"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Product Development</w:t>
      </w:r>
    </w:p>
    <w:p>
      <w:pPr>
        <w:spacing w:after="0" w:line="214" w:lineRule="exact"/>
        <w:rPr>
          <w:sz w:val="20"/>
          <w:szCs w:val="20"/>
          <w:color w:val="auto"/>
        </w:rPr>
      </w:pPr>
    </w:p>
    <w:p>
      <w:pPr>
        <w:ind w:left="120" w:right="120"/>
        <w:spacing w:after="0" w:line="251" w:lineRule="auto"/>
        <w:rPr>
          <w:sz w:val="20"/>
          <w:szCs w:val="20"/>
          <w:color w:val="auto"/>
        </w:rPr>
      </w:pPr>
      <w:r>
        <w:rPr>
          <w:rFonts w:ascii="Arial" w:cs="Arial" w:eastAsia="Arial" w:hAnsi="Arial"/>
          <w:sz w:val="18"/>
          <w:szCs w:val="18"/>
          <w:b w:val="1"/>
          <w:bCs w:val="1"/>
          <w:i w:val="1"/>
          <w:iCs w:val="1"/>
          <w:color w:val="auto"/>
        </w:rPr>
        <w:t>Our discovery and preclinical development is focused on the development of precision medicines for patients with genetically defined cancers, which is a rapidly evolving area of science, and the approach we are taking to discover and develop drugs targeting p53 hotspot mutations is novel, may never lead to marketable products and may not ultimately represent a significant market.</w:t>
      </w:r>
    </w:p>
    <w:p>
      <w:pPr>
        <w:spacing w:after="0" w:line="52"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The discovery and development of precision medicines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Further, despite decades of research on p53 as a target for precision medicines, prior product development efforts have been unsuccessful. Although we believe, based on our preclinical work and p53 research generally, that the top ten most frequent, or hotspot, p53 mutations have potential as precision oncology targets, clinical results may not confirm this hypothesis or may only confirm it for certain mutations or certain tumor types.</w:t>
      </w:r>
    </w:p>
    <w:p>
      <w:pPr>
        <w:spacing w:after="0" w:line="17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Further, even if our approach is successful in showing clinical benefit for tumors harboring the p53 mutation targeted by our lead product candidate, PC14586, we may never successfully identify additional product candidates for targeting other p53 mutants through our platform. Therefore, we do not know if our approach of treating patients with genetically defined cancers will be successful, and if our approach is unsuccessful, our business will be materially adversely affected.</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addition, because our approach targets genetically defined cancer patients and not specific tumors based on tumor or cancer types, we are initially pursuing a tumor-agnostic development strategy (</w:t>
      </w:r>
      <w:r>
        <w:rPr>
          <w:rFonts w:ascii="Arial" w:cs="Arial" w:eastAsia="Arial" w:hAnsi="Arial"/>
          <w:sz w:val="18"/>
          <w:szCs w:val="18"/>
          <w:i w:val="1"/>
          <w:iCs w:val="1"/>
          <w:color w:val="auto"/>
        </w:rPr>
        <w:t>i.e.</w:t>
      </w:r>
      <w:r>
        <w:rPr>
          <w:rFonts w:ascii="Arial" w:cs="Arial" w:eastAsia="Arial" w:hAnsi="Arial"/>
          <w:sz w:val="18"/>
          <w:szCs w:val="18"/>
          <w:color w:val="auto"/>
        </w:rPr>
        <w:t>, pursuing approval for a potential indication based on a specific genetic mutation rather than a specific type of tissue). There is currently a limited number of approved tumor-agnostic therapies and we may not receive approval for a broad tumor-agnostic indication or may be delayed in receiving broad tumor-agnostic approval. If our planned Phase 1/2 trial for PC14586 does not support a tumor-agnostic indication, but we observe clinical benefit in certain tumor or cancer types, we may decide to pursue a tumor- or cancer-specific indication which may require additional clinical trials. Further, even if our planned Phase 1/2 trial for PC14586 is successful, the FDA may not agree that such study can serve as a pivotal study, which would require us to conduct additional clinical trials prior to approval.</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51" w:lineRule="auto"/>
        <w:rPr>
          <w:sz w:val="20"/>
          <w:szCs w:val="20"/>
          <w:color w:val="auto"/>
        </w:rPr>
      </w:pPr>
      <w:r>
        <w:rPr>
          <w:rFonts w:ascii="Arial" w:cs="Arial" w:eastAsia="Arial" w:hAnsi="Arial"/>
          <w:sz w:val="18"/>
          <w:szCs w:val="18"/>
          <w:b w:val="1"/>
          <w:bCs w:val="1"/>
          <w:i w:val="1"/>
          <w:iCs w:val="1"/>
          <w:color w:val="auto"/>
        </w:rPr>
        <w:t>We are very early in our development efforts and are substantially dependent on our lead product candidate, PC14586. If we are unable to advance PC14586 or any of our future product candidates through clinical development, obtain regulatory approval and ultimately commercialize PC14586 or any of our future product candidates, or experience significant delays in doing so, our business, financial condition and results of operations will be materially adversely affected.</w:t>
      </w:r>
    </w:p>
    <w:p>
      <w:pPr>
        <w:spacing w:after="0" w:line="52"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are very early in our development efforts. All of our product candidates are still in preclinical development and have never been tested in human subjects. Our ability to generate product revenue, which we do not expect will occur for many years, if ever, will depend heavily on the successful clinical development and eventual commercialization of PC14586 and one or more of our future product candidates. In addition, our product development programs contemplate the development with third party collaborators of companion diagnostics, which are assays or tests used to identify an appropriate patient population for our product candidates. Companion diagnostics are subject to regulation as medical devices and must themselves be approved for marketing by the FDA and comparable foreign regulatory agencies before we may commercialize such companion diagnostics with our product candidates. The success of our product candidates will depend on several factors, including the following:</w:t>
      </w:r>
    </w:p>
    <w:p>
      <w:pPr>
        <w:spacing w:after="0" w:line="86" w:lineRule="exact"/>
        <w:rPr>
          <w:sz w:val="20"/>
          <w:szCs w:val="20"/>
          <w:color w:val="auto"/>
        </w:rPr>
      </w:pPr>
    </w:p>
    <w:p>
      <w:pPr>
        <w:ind w:left="880" w:right="200" w:hanging="224"/>
        <w:spacing w:after="0" w:line="24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continue our business operations and product candidate research and development, and adapt to any changes in the regulatory approval process, manufacturing supply or clinical trial requirements and timing due to the ongoing COVID-19 pandemic and otherwise, including complying with new regulatory guidance or requirements on conducting clinical trials during the COVID-19 pandemic;</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completion of preclinical studies;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of authorization to proceed under INDs for our planned clinical trials or future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acceptance of our tumor-agnostic development strategy;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initiation of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 which may be impacted by the COVID-19 pandemic;</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development with third party collaborators of companion diagnostics for use with our product candidates;</w:t>
      </w:r>
    </w:p>
    <w:p>
      <w:pPr>
        <w:spacing w:after="0" w:line="117"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safety, tolerability and efficacy profiles for our product candidates that are satisfactory to the FDA or any foreign regulatory authority for marketing approval;</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of marketing approvals for our product candidates and any companion diagnostics from applicable regulatory authorities, which must be approved contemporaneously;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completion of any required post-marketing approval commitments to applicable regulatory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cancer therapies;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w:t>
      </w:r>
    </w:p>
    <w:p>
      <w:pPr>
        <w:spacing w:after="0" w:line="212" w:lineRule="exact"/>
        <w:rPr>
          <w:sz w:val="20"/>
          <w:szCs w:val="20"/>
          <w:color w:val="auto"/>
        </w:rPr>
      </w:pPr>
    </w:p>
    <w:p>
      <w:pPr>
        <w:ind w:left="120" w:right="200" w:firstLine="551"/>
        <w:spacing w:after="0" w:line="245" w:lineRule="auto"/>
        <w:rPr>
          <w:sz w:val="20"/>
          <w:szCs w:val="20"/>
          <w:color w:val="auto"/>
        </w:rPr>
      </w:pPr>
      <w:r>
        <w:rPr>
          <w:rFonts w:ascii="Arial" w:cs="Arial" w:eastAsia="Arial" w:hAnsi="Arial"/>
          <w:sz w:val="18"/>
          <w:szCs w:val="18"/>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would materially adversely affect our business. If we do not receive regulatory approvals for our current or future product candidates, we will not be able to continue our operations.</w:t>
      </w:r>
    </w:p>
    <w:p>
      <w:pPr>
        <w:spacing w:after="0" w:line="17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FDA before implementation, which could delay our clinical trials and product candidate development, and could require additional clinical trials, including bridging studies, to demonstrate consistent and continued safety and efficacy.</w:t>
      </w:r>
    </w:p>
    <w:p>
      <w:pPr>
        <w:spacing w:after="0" w:line="18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288" w:lineRule="exact"/>
        <w:rPr>
          <w:sz w:val="20"/>
          <w:szCs w:val="20"/>
          <w:color w:val="auto"/>
        </w:rPr>
      </w:pPr>
    </w:p>
    <w:p>
      <w:pPr>
        <w:jc w:val="both"/>
        <w:ind w:left="120" w:right="100"/>
        <w:spacing w:after="0" w:line="260" w:lineRule="auto"/>
        <w:rPr>
          <w:sz w:val="20"/>
          <w:szCs w:val="20"/>
          <w:color w:val="auto"/>
        </w:rPr>
      </w:pPr>
      <w:r>
        <w:rPr>
          <w:rFonts w:ascii="Arial" w:cs="Arial" w:eastAsia="Arial" w:hAnsi="Arial"/>
          <w:sz w:val="18"/>
          <w:szCs w:val="18"/>
          <w:b w:val="1"/>
          <w:bCs w:val="1"/>
          <w:i w:val="1"/>
          <w:iCs w:val="1"/>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43"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The patient populations for our current product candidates are limited to those with specific p53 mutations, which represents a substantially smaller subset of the generally treated cancer patient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population. We expect our future product candidates to be similarly limited. We will need to screen and identify patients with these targeted mutations. Further, even if we are successful in identifying patients, we cannot be certain that the resulting patient populations with each p53 hotspot mutation will be large enough to allow us to successfully conduct the requisite clinical trials necessary to obtain marketing approval for each mutation-specific product candidate before we can commercialize our products, if approved, and achieve profitability.</w:t>
      </w:r>
    </w:p>
    <w:p>
      <w:pPr>
        <w:spacing w:after="0" w:line="261" w:lineRule="exact"/>
        <w:rPr>
          <w:sz w:val="20"/>
          <w:szCs w:val="20"/>
          <w:color w:val="auto"/>
        </w:rPr>
      </w:pPr>
    </w:p>
    <w:p>
      <w:pPr>
        <w:ind w:left="120" w:right="80"/>
        <w:spacing w:after="0" w:line="314" w:lineRule="auto"/>
        <w:rPr>
          <w:sz w:val="20"/>
          <w:szCs w:val="20"/>
          <w:color w:val="auto"/>
        </w:rPr>
      </w:pPr>
      <w:r>
        <w:rPr>
          <w:rFonts w:ascii="Arial" w:cs="Arial" w:eastAsia="Arial" w:hAnsi="Arial"/>
          <w:sz w:val="17"/>
          <w:szCs w:val="17"/>
          <w:b w:val="1"/>
          <w:bCs w:val="1"/>
          <w:i w:val="1"/>
          <w:iCs w:val="1"/>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2"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A key element of our strategy is to use and expand our platform to build a pipeline of product candidates and progress these product candidates through clinical development for the treatment of various cancers. Although our research and development efforts to date have resulted in our discovery and preclinical development of PC14586 and future product candidates, PC14586 and future product candidates may not be safe or effective as a cancer treatment, and we may not be able to further develop PC14586 and develop any future product candidates. Our platform is evolving and may not reach a state at which building a pipeline of product candidates is possible. For example, we may not be successful in identifying additional p53 hotspot mutations for which our platform can develop safe and effective product candidates. There can be no assurance that any development problems we experience in the future related to our platform will not cause significant delays or unanticipated costs or that such development problems can be solved. 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w:t>
      </w:r>
    </w:p>
    <w:p>
      <w:pPr>
        <w:spacing w:after="0" w:line="183"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 xml:space="preserve">Furthermore, even if our product candidates are successful in correcting structural deficiencies associated with p53 mutants, such success would not provide a guarantee of the effectiveness of such product candidate in total tumor regression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There can be no assurances that one or more of our future product candidates would succeed in correcting or restoring function of specific p53 mutants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and that such mutation would be the only genetic mutation resulting in a patient’s cancer. In the event that a patient’s cancer is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other mutations or factors in addition to a p53 mutation, even if we correct or restore the p53 functionality, the patient’s cancer may persist.</w:t>
      </w:r>
    </w:p>
    <w:p>
      <w:pPr>
        <w:spacing w:after="0" w:line="17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If we do not successfully develop and commercialize product candidates, we will not be able to generate product revenue which materially adversely affect our business, financial condition and results of operations.</w:t>
      </w:r>
    </w:p>
    <w:p>
      <w:pPr>
        <w:spacing w:after="0" w:line="253" w:lineRule="exact"/>
        <w:rPr>
          <w:sz w:val="20"/>
          <w:szCs w:val="20"/>
          <w:color w:val="auto"/>
        </w:rPr>
      </w:pPr>
    </w:p>
    <w:p>
      <w:pPr>
        <w:jc w:val="both"/>
        <w:ind w:left="120" w:right="220"/>
        <w:spacing w:after="0" w:line="260"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clinical development and ability to obtain regulatory approvals or commercialize our product candidates on a timely basis or at all, which could have an adverse effect on our business.</w:t>
      </w:r>
    </w:p>
    <w:p>
      <w:pPr>
        <w:spacing w:after="0" w:line="43"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In order to obtain FDA approval to market a new small molecule product, we must demonstrate the safety and efficacy of our product candidates in humans to the satisfaction of the FDA. To meet these requirements, we will have to conduct adequate and well-controlled clinical trials. Before we can commence clinical trials for a product candidate, we must complete extensive preclinical studies that support our planned INDs in the United States. At present, all of our product candidates, including our lead product candidate, PC14586, are in preclinical development. We cannot be certain of the timely completion or outcome of our preclinical studies and cannot predict if the FDA will accept our proposed clinical programs or if the outcome of our preclinical studies will ultimately support further development of our programs. While we recently received authorization to proceed under an IND for our lead product candidate, PC14586, we cannot be sure that we will be able to submit INDs or similar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76" w:lineRule="auto"/>
        <w:rPr>
          <w:sz w:val="20"/>
          <w:szCs w:val="20"/>
          <w:color w:val="auto"/>
        </w:rPr>
      </w:pPr>
      <w:r>
        <w:rPr>
          <w:rFonts w:ascii="Arial" w:cs="Arial" w:eastAsia="Arial" w:hAnsi="Arial"/>
          <w:sz w:val="18"/>
          <w:szCs w:val="18"/>
          <w:color w:val="auto"/>
        </w:rPr>
        <w:t>applications with respect to our other product candidates on the timelines we expect, if at all, and we cannot be sure that submission of IND or similar applications will result in the FDA or other regulatory authorities allowing clinical trials to begin.</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for example:</w:t>
      </w:r>
    </w:p>
    <w:p>
      <w:pPr>
        <w:spacing w:after="0" w:line="78" w:lineRule="exact"/>
        <w:rPr>
          <w:sz w:val="20"/>
          <w:szCs w:val="20"/>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completion of preclinical laboratory tests, animal studies and formulation studies in accordance with FDA’s good laboratory practice requirements and other applicable regulations;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ethics committee at each clinical site before each trial may be initiated;</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 obtaining regulatory authorization to commence clinical trials; and</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sufficient quantities of our product candidates for use in preclinical studies and clinical trials from third-party suppliers on a timely basis.</w:t>
      </w:r>
    </w:p>
    <w:p>
      <w:pPr>
        <w:spacing w:after="0" w:line="145"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278" w:lineRule="exact"/>
        <w:rPr>
          <w:sz w:val="20"/>
          <w:szCs w:val="20"/>
          <w:color w:val="auto"/>
        </w:rPr>
      </w:pPr>
    </w:p>
    <w:p>
      <w:pPr>
        <w:jc w:val="both"/>
        <w:ind w:left="120" w:right="480"/>
        <w:spacing w:after="0" w:line="260" w:lineRule="auto"/>
        <w:rPr>
          <w:sz w:val="20"/>
          <w:szCs w:val="20"/>
          <w:color w:val="auto"/>
        </w:rPr>
      </w:pPr>
      <w:r>
        <w:rPr>
          <w:rFonts w:ascii="Arial" w:cs="Arial" w:eastAsia="Arial" w:hAnsi="Arial"/>
          <w:sz w:val="18"/>
          <w:szCs w:val="18"/>
          <w:b w:val="1"/>
          <w:bCs w:val="1"/>
          <w:i w:val="1"/>
          <w:iCs w:val="1"/>
          <w:color w:val="auto"/>
        </w:rPr>
        <w:t>The results of preclinical testing and early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4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will be required to demonstrate with substantial evidence through well-controlled clinical trials that our product candidates are safe and effective before we can seek marketing approvals for their commercial sale. Success in preclinical studies does not mean that future clinical trials will be successful. For instance, we do not know whether PC14586 will perform in future clinical trials as PC14586 has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site to site within a clinical trial. This subjectivity can increase the uncertainty of, and adversely impact, our clinical trial outcomes.</w:t>
      </w:r>
    </w:p>
    <w:p>
      <w:pPr>
        <w:spacing w:after="0" w:line="212"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145"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Even if we succeed in developing and commercializing our product candidates, we may never generate sufficient or sustainable revenue to enable us to be profitable.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no experience as a company in conducting clinical trials.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have no experience as a company in conducting clinical trials. In part because of this lack of experience, we cannot be certain that our ongoing preclinical studies will be completed on time or if the planned preclinical studies and clinical trials will begin or be completed on time, if at all. Large-scale clinical trials would require significant additional financial and management resources and reliance on third-party clinical investigators, CROs and consultants. Relying on third-party clinical investigators, CROs and consultants may force us to encounter delays that are outside of our control. We may be unable to identify and contract with sufficient investigators, CROs and consultants on a timely basis or at all. For our lead product candidate, PC14586, we recently entered in to a master services agreement with a CRO to lead our first-in-human planned open label Phase 1/2 clinical trial. There can be no assurance that we will be able to negotiate and enter into any additional master services agreement with other CROs, as necessary, on terms that are acceptable to us on a timely basis or at all.</w:t>
      </w:r>
    </w:p>
    <w:p>
      <w:pPr>
        <w:spacing w:after="0" w:line="284" w:lineRule="exact"/>
        <w:rPr>
          <w:sz w:val="20"/>
          <w:szCs w:val="20"/>
          <w:color w:val="auto"/>
        </w:rPr>
      </w:pPr>
    </w:p>
    <w:p>
      <w:pPr>
        <w:ind w:left="120" w:right="60"/>
        <w:spacing w:after="0" w:line="251" w:lineRule="auto"/>
        <w:rPr>
          <w:sz w:val="20"/>
          <w:szCs w:val="20"/>
          <w:color w:val="auto"/>
        </w:rPr>
      </w:pPr>
      <w:r>
        <w:rPr>
          <w:rFonts w:ascii="Arial" w:cs="Arial" w:eastAsia="Arial" w:hAnsi="Arial"/>
          <w:sz w:val="18"/>
          <w:szCs w:val="18"/>
          <w:b w:val="1"/>
          <w:bCs w:val="1"/>
          <w:i w:val="1"/>
          <w:iCs w:val="1"/>
          <w:color w:val="auto"/>
        </w:rPr>
        <w:t>We may need to use existing commercial diagnostic tests or develop, or enter into a collaboration or partnership in the future to develop, novel companion diagnostics for some of our current or future product candidates. If we or our future partners are unable to successfully develop, validate and obtain approval for such companion diagnostics, or experience significant delays in doing so, we may not realize the full commercial potential of our future product candidates.</w:t>
      </w:r>
    </w:p>
    <w:p>
      <w:pPr>
        <w:spacing w:after="0" w:line="52"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As one of the key elements of our product development strategy, we seek to identify cancer patient populations that may derive meaningful benefit from our current or future product candidates. Because specific genetic mutations will be used to identify the appropriate patients for our programs and our current or future product candidates, we believe that our success may depend, in part, on our ability to use existing diagnostic tests and genetic sequencing, or to develop novel companion diagnostics in collaboration with partners.</w:t>
      </w:r>
    </w:p>
    <w:p>
      <w:pPr>
        <w:spacing w:after="0" w:line="172"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Such companion diagnostics would be used during our clinical trials as well as in connection with the commercialization of our product candidates. In our Phase 1/2 clinical trial, we plan to work with physicians and leading academic centers to enroll patients with the p53 Y220C mutation identified through next generation sequencing, or NGS. To be successful, we or our collaborators will need to address a number of scientific, technical, regulatory and logistical challenges.</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little experience as a company in the development of diagnostics. As such, we expect to rely on future partners for the design, development and manufacture of appropriate diagnostics to pair with our current or future product candidates. We have not yet begun discussions with any potential partners with respect to the development of companion diagnostics and may be unsuccessful in entering into collaborations for the development of companion diagnostics for our programs and our current or future product candidates. If we enter into such collaborative agreements, we will be dependent on the sustained cooperation and effort of our future collaborators in developing and obtaining approval for these companion diagnostics. It may be necessary to resolve issues such as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color w:val="auto"/>
        </w:rPr>
        <w:t>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w:t>
      </w:r>
    </w:p>
    <w:p>
      <w:pPr>
        <w:spacing w:after="0" w:line="170"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Companion diagnostics are subject to regulation by the FDA and comparable foreign regulatory authorities outside the United States as medical devices and require separate regulatory approval or clearance prior to commercialization. Moreover, the FDA generally requires the contemporaneous approval of companion diagnostics and the associated therapeutic.</w:t>
      </w:r>
    </w:p>
    <w:p>
      <w:pPr>
        <w:spacing w:after="0" w:line="164" w:lineRule="exact"/>
        <w:rPr>
          <w:sz w:val="20"/>
          <w:szCs w:val="20"/>
          <w:color w:val="auto"/>
        </w:rPr>
      </w:pPr>
    </w:p>
    <w:p>
      <w:pPr>
        <w:ind w:left="120" w:right="20" w:firstLine="551"/>
        <w:spacing w:after="0" w:line="263" w:lineRule="auto"/>
        <w:rPr>
          <w:sz w:val="20"/>
          <w:szCs w:val="20"/>
          <w:color w:val="auto"/>
        </w:rPr>
      </w:pPr>
      <w:r>
        <w:rPr>
          <w:rFonts w:ascii="Arial" w:cs="Arial" w:eastAsia="Arial" w:hAnsi="Arial"/>
          <w:sz w:val="17"/>
          <w:szCs w:val="17"/>
          <w:color w:val="auto"/>
        </w:rPr>
        <w:t>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our partners, or any third parties that we engage to assist us, are unable to successfully develop and supply companion diagnostics for our current product candidates and any future product candidates, or experience delays in doing so:</w:t>
      </w:r>
    </w:p>
    <w:p>
      <w:pPr>
        <w:spacing w:after="0" w:line="63" w:lineRule="exact"/>
        <w:rPr>
          <w:sz w:val="20"/>
          <w:szCs w:val="20"/>
          <w:color w:val="auto"/>
        </w:rPr>
      </w:pPr>
    </w:p>
    <w:p>
      <w:pPr>
        <w:ind w:left="880" w:hanging="224"/>
        <w:spacing w:after="0" w:line="27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development of our current product candidates and any future product candidates may be adversely affected if we are unable to appropriately select patients for enrollment in our clinical trials; and</w:t>
      </w:r>
    </w:p>
    <w:p>
      <w:pPr>
        <w:spacing w:after="0" w:line="50" w:lineRule="exact"/>
        <w:rPr>
          <w:rFonts w:ascii="Arial" w:cs="Arial" w:eastAsia="Arial" w:hAnsi="Arial"/>
          <w:sz w:val="18"/>
          <w:szCs w:val="18"/>
          <w:color w:val="auto"/>
        </w:rPr>
      </w:pPr>
    </w:p>
    <w:p>
      <w:pPr>
        <w:ind w:left="880" w:right="800" w:hanging="224"/>
        <w:spacing w:after="0" w:line="276"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obtain approval of our current product candidates and any future product candidates that require companion diagnostics on a timely basis or at all.</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these events were to occur, our business would be adversely impacted.</w:t>
      </w:r>
    </w:p>
    <w:p>
      <w:pPr>
        <w:spacing w:after="0" w:line="320"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materially adversely impact our business, results of operations and financial condition, including our preclinical studies and clinical trials.</w:t>
      </w:r>
    </w:p>
    <w:p>
      <w:pPr>
        <w:spacing w:after="0" w:line="21"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January 2020, the World Health Organization declared the outbreak of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We continue to monitor the impact of the COVID-19 outbreak closely. The extent to which the COVID-19 outbreak will impact its operations or financial results is uncertain.</w:t>
      </w:r>
    </w:p>
    <w:p>
      <w:pPr>
        <w:spacing w:after="0" w:line="17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our administrative employees continuing their work outside of our offices and limited the number of staff in any given research and development laboratory. Our research and development teams are currently operating on a staggered schedule, which has altered our operations and processes. While the extent of the impact of the COVID-19 pandemic on our business and financial results is uncertain, a continued and prolonged public health crisis such as the COVID-19 pandemic could have a material adverse effect on our business, financial condition and results of operations. As a result of the COVID-19</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pandemic, we may experience disruptions that could severely impact our business, preclinical studies and clinical trials, including:</w:t>
      </w:r>
    </w:p>
    <w:p>
      <w:pPr>
        <w:spacing w:after="0" w:line="117" w:lineRule="exact"/>
        <w:rPr>
          <w:sz w:val="20"/>
          <w:szCs w:val="20"/>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0" w:lineRule="exact"/>
        <w:rPr>
          <w:rFonts w:ascii="Arial" w:cs="Arial" w:eastAsia="Arial" w:hAnsi="Arial"/>
          <w:sz w:val="18"/>
          <w:szCs w:val="18"/>
          <w:color w:val="auto"/>
        </w:rPr>
      </w:pPr>
    </w:p>
    <w:p>
      <w:pPr>
        <w:ind w:left="880" w:right="320" w:hanging="224"/>
        <w:spacing w:after="0" w:line="248"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75"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50"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17" w:lineRule="exact"/>
        <w:rPr>
          <w:rFonts w:ascii="Arial" w:cs="Arial" w:eastAsia="Arial" w:hAnsi="Arial"/>
          <w:sz w:val="18"/>
          <w:szCs w:val="18"/>
          <w:color w:val="auto"/>
        </w:rPr>
      </w:pPr>
    </w:p>
    <w:p>
      <w:pPr>
        <w:ind w:left="880" w:right="260" w:hanging="224"/>
        <w:spacing w:after="0" w:line="255"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45"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 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trial.</w:t>
      </w:r>
    </w:p>
    <w:p>
      <w:pPr>
        <w:spacing w:after="0" w:line="176"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COVID-19 pandemic continues to revolve rapidly, with the status of operations and government restrictions evolving weekly. The extent to which the outbreak impacts our business, preclinical studies and clinical trials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5" w:right="4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following this offering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the COVID-19 could materially and adversely affect our business and the value of our common stock.</w:t>
      </w:r>
    </w:p>
    <w:p>
      <w:pPr>
        <w:spacing w:after="0" w:line="172"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our business could be materially adversely affected by other business disruptions to us or our third-party providers that could materially adversely affect our potential future revenue and financial condition and increase our costs and expenses. Our operations, and those of our CROs, contract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materially adversely affect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84"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may not be able to initiate or continue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For example, our enrollment for clinical trials of PC14586 will require patients to have the specific p53 Y220C mutation. If we are unable to locate a sufficient number of such patients, our clinical trial and development plans could be delayed.</w:t>
      </w:r>
    </w:p>
    <w:p>
      <w:pPr>
        <w:spacing w:after="0" w:line="174"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PC14586 clinical trials and our regulatory submissions, and increase the costs associated of the clinical trials.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firstLine="551"/>
        <w:spacing w:after="0" w:line="277" w:lineRule="auto"/>
        <w:rPr>
          <w:sz w:val="20"/>
          <w:szCs w:val="20"/>
          <w:color w:val="auto"/>
        </w:rPr>
      </w:pPr>
      <w:r>
        <w:rPr>
          <w:rFonts w:ascii="Arial" w:cs="Arial" w:eastAsia="Arial" w:hAnsi="Arial"/>
          <w:sz w:val="17"/>
          <w:szCs w:val="17"/>
          <w:color w:val="auto"/>
        </w:rPr>
        <w:t>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52"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jc w:val="both"/>
        <w:ind w:left="880" w:right="340" w:hanging="224"/>
        <w:spacing w:after="0" w:line="255"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69"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clinicians’ willingness to screen their patients for biomarkers to indicate which patients may be eligible for enrollment in our clinical trials;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or temporary suspension of the enrollment of patients in our planned clinical trial due to the COVID-19 pandemic;</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obtain and maintain patient consents;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including as a result of contracting COVID-19 or other health conditions or being forced to quarantine, or, because they may be late-stage cancer patients, will not survive the full terms of the clinical trials.</w:t>
      </w:r>
    </w:p>
    <w:p>
      <w:pPr>
        <w:spacing w:after="0" w:line="16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04"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PC14586 into the dose expansion phases of our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clinical trials. Such changes carry the risk that they will not achieve these intended objectives. Any of these changes could cause our product candidates to perform differently and affect the results of planned clinical trials or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80" w:lineRule="exact"/>
        <w:rPr>
          <w:sz w:val="20"/>
          <w:szCs w:val="20"/>
          <w:color w:val="auto"/>
        </w:rPr>
      </w:pPr>
    </w:p>
    <w:p>
      <w:pPr>
        <w:jc w:val="both"/>
        <w:ind w:left="120" w:right="660"/>
        <w:spacing w:after="0" w:line="260"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43"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color w:val="auto"/>
        </w:rPr>
        <w:t>Cancer therapies are sometimes characterized as first line, second line, or third line, and the FDA customarily approves new therapies only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line therapy. Subsequently, depending on the nature of the clinical data and experience with any approved products or product candidates, if any, we may pursue approval as an earlier line therapy and potentially as a first line therapy. But there is no guarantee that our product candidates, even if approved as a second or subsequent line of therapy, would be approved for an earlier line of therapy, and, prior to any such approvals, we may have to conduct additional clinical trials.</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projections of both the number of people who have the p53 hotspot mutations we are targeting, who may have their tumors genetically sequenced, as well as the subset of people with these mutations in a position to receive a particular line of therapy and who have the potential to benefit from treatment with our product candidates, are based on our assumptions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104"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50"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preclinical studies or clinical trials;</w:t>
      </w:r>
    </w:p>
    <w:p>
      <w:pPr>
        <w:spacing w:after="0" w:line="50"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82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12"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These and other risks associated with international operations may materially adversely affect our business, financial condition and results of operations.</w:t>
      </w:r>
    </w:p>
    <w:p>
      <w:pPr>
        <w:spacing w:after="0" w:line="253" w:lineRule="exact"/>
        <w:rPr>
          <w:sz w:val="20"/>
          <w:szCs w:val="20"/>
          <w:color w:val="auto"/>
        </w:rPr>
      </w:pPr>
    </w:p>
    <w:p>
      <w:pPr>
        <w:ind w:left="120" w:right="440"/>
        <w:spacing w:after="0" w:line="28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74"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In particular, we are aware of molecules in development that also are being explored for p53 upregulation/activation in various stages of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p53-murine double minute 2, or MDM2, interaction, which are in various stages of clinical development being tested by Aileron Therapeutics, Ascentage Pharma, Boehringer Ingelheim, Daiichi Sankyo (out-licensed worldwide rights to Rain Therapeutics), Kartos Therapeutics, Novartis and Roche, including testing MDM2 inhibitors in combination with a variety of other anti-cancer agents.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7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7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In addition, we will likely need to develop our product candidates in collaboration with companion diagnostic companies, and we will face competition from other companies in establishing these future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183"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For additional information regarding our competition, see “Business— Competition.”</w:t>
      </w:r>
    </w:p>
    <w:p>
      <w:pPr>
        <w:spacing w:after="0" w:line="278"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1"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preclinical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76" w:lineRule="auto"/>
        <w:rPr>
          <w:sz w:val="20"/>
          <w:szCs w:val="20"/>
          <w:color w:val="auto"/>
        </w:rPr>
      </w:pPr>
      <w:r>
        <w:rPr>
          <w:rFonts w:ascii="Arial" w:cs="Arial" w:eastAsia="Arial" w:hAnsi="Arial"/>
          <w:sz w:val="18"/>
          <w:szCs w:val="18"/>
          <w:color w:val="auto"/>
        </w:rPr>
        <w:t>variables. The results from preclinical testing or early clinical trials of a product candidate may not be predictive of the results that will be obtained in later stage clinical trials of the product candidate.</w:t>
      </w:r>
    </w:p>
    <w:p>
      <w:pPr>
        <w:spacing w:after="0" w:line="145" w:lineRule="exact"/>
        <w:rPr>
          <w:sz w:val="20"/>
          <w:szCs w:val="20"/>
          <w:color w:val="auto"/>
        </w:rPr>
      </w:pPr>
    </w:p>
    <w:p>
      <w:pPr>
        <w:ind w:left="120" w:right="560" w:firstLine="551"/>
        <w:spacing w:after="0" w:line="276" w:lineRule="auto"/>
        <w:rPr>
          <w:sz w:val="20"/>
          <w:szCs w:val="20"/>
          <w:color w:val="auto"/>
        </w:rPr>
      </w:pPr>
      <w:r>
        <w:rPr>
          <w:rFonts w:ascii="Arial" w:cs="Arial" w:eastAsia="Arial" w:hAnsi="Arial"/>
          <w:sz w:val="18"/>
          <w:szCs w:val="18"/>
          <w:color w:val="auto"/>
        </w:rPr>
        <w:t>The success of future product candidates we may develop will depend on many factors, including the following and the other factors relating to product development described elsewhere in this “Risk Factors” section:</w:t>
      </w:r>
    </w:p>
    <w:p>
      <w:pPr>
        <w:spacing w:after="0" w:line="50"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events in the clinical trials.</w:t>
      </w:r>
    </w:p>
    <w:p>
      <w:pPr>
        <w:spacing w:after="0" w:line="212"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additional product candidates, which would materially adversely affect our business, financial condition and results of operations.</w:t>
      </w:r>
    </w:p>
    <w:p>
      <w:pPr>
        <w:spacing w:after="0" w:line="164"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Even if we successfully advance any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future product candidates.</w:t>
      </w:r>
    </w:p>
    <w:p>
      <w:pPr>
        <w:spacing w:after="0" w:line="278"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43"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While we have not yet initiated clinical trials for any of our product candidates, as is the case with all oncology drugs, it is likely that there may be significant side effects associated with their use. PC14586 or future product candidates may be used in populations for which safety concerns may be reviewed by regulatory agencies. In addition, we expect that PC14586 will be studied in combination with other therapies, which may exacerbate adverse events associated with the therapy. Further, our product candidates will be used in patients that have weakened immune systems, which may exacerbate any potential side effects associated with their use. Patients treated with PC14586 or any of our future product candidates may also be undergoing surgical, radiation and chemotherapy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PC14586 clinical trials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17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285" w:lineRule="exact"/>
        <w:rPr>
          <w:sz w:val="20"/>
          <w:szCs w:val="20"/>
          <w:color w:val="auto"/>
        </w:rPr>
      </w:pPr>
    </w:p>
    <w:p>
      <w:pPr>
        <w:ind w:left="120" w:right="700"/>
        <w:spacing w:after="0" w:line="285" w:lineRule="auto"/>
        <w:rPr>
          <w:sz w:val="20"/>
          <w:szCs w:val="20"/>
          <w:color w:val="auto"/>
        </w:rPr>
      </w:pPr>
      <w:r>
        <w:rPr>
          <w:rFonts w:ascii="Arial" w:cs="Arial" w:eastAsia="Arial" w:hAnsi="Arial"/>
          <w:sz w:val="18"/>
          <w:szCs w:val="18"/>
          <w:b w:val="1"/>
          <w:bCs w:val="1"/>
          <w:i w:val="1"/>
          <w:iCs w:val="1"/>
          <w:color w:val="auto"/>
        </w:rPr>
        <w:t>We expect to develop our current or future product candidates in combination with other therapies, which exposes us to additional risks.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intend to develop our current or future product candidates in combination with one or more currently approved cancer therapies or therapies in development. For example, our preclinical studies have demonstrated robust tumor regression when sub-therapeutic doses of PC14586 were used in combination with anti-PD-1 therapy. Patients may not be able to tolerate PC14586 or any of our future product candidates in combination with other therapies or dosing of PC14586 or any of our future product candidates in combination with other therapies may have unexpected consequences. Even if any of our current or future product candidates were to receive marketing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76" w:lineRule="exact"/>
        <w:rPr>
          <w:sz w:val="20"/>
          <w:szCs w:val="20"/>
          <w:color w:val="auto"/>
        </w:rPr>
      </w:pPr>
    </w:p>
    <w:p>
      <w:pPr>
        <w:jc w:val="both"/>
        <w:ind w:left="120" w:right="220" w:firstLine="551"/>
        <w:spacing w:after="0" w:line="255" w:lineRule="auto"/>
        <w:rPr>
          <w:sz w:val="20"/>
          <w:szCs w:val="20"/>
          <w:color w:val="auto"/>
        </w:rPr>
      </w:pPr>
      <w:r>
        <w:rPr>
          <w:rFonts w:ascii="Arial" w:cs="Arial" w:eastAsia="Arial" w:hAnsi="Arial"/>
          <w:sz w:val="18"/>
          <w:szCs w:val="18"/>
          <w:color w:val="auto"/>
        </w:rPr>
        <w:t>We may also evaluate our current or future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the FDA or other comparable foreign regulatory authorities do not approve or withdraw their approval of these other therapies, or if safety, efficacy, commercial adoption, manufacturing or supply issues arise with the therapies we choose to evaluate in combination with PC14586 or any future product candidate, we may be unable to obtain approval of or successfully market any one or all of the current or future product candidates we develop. Additionally, if the third -party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88" w:lineRule="exact"/>
        <w:rPr>
          <w:sz w:val="20"/>
          <w:szCs w:val="20"/>
          <w:color w:val="auto"/>
        </w:rPr>
      </w:pPr>
    </w:p>
    <w:p>
      <w:pPr>
        <w:jc w:val="both"/>
        <w:ind w:left="120" w:right="80"/>
        <w:spacing w:after="0" w:line="260"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ind w:left="120" w:right="220" w:firstLine="551"/>
        <w:spacing w:after="0" w:line="263" w:lineRule="auto"/>
        <w:rPr>
          <w:sz w:val="20"/>
          <w:szCs w:val="20"/>
          <w:color w:val="auto"/>
        </w:rPr>
      </w:pPr>
      <w:r>
        <w:rPr>
          <w:rFonts w:ascii="Arial" w:cs="Arial" w:eastAsia="Arial" w:hAnsi="Arial"/>
          <w:sz w:val="17"/>
          <w:szCs w:val="17"/>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 after this offering.</w:t>
      </w:r>
    </w:p>
    <w:p>
      <w:pPr>
        <w:spacing w:after="0" w:line="157"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288" w:lineRule="exact"/>
        <w:rPr>
          <w:sz w:val="20"/>
          <w:szCs w:val="20"/>
          <w:color w:val="auto"/>
        </w:rPr>
      </w:pPr>
    </w:p>
    <w:p>
      <w:pPr>
        <w:ind w:left="120" w:right="900"/>
        <w:spacing w:after="0" w:line="285"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21"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medical community. Various factors will influence whether our product candidates are accepted in the market, including:</w:t>
      </w:r>
    </w:p>
    <w:p>
      <w:pPr>
        <w:spacing w:after="0" w:line="117"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1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physicians, hospitals, cancer treatment centers and patients considering our product candidates as a safe and effective treatment;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precision medicines and public perception of other precision medicines;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adequate coverage, reimbursement and pricing by third-party payors and government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by third-party payors and government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2"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If our product candidates are licensed but fail to achieve market acceptance among physicians, patients, hospitals, cancer treatment centers or others in the medical community, we will not be able to generate significant revenue.</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72"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72" w:lineRule="exact"/>
        <w:rPr>
          <w:sz w:val="20"/>
          <w:szCs w:val="20"/>
          <w:color w:val="auto"/>
        </w:rPr>
      </w:pPr>
    </w:p>
    <w:p>
      <w:pPr>
        <w:ind w:left="120" w:right="160"/>
        <w:spacing w:after="0" w:line="251"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adversely affect our business. Failure to obtain or maintain adequate coverage and reimbursement for new or current products could limit our ability to market those products and decrease our ability to generate revenue.</w:t>
      </w:r>
    </w:p>
    <w:p>
      <w:pPr>
        <w:spacing w:after="0" w:line="52"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In the United States, recently enacted legislation may</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5" w:right="4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93"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80"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business, financial condition and results of operations, our ability to raise capital needed to commercialize product candidates and our overall financial condition.</w:t>
      </w:r>
    </w:p>
    <w:p>
      <w:pPr>
        <w:spacing w:after="0" w:line="18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business, financial condition and results of operations, our ability to raise capital needed to commercialize products and our overall financial condition.</w:t>
      </w:r>
    </w:p>
    <w:p>
      <w:pPr>
        <w:spacing w:after="0" w:line="172"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69"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280" w:lineRule="exact"/>
        <w:rPr>
          <w:sz w:val="20"/>
          <w:szCs w:val="20"/>
          <w:color w:val="auto"/>
        </w:rPr>
      </w:pPr>
    </w:p>
    <w:p>
      <w:pPr>
        <w:ind w:left="120" w:right="1220"/>
        <w:spacing w:after="0" w:line="28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6"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1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5"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00"/>
        <w:spacing w:after="0" w:line="285"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comparable foreign regulatory authority investigation of the safety and effectiveness of our products, our manufacturing processes and facilities or our marketing programs. FDA or other comparable foreign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88" w:lineRule="exact"/>
        <w:rPr>
          <w:sz w:val="20"/>
          <w:szCs w:val="20"/>
          <w:color w:val="auto"/>
        </w:rPr>
      </w:pPr>
    </w:p>
    <w:p>
      <w:pPr>
        <w:ind w:left="120" w:right="240"/>
        <w:spacing w:after="0" w:line="285"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1"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the product candidates which we may license to others,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 from them or be able to reach or sustain profitability.</w:t>
      </w:r>
    </w:p>
    <w:p>
      <w:pPr>
        <w:spacing w:after="0" w:line="288"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43" w:lineRule="exact"/>
        <w:rPr>
          <w:sz w:val="20"/>
          <w:szCs w:val="20"/>
          <w:color w:val="auto"/>
        </w:rPr>
      </w:pPr>
    </w:p>
    <w:p>
      <w:pPr>
        <w:ind w:left="120" w:right="260" w:firstLine="551"/>
        <w:spacing w:after="0" w:line="255" w:lineRule="auto"/>
        <w:rPr>
          <w:sz w:val="20"/>
          <w:szCs w:val="20"/>
          <w:color w:val="auto"/>
        </w:rPr>
      </w:pPr>
      <w:r>
        <w:rPr>
          <w:rFonts w:ascii="Arial" w:cs="Arial" w:eastAsia="Arial" w:hAnsi="Arial"/>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5" w:right="4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other pharmaceutical and biotechnology companies to recruit, hire, train and retain marketing and sales personnel.</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0" w:lineRule="exact"/>
        <w:rPr>
          <w:sz w:val="20"/>
          <w:szCs w:val="20"/>
          <w:color w:val="auto"/>
        </w:rPr>
      </w:pPr>
    </w:p>
    <w:p>
      <w:pPr>
        <w:ind w:left="120" w:right="480" w:firstLine="551"/>
        <w:spacing w:after="0" w:line="276"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Regulatory Process and Other Legal Compliance Matters</w:t>
      </w:r>
    </w:p>
    <w:p>
      <w:pPr>
        <w:spacing w:after="0" w:line="214" w:lineRule="exact"/>
        <w:rPr>
          <w:sz w:val="20"/>
          <w:szCs w:val="20"/>
          <w:color w:val="auto"/>
        </w:rPr>
      </w:pPr>
    </w:p>
    <w:p>
      <w:pPr>
        <w:ind w:left="120" w:right="20"/>
        <w:spacing w:after="0" w:line="251"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PC14586, we must demonstrate through lengthy, complex and expensive preclinical studies and clinical trials that our product candidates are both safe and effective for each targeted indication.</w:t>
      </w:r>
    </w:p>
    <w:p>
      <w:pPr>
        <w:spacing w:after="0" w:line="172"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w:t>
      </w:r>
    </w:p>
    <w:p>
      <w:pPr>
        <w:spacing w:after="0" w:line="170"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For example, FDA has recently issued guidance on conducting clinical trials during the pandemic, which describes a number of considerations for sponsors of clinical trials impacted by the COVID-19 pandemic, including recordkeeping and implementation of contingency measures in response to the ongoing pandemic. The FDA and comparable authorities in other countries have substantial discretion in the approval process and may refuse to accept any application or may decide that our data are insufficient for</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76" w:lineRule="auto"/>
        <w:rPr>
          <w:sz w:val="20"/>
          <w:szCs w:val="20"/>
          <w:color w:val="auto"/>
        </w:rPr>
      </w:pPr>
      <w:r>
        <w:rPr>
          <w:rFonts w:ascii="Arial" w:cs="Arial" w:eastAsia="Arial" w:hAnsi="Arial"/>
          <w:sz w:val="18"/>
          <w:szCs w:val="18"/>
          <w:color w:val="auto"/>
        </w:rPr>
        <w:t>approval and require additional preclinical, clinical or other data. Our product candidates could be delayed in receiving, or fail to receive, regulatory approval for many reasons, including the following:</w:t>
      </w:r>
    </w:p>
    <w:p>
      <w:pPr>
        <w:spacing w:after="0" w:line="50" w:lineRule="exact"/>
        <w:rPr>
          <w:sz w:val="20"/>
          <w:szCs w:val="20"/>
          <w:color w:val="auto"/>
        </w:rPr>
      </w:pPr>
    </w:p>
    <w:p>
      <w:pPr>
        <w:ind w:left="880" w:right="400" w:hanging="224"/>
        <w:spacing w:after="0" w:line="248"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 including our proposed Phase 1/2 clinical trial design for PC14586, or require us to modify the design of our clinical trials, including additional procedures and contingency measures in response to the COVID-19 pandemic or as required by clinical sites, IRBs, FDA or other regulatory authorities;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tumor-agnostic development strategy;</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50" w:lineRule="exact"/>
        <w:rPr>
          <w:rFonts w:ascii="Arial" w:cs="Arial" w:eastAsia="Arial" w:hAnsi="Arial"/>
          <w:sz w:val="18"/>
          <w:szCs w:val="18"/>
          <w:color w:val="auto"/>
        </w:rPr>
      </w:pPr>
    </w:p>
    <w:p>
      <w:pPr>
        <w:ind w:left="880" w:right="320" w:hanging="224"/>
        <w:spacing w:after="0" w:line="255"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69"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fail to approve companion diagnostic tests that may be required for our product candidates;</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 or that a product candidate has an acceptable benefit-risk ratio for its proposed indication;</w:t>
      </w:r>
    </w:p>
    <w:p>
      <w:pPr>
        <w:spacing w:after="0" w:line="50"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50"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50" w:lineRule="exact"/>
        <w:rPr>
          <w:rFonts w:ascii="Arial" w:cs="Arial" w:eastAsia="Arial" w:hAnsi="Arial"/>
          <w:sz w:val="18"/>
          <w:szCs w:val="18"/>
          <w:color w:val="auto"/>
        </w:rPr>
      </w:pPr>
    </w:p>
    <w:p>
      <w:pPr>
        <w:ind w:left="880" w:right="760" w:hanging="224"/>
        <w:spacing w:after="0" w:line="306"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28" w:lineRule="exact"/>
        <w:rPr>
          <w:rFonts w:ascii="Arial" w:cs="Arial" w:eastAsia="Arial" w:hAnsi="Arial"/>
          <w:sz w:val="17"/>
          <w:szCs w:val="17"/>
          <w:color w:val="auto"/>
        </w:rPr>
      </w:pPr>
    </w:p>
    <w:p>
      <w:pPr>
        <w:ind w:left="880" w:right="24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otherwise fail or be unable to adequately perform their obligations to allow for the conduct of our planned or future clinical studies; and</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45"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170"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76" w:lineRule="auto"/>
        <w:rPr>
          <w:sz w:val="20"/>
          <w:szCs w:val="20"/>
          <w:color w:val="auto"/>
        </w:rPr>
      </w:pPr>
      <w:r>
        <w:rPr>
          <w:rFonts w:ascii="Arial" w:cs="Arial" w:eastAsia="Arial" w:hAnsi="Arial"/>
          <w:sz w:val="18"/>
          <w:szCs w:val="18"/>
          <w:color w:val="auto"/>
        </w:rPr>
        <w:t>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253"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b w:val="1"/>
          <w:bCs w:val="1"/>
          <w:i w:val="1"/>
          <w:iCs w:val="1"/>
          <w:color w:val="auto"/>
        </w:rPr>
        <w:t>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As part of our business strategy, we may seek orphan drug designation, or ODD, for any eligible product candidates we develop, and we may be unsuccessful.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180"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a particular active ingredient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such as a showing of clinical superiority to the product with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76"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5" w:right="4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51"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Even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52"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7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Separately from fast track or breakthrough therapy designation, we may seek accelerated approval for one or more of our product candidates. A product candidate intended to treat serious or life-threatening diseases or conditions may be eligible for accelerated approval if it is determined to have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post-approval clinical studies to verify and describe the anticipated effect on irreversible morbidity or mortality or other clinical benefit. In addition, the FDA currently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required post-approval confirmatory clinical trials may fail to verify the predicted clinical benefit of the product, and we may be required to remove the product from the market or amend the product label in a way that adversely impacts its marketing.</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40"/>
        <w:spacing w:after="0" w:line="285"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1"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6" w:lineRule="exact"/>
        <w:rPr>
          <w:sz w:val="20"/>
          <w:szCs w:val="20"/>
          <w:color w:val="auto"/>
        </w:rPr>
      </w:pPr>
    </w:p>
    <w:p>
      <w:pPr>
        <w:ind w:left="120" w:right="220" w:firstLine="551"/>
        <w:spacing w:after="0" w:line="241"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287"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b w:val="1"/>
          <w:bCs w:val="1"/>
          <w:i w:val="1"/>
          <w:iCs w:val="1"/>
          <w:color w:val="auto"/>
        </w:rPr>
        <w:t>Preclinical and clinical development involves a lengthy and expensive process with uncertain outcomes,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55"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All of our lead product candidates are in preclinical development and their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 candidates in humans. Our clinical trials may not be conducted as planned or completed on schedule, if at all, and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future clinical trials may not be successful.</w:t>
      </w:r>
    </w:p>
    <w:p>
      <w:pPr>
        <w:spacing w:after="0" w:line="180"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18"/>
          <w:szCs w:val="18"/>
          <w:color w:val="auto"/>
        </w:rPr>
        <w:t>We cannot be certain that our preclinical study and clinical trial results will be sufficient to support regulatory approval of our product candidates, or that FDA or other comparable regulatory authorities will find our planned clinical strategy to be acceptable. Clinical testing is expensive and can take many</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5" w:lineRule="auto"/>
        <w:rPr>
          <w:sz w:val="20"/>
          <w:szCs w:val="20"/>
          <w:color w:val="auto"/>
        </w:rPr>
      </w:pPr>
      <w:r>
        <w:rPr>
          <w:rFonts w:ascii="Arial" w:cs="Arial" w:eastAsia="Arial" w:hAnsi="Arial"/>
          <w:sz w:val="18"/>
          <w:szCs w:val="18"/>
          <w:color w:val="auto"/>
        </w:rPr>
        <w:t>years to complete, and its outcome is inherently uncertain. Human clinical trials are expensive and difficult to design and implement, in part because they are subject to rigorous regulatory requirements. Failure or delay can occur at any time during the clinical trial process. In addition, the COVID-19 pandemic is still evolving as of this time and much of its impact remains unknown, and it is impossible to predict the impact the COVID-19 pandemic may have on the development of our product candidates, our preclinical studies and clinical trials and our business.</w:t>
      </w:r>
    </w:p>
    <w:p>
      <w:pPr>
        <w:spacing w:after="0" w:line="17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Additionally, some of the clinical trials we conduct, including our planned PC14586 Phase 1/2 clinical trial,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76"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may experience delays in obtaining the FDA’s authorization to initiate clinical trials, completing ongoing preclinical studies of our future product candidates and initiating our planned preclinical studies and clinical trials. Additionally, we cannot be certain that preclinical studies or clinical trials for our product candidates will begin on time, not require redesign, enroll an adequate number of research subjects or patients on time, or be completed on schedule, if at all. Clinical trials can be delayed or terminated for a variety of reasons, including delays or failures related to:</w:t>
      </w:r>
    </w:p>
    <w:p>
      <w:pPr>
        <w:spacing w:after="0" w:line="78"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our tumor-agnostic development strategy;</w:t>
      </w:r>
    </w:p>
    <w:p>
      <w:pPr>
        <w:spacing w:after="0" w:line="117"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obtaining regulatory approval or authorization to commence a clinical trial, including delays or issues relating to any future companion diagnostics which we may develop;</w:t>
      </w:r>
    </w:p>
    <w:p>
      <w:pPr>
        <w:spacing w:after="0" w:line="50"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IRB or ethics committee approval at each clinical trial site;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7" w:lineRule="exact"/>
        <w:rPr>
          <w:rFonts w:ascii="Arial" w:cs="Arial" w:eastAsia="Arial" w:hAnsi="Arial"/>
          <w:sz w:val="18"/>
          <w:szCs w:val="18"/>
          <w:color w:val="auto"/>
        </w:rPr>
      </w:pPr>
    </w:p>
    <w:p>
      <w:pPr>
        <w:jc w:val="both"/>
        <w:ind w:left="880" w:right="340" w:hanging="224"/>
        <w:spacing w:after="0" w:line="255"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for example, if we experience delays or challenges in identifying patients with the mutations required for our clinical trials, we may have to reimburse sites for genetic sequencing costs in order to encourage sequencing of additional patients;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having third-party contractors fail to complete their obligations in a timely manner or failing to comply with applicable regulatory requirements;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sufficient product supply of product candidate for use in preclinical studies or clinical trials from third-party suppliers.</w:t>
      </w:r>
    </w:p>
    <w:p>
      <w:pPr>
        <w:spacing w:after="0" w:line="212"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 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If we experience delays in the completion, or termination, of any preclinical study or clinical trial of our product candidates, the commercial prospects of our product candidates may be adversely affected, and our ability to generate revenue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 Any of these occurrences may materially adversely affect our business, financial condition and prospects. In addition, many of the factors that cause, or lead to, a delay in the commencement or completion of clinical trials may also ultimately lead to the denial of regulatory approval of our product candidates. If one or more of our product candidates generally prove to be ineffective, unsafe or commercially unviable, our entire pipeline and platform would have little, if any, value, which would have a material and adverse effect on our business, financial condition, results of operations and prospects.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i w:val="1"/>
          <w:iCs w:val="1"/>
          <w:color w:val="auto"/>
        </w:rPr>
        <w:t>Changes in funding or 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55"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7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for 35 days beginning on December 22, 2018,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or delays could impact our ability to access the public markets and obtain necessary capital in order to properly capitalize and continue our operations.</w:t>
      </w:r>
    </w:p>
    <w:p>
      <w:pPr>
        <w:spacing w:after="0" w:line="285" w:lineRule="exact"/>
        <w:rPr>
          <w:sz w:val="20"/>
          <w:szCs w:val="20"/>
          <w:color w:val="auto"/>
        </w:rPr>
      </w:pPr>
    </w:p>
    <w:p>
      <w:pPr>
        <w:jc w:val="both"/>
        <w:ind w:left="120" w:right="40"/>
        <w:spacing w:after="0" w:line="260"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43"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170"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 consuming post-approval studies, post-market surveillance or clinical trials to monitor the safety and efficacy of the product. The FDA may also require a risk evaluation and mitigation strategy, or REMS, in order to approve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7"/>
          <w:szCs w:val="17"/>
          <w:color w:val="auto"/>
        </w:rPr>
        <w:t>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good laboratory practice, or GLP, requirements and good clinical practice, or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5" w:lineRule="exact"/>
        <w:rPr>
          <w:sz w:val="20"/>
          <w:szCs w:val="20"/>
          <w:color w:val="auto"/>
        </w:rPr>
      </w:pPr>
    </w:p>
    <w:p>
      <w:pPr>
        <w:ind w:left="880" w:right="4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50" w:lineRule="exact"/>
        <w:rPr>
          <w:rFonts w:ascii="Arial" w:cs="Arial" w:eastAsia="Arial" w:hAnsi="Arial"/>
          <w:sz w:val="18"/>
          <w:szCs w:val="18"/>
          <w:color w:val="auto"/>
        </w:rPr>
      </w:pPr>
    </w:p>
    <w:p>
      <w:pPr>
        <w:ind w:left="880" w:right="40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50"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17" w:lineRule="exact"/>
        <w:rPr>
          <w:rFonts w:ascii="Arial" w:cs="Arial" w:eastAsia="Arial" w:hAnsi="Arial"/>
          <w:sz w:val="18"/>
          <w:szCs w:val="18"/>
          <w:color w:val="auto"/>
        </w:rPr>
      </w:pPr>
    </w:p>
    <w:p>
      <w:pPr>
        <w:ind w:left="880" w:right="58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6" w:lineRule="exact"/>
        <w:rPr>
          <w:sz w:val="20"/>
          <w:szCs w:val="20"/>
          <w:color w:val="auto"/>
        </w:rPr>
      </w:pPr>
    </w:p>
    <w:p>
      <w:pPr>
        <w:ind w:left="120" w:right="700" w:firstLine="551"/>
        <w:spacing w:after="0" w:line="276"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if approved, and generate revenue.</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5" w:right="51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85" w:lineRule="auto"/>
        <w:rPr>
          <w:sz w:val="20"/>
          <w:szCs w:val="20"/>
          <w:color w:val="auto"/>
        </w:rPr>
      </w:pPr>
      <w:r>
        <w:rPr>
          <w:rFonts w:ascii="Arial" w:cs="Arial" w:eastAsia="Arial" w:hAnsi="Arial"/>
          <w:sz w:val="18"/>
          <w:szCs w:val="18"/>
          <w:b w:val="1"/>
          <w:bCs w:val="1"/>
          <w:i w:val="1"/>
          <w:iCs w:val="1"/>
          <w:color w:val="auto"/>
        </w:rPr>
        <w:t>Healthcare legislative measures aimed at reducing healthcare costs may have a material adverse effect on our business and results of operations.</w:t>
      </w:r>
    </w:p>
    <w:p>
      <w:pPr>
        <w:spacing w:after="0" w:line="21" w:lineRule="exact"/>
        <w:rPr>
          <w:sz w:val="20"/>
          <w:szCs w:val="20"/>
          <w:color w:val="auto"/>
        </w:rPr>
      </w:pPr>
    </w:p>
    <w:p>
      <w:pPr>
        <w:ind w:left="120" w:right="240" w:firstLine="551"/>
        <w:spacing w:after="0" w:line="241"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1" w:lineRule="exact"/>
        <w:rPr>
          <w:sz w:val="20"/>
          <w:szCs w:val="20"/>
          <w:color w:val="auto"/>
        </w:rPr>
      </w:pPr>
    </w:p>
    <w:p>
      <w:pPr>
        <w:ind w:left="120" w:right="260" w:hanging="4"/>
        <w:spacing w:after="0" w:line="242" w:lineRule="auto"/>
        <w:tabs>
          <w:tab w:leader="none" w:pos="3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5"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Members of the U.S. Congress and the Trump administration have expressed an intent to pass legislation or adopt executive orders to fundamentally change or repeal parts of the ACA. While Congress has not passed repeal legislation to date, the Tax Cuts and JOBS Act, or Tax Act,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Tax Act, the remaining provisions of the ACA are invalid as well. The Trump Administration and CMS have both stated that the ruling will have no immediate effect, and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although it is unclear when or how the Supreme Court will rule. It is also unclear how other efforts to challenge, repeal or replace the ACA will impact the ACA or our business.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180"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The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the U.S. Court of Appeals for the Federal Circuit ruled that the federal government was not required to pay to third-party payors more than</w:t>
      </w:r>
    </w:p>
    <w:p>
      <w:pPr>
        <w:spacing w:after="0" w:line="3" w:lineRule="exact"/>
        <w:rPr>
          <w:sz w:val="20"/>
          <w:szCs w:val="20"/>
          <w:color w:val="auto"/>
        </w:rPr>
      </w:pPr>
    </w:p>
    <w:p>
      <w:pPr>
        <w:ind w:left="120" w:right="620"/>
        <w:spacing w:after="0" w:line="250" w:lineRule="auto"/>
        <w:rPr>
          <w:sz w:val="20"/>
          <w:szCs w:val="20"/>
          <w:color w:val="auto"/>
        </w:rPr>
      </w:pPr>
      <w:r>
        <w:rPr>
          <w:rFonts w:ascii="Arial" w:cs="Arial" w:eastAsia="Arial" w:hAnsi="Arial"/>
          <w:sz w:val="18"/>
          <w:szCs w:val="18"/>
          <w:color w:val="auto"/>
        </w:rPr>
        <w:t>$12 billion in ACA risk corridor payments that they argued were owed to them. This was appealed to the U.S. Supreme Court, who reversed the Federal Circuit’s decision on April 27, 2020, and ruled that the government must make risk corridor payments.</w:t>
      </w:r>
    </w:p>
    <w:p>
      <w:pPr>
        <w:spacing w:after="0" w:line="1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repeals the Cadillac tax and the health insurance provider tax. It is impossible to determine whether similar taxes could be instated in the future.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was to remain in effect through 2029 unless additional Congressional action was taken. The Coronavirus Aid, Relief, and Economic Security Act, or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w:t>
      </w:r>
    </w:p>
    <w:p>
      <w:pPr>
        <w:spacing w:after="0" w:line="18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time, is immediately implementing others under its existing</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5" w:right="4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authority. For example, in May 2019, CMS issued a final rule to allow Medicare Advantage Plans the option of using step therapy, a type of prior authorization, for Part B drugs beginning January 1, 2020. This final rule codified CMS’s policy change that was effective January 1, 2019.</w:t>
      </w:r>
    </w:p>
    <w:p>
      <w:pPr>
        <w:spacing w:after="0" w:line="164"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2"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6"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0"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8" w:lineRule="exact"/>
        <w:rPr>
          <w:sz w:val="20"/>
          <w:szCs w:val="20"/>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2"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04"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288"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We have adopted a code of conduct, which will be effective as of the date of the effectiveness of the registration statement of which this prospectus forms a part,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0"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43"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60"/>
        <w:spacing w:after="0" w:line="255" w:lineRule="auto"/>
        <w:rPr>
          <w:sz w:val="20"/>
          <w:szCs w:val="20"/>
          <w:color w:val="auto"/>
        </w:rPr>
      </w:pPr>
      <w:r>
        <w:rPr>
          <w:rFonts w:ascii="Arial" w:cs="Arial" w:eastAsia="Arial" w:hAnsi="Arial"/>
          <w:sz w:val="18"/>
          <w:szCs w:val="18"/>
          <w:color w:val="auto"/>
        </w:rPr>
        <w:t>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spacing w:after="0" w:line="69" w:lineRule="exact"/>
        <w:rPr>
          <w:sz w:val="20"/>
          <w:szCs w:val="20"/>
          <w:color w:val="auto"/>
        </w:rPr>
      </w:pPr>
    </w:p>
    <w:p>
      <w:pPr>
        <w:ind w:left="880" w:right="4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w:t>
      </w:r>
    </w:p>
    <w:p>
      <w:pPr>
        <w:spacing w:after="0" w:line="85"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or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85" w:lineRule="exact"/>
        <w:rPr>
          <w:rFonts w:ascii="Arial" w:cs="Arial" w:eastAsia="Arial" w:hAnsi="Arial"/>
          <w:sz w:val="18"/>
          <w:szCs w:val="18"/>
          <w:color w:val="auto"/>
        </w:rPr>
      </w:pPr>
    </w:p>
    <w:p>
      <w:pPr>
        <w:ind w:left="880" w:right="2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order to have committed a violation;</w:t>
      </w:r>
    </w:p>
    <w:p>
      <w:pPr>
        <w:spacing w:after="0" w:line="85" w:lineRule="exact"/>
        <w:rPr>
          <w:rFonts w:ascii="Arial" w:cs="Arial" w:eastAsia="Arial" w:hAnsi="Arial"/>
          <w:sz w:val="18"/>
          <w:szCs w:val="18"/>
          <w:color w:val="auto"/>
        </w:rPr>
      </w:pPr>
    </w:p>
    <w:p>
      <w:pPr>
        <w:ind w:left="880" w:right="60" w:hanging="224"/>
        <w:spacing w:after="0" w:line="243"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120"/>
        <w:spacing w:after="0" w:line="276" w:lineRule="auto"/>
        <w:rPr>
          <w:sz w:val="20"/>
          <w:szCs w:val="20"/>
          <w:color w:val="auto"/>
        </w:rPr>
      </w:pPr>
      <w:r>
        <w:rPr>
          <w:rFonts w:ascii="Arial" w:cs="Arial" w:eastAsia="Arial" w:hAnsi="Arial"/>
          <w:sz w:val="18"/>
          <w:szCs w:val="18"/>
          <w:color w:val="auto"/>
        </w:rPr>
        <w:t>these reporting obligations will extend to include payments and transfers of value made to certain non-physician providers such as physician assistants and nurse practitioners;</w:t>
      </w:r>
    </w:p>
    <w:p>
      <w:pPr>
        <w:spacing w:after="0" w:line="50" w:lineRule="exact"/>
        <w:rPr>
          <w:sz w:val="20"/>
          <w:szCs w:val="20"/>
          <w:color w:val="auto"/>
        </w:rPr>
      </w:pPr>
    </w:p>
    <w:p>
      <w:pPr>
        <w:ind w:left="880" w:right="660" w:hanging="224"/>
        <w:spacing w:after="0" w:line="27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17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96"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2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connection with our planned clinical trials or enrollment or continued enrollment of patients in any future clinical trials, we will be subject to additional privacy restrictions. The collection, use, storage,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5" w:right="4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6" w:lineRule="auto"/>
        <w:rPr>
          <w:sz w:val="20"/>
          <w:szCs w:val="20"/>
          <w:color w:val="auto"/>
        </w:rPr>
      </w:pPr>
      <w:r>
        <w:rPr>
          <w:rFonts w:ascii="Arial" w:cs="Arial" w:eastAsia="Arial" w:hAnsi="Arial"/>
          <w:sz w:val="17"/>
          <w:szCs w:val="17"/>
          <w:color w:val="auto"/>
        </w:rPr>
        <w:t xml:space="preserve">the transfer of personal data to countries outside the EU, including the United States, and permits data protection authorities to impose large penalties for violations of the GDPR, including potential fines of up to </w:t>
      </w:r>
      <w:r>
        <w:rPr>
          <w:rFonts w:ascii="Times New Roman" w:cs="Times New Roman" w:eastAsia="Times New Roman" w:hAnsi="Times New Roman"/>
          <w:sz w:val="17"/>
          <w:szCs w:val="17"/>
          <w:color w:val="auto"/>
        </w:rPr>
        <w:t>€</w:t>
      </w:r>
      <w:r>
        <w:rPr>
          <w:rFonts w:ascii="Arial" w:cs="Arial" w:eastAsia="Arial" w:hAnsi="Arial"/>
          <w:sz w:val="17"/>
          <w:szCs w:val="17"/>
          <w:color w:val="auto"/>
        </w:rPr>
        <w:t>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 often referred to as Brexit, has created uncertainty with regard to data protection regulation in the United Kingdom. In particular, it is unclear how data transfers to and from the United Kingdom will be regulated.</w:t>
      </w:r>
    </w:p>
    <w:p>
      <w:pPr>
        <w:spacing w:after="0" w:line="16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the United States, most healthcare providers, including research institutions from which we obtain patient health information, are subject to privacy and security regulations promulgated under HIPAA, as amended by the Health Information Technology for Economic and Clinical Health Act of 2009, or HITECH, and their respective implementing regulations. HIPAA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77" w:lineRule="exact"/>
        <w:rPr>
          <w:sz w:val="20"/>
          <w:szCs w:val="20"/>
          <w:color w:val="auto"/>
        </w:rPr>
      </w:pPr>
    </w:p>
    <w:p>
      <w:pPr>
        <w:ind w:left="120" w:right="140" w:firstLine="551"/>
        <w:spacing w:after="0" w:line="239" w:lineRule="auto"/>
        <w:rPr>
          <w:sz w:val="20"/>
          <w:szCs w:val="20"/>
          <w:color w:val="auto"/>
        </w:rPr>
      </w:pPr>
      <w:r>
        <w:rPr>
          <w:rFonts w:ascii="Arial" w:cs="Arial" w:eastAsia="Arial" w:hAnsi="Arial"/>
          <w:sz w:val="18"/>
          <w:szCs w:val="18"/>
          <w:color w:val="auto"/>
        </w:rPr>
        <w:t>In addition, certain states have enacted additional laws governing the privacy and security of health information in certain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materially adversely affect our business, financial condition and results of operations.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adversely affect our business.</w:t>
      </w:r>
    </w:p>
    <w:p>
      <w:pPr>
        <w:spacing w:after="0" w:line="284"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5"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14" w:lineRule="exact"/>
        <w:rPr>
          <w:sz w:val="20"/>
          <w:szCs w:val="20"/>
          <w:color w:val="auto"/>
        </w:rPr>
      </w:pPr>
    </w:p>
    <w:p>
      <w:pPr>
        <w:ind w:left="120" w:right="340"/>
        <w:spacing w:after="0" w:line="285" w:lineRule="auto"/>
        <w:rPr>
          <w:sz w:val="20"/>
          <w:szCs w:val="20"/>
          <w:color w:val="auto"/>
        </w:rPr>
      </w:pPr>
      <w:r>
        <w:rPr>
          <w:rFonts w:ascii="Arial" w:cs="Arial" w:eastAsia="Arial" w:hAnsi="Arial"/>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21"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and President, our Chief Operating Officer and Chief Financial Officer and our Chief Medical Officer.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174"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Additionally, we rely on our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76" w:lineRule="auto"/>
        <w:rPr>
          <w:sz w:val="20"/>
          <w:szCs w:val="20"/>
          <w:color w:val="auto"/>
        </w:rPr>
      </w:pPr>
      <w:r>
        <w:rPr>
          <w:rFonts w:ascii="Arial" w:cs="Arial" w:eastAsia="Arial" w:hAnsi="Arial"/>
          <w:sz w:val="18"/>
          <w:szCs w:val="18"/>
          <w:color w:val="auto"/>
        </w:rPr>
        <w:t>consulting relationships with our scientific founders or if they provide services to our competitors, our development and commercialization efforts will be impaired and our business will be materially adversely affected.</w:t>
      </w:r>
    </w:p>
    <w:p>
      <w:pPr>
        <w:spacing w:after="0" w:line="253"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21" w:lineRule="exact"/>
        <w:rPr>
          <w:sz w:val="20"/>
          <w:szCs w:val="20"/>
          <w:color w:val="auto"/>
        </w:rPr>
      </w:pPr>
    </w:p>
    <w:p>
      <w:pPr>
        <w:ind w:left="120" w:right="380" w:firstLine="551"/>
        <w:spacing w:after="0" w:line="248" w:lineRule="auto"/>
        <w:rPr>
          <w:sz w:val="20"/>
          <w:szCs w:val="20"/>
          <w:color w:val="auto"/>
        </w:rPr>
      </w:pPr>
      <w:r>
        <w:rPr>
          <w:rFonts w:ascii="Arial" w:cs="Arial" w:eastAsia="Arial" w:hAnsi="Arial"/>
          <w:sz w:val="18"/>
          <w:szCs w:val="18"/>
          <w:color w:val="auto"/>
        </w:rPr>
        <w:t>As of September 18, 2020, we had 39 full-time employees, including 32 employees engaged in research and development activities.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76" w:lineRule="exact"/>
        <w:rPr>
          <w:sz w:val="20"/>
          <w:szCs w:val="20"/>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880" w:right="260" w:hanging="224"/>
        <w:spacing w:after="0" w:line="255"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and other comparable foreign regulatory agencies’ review process for PC14586 and any future product candidates, while complying with any contractual obligations to contractors and other third parties we may have; and</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2"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PC14586 and future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70"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PC14586 and any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80"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PC14586 and future product candidates and, accordingly, may not achieve our research, development and commercialization goals.</w:t>
      </w:r>
    </w:p>
    <w:p>
      <w:pPr>
        <w:spacing w:after="0" w:line="272"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52" w:lineRule="exact"/>
        <w:rPr>
          <w:sz w:val="20"/>
          <w:szCs w:val="20"/>
          <w:color w:val="auto"/>
        </w:rPr>
      </w:pPr>
    </w:p>
    <w:p>
      <w:pPr>
        <w:ind w:left="120" w:right="440" w:firstLine="551"/>
        <w:spacing w:after="0" w:line="276" w:lineRule="auto"/>
        <w:rPr>
          <w:sz w:val="20"/>
          <w:szCs w:val="20"/>
          <w:color w:val="auto"/>
        </w:rPr>
      </w:pPr>
      <w:r>
        <w:rPr>
          <w:rFonts w:ascii="Arial" w:cs="Arial" w:eastAsia="Arial" w:hAnsi="Arial"/>
          <w:sz w:val="18"/>
          <w:szCs w:val="18"/>
          <w:color w:val="auto"/>
        </w:rPr>
        <w:t>Despite the implementation of security measures in an effort to protect systems that store our information, given their size and complexity and the increasing amounts of information maintained on</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5" w:right="4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For example, companies have experienced an increase in phishing and social engineering attacks from third parties in connection with the COVID-19 pandemic.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89"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80"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in or, failure or security breach of our systems or third-party systems where</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5" w:right="4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72" w:lineRule="exact"/>
        <w:rPr>
          <w:sz w:val="20"/>
          <w:szCs w:val="20"/>
          <w:color w:val="auto"/>
        </w:rPr>
      </w:pPr>
    </w:p>
    <w:p>
      <w:pPr>
        <w:ind w:left="120" w:right="320"/>
        <w:spacing w:after="0" w:line="285" w:lineRule="auto"/>
        <w:rPr>
          <w:sz w:val="20"/>
          <w:szCs w:val="20"/>
          <w:color w:val="auto"/>
        </w:rPr>
      </w:pPr>
      <w:r>
        <w:rPr>
          <w:rFonts w:ascii="Arial" w:cs="Arial" w:eastAsia="Arial" w:hAnsi="Arial"/>
          <w:sz w:val="18"/>
          <w:szCs w:val="18"/>
          <w:b w:val="1"/>
          <w:bCs w:val="1"/>
          <w:i w:val="1"/>
          <w:iCs w:val="1"/>
          <w:color w:val="auto"/>
        </w:rPr>
        <w:t>Business disruptions could materially adversely affect our future revenue and financial condition and increase our costs and expenses.</w:t>
      </w:r>
    </w:p>
    <w:p>
      <w:pPr>
        <w:spacing w:after="0" w:line="21" w:lineRule="exact"/>
        <w:rPr>
          <w:sz w:val="20"/>
          <w:szCs w:val="20"/>
          <w:color w:val="auto"/>
        </w:rPr>
      </w:pPr>
    </w:p>
    <w:p>
      <w:pPr>
        <w:ind w:left="120" w:right="100" w:firstLine="551"/>
        <w:spacing w:after="0" w:line="260" w:lineRule="auto"/>
        <w:rPr>
          <w:sz w:val="20"/>
          <w:szCs w:val="20"/>
          <w:color w:val="auto"/>
        </w:rPr>
      </w:pPr>
      <w:r>
        <w:rPr>
          <w:rFonts w:ascii="Arial" w:cs="Arial" w:eastAsia="Arial" w:hAnsi="Arial"/>
          <w:sz w:val="17"/>
          <w:szCs w:val="17"/>
          <w:color w:val="auto"/>
        </w:rPr>
        <w:t>Our operations, and those of our CROs, CMOs and other contractors and consultants,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68"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future taxable income may be limited.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net operating loss, or NOL, carryforwards may be unavailable to offset future taxable income because of restrictions under U.S. tax law. Our federal NOLs generated in tax years ending on or prior to December 31, 2017 are only permitted to be carried forward for 20 taxable years, and therefore could expire unused. Under the Tax Act, as amended by the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current year taxable income.</w:t>
      </w:r>
    </w:p>
    <w:p>
      <w:pPr>
        <w:spacing w:after="0" w:line="174"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As of December 31, 2018 and 2019, we had federal NOL carryforwards of $43.0 million and $ 66.4 million, respectively. As of December 31, 2018, we had state NOL carryforwards for New Jersey, California and Massachusetts of approximately $38.8 million, $4.9 million and $0.4 million, respectively. As of December 31, 2019, we had state NOL carryforwards for New Jersey, California and Massachusetts of approximately $61.5 million, $ 4.9 million and $0.9 million, respectively. The federal and state NOL carryforwards expire beginning in the year 2033. We also had federal and state research and development credit carryforwards of approximately $1.7 million and $2.2 million, respectively, as of December 31, 2018 and 2019. The federal credits will begin to expire in 2034 if not utilized. The California state credits carryforward indefinitely and the New Jersey state credits expire starting in 2021.</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under Sections 382 and 383 of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 Similar rules may apply under state tax laws. We may have experienced such ownership changes in the past, and we may experience ownership changes in the future as a result of this offering or subsequent shifts in our stock ownership, some of which are outside our control. We have not conducted any studies to determine whether we have experienced an ownership change or the annual limitations, if any, that could result from such an ownership change. Our ability to utilize our NOLs and certain other tax attributes could be limited by an ownership change as described above and consequently, we may not be able to utilize a material</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60"/>
        <w:spacing w:after="0" w:line="276" w:lineRule="auto"/>
        <w:rPr>
          <w:sz w:val="20"/>
          <w:szCs w:val="20"/>
          <w:color w:val="auto"/>
        </w:rPr>
      </w:pPr>
      <w:r>
        <w:rPr>
          <w:rFonts w:ascii="Arial" w:cs="Arial" w:eastAsia="Arial" w:hAnsi="Arial"/>
          <w:sz w:val="18"/>
          <w:szCs w:val="18"/>
          <w:color w:val="auto"/>
        </w:rPr>
        <w:t>portion of our NOLs and certain other tax attributes, which could have a material adverse effect on our cash flows and results of operations.</w:t>
      </w:r>
    </w:p>
    <w:p>
      <w:pPr>
        <w:spacing w:after="0" w:line="253" w:lineRule="exact"/>
        <w:rPr>
          <w:sz w:val="20"/>
          <w:szCs w:val="20"/>
          <w:color w:val="auto"/>
        </w:rPr>
      </w:pPr>
    </w:p>
    <w:p>
      <w:pPr>
        <w:ind w:left="120" w:right="300"/>
        <w:spacing w:after="0" w:line="251" w:lineRule="auto"/>
        <w:rPr>
          <w:sz w:val="20"/>
          <w:szCs w:val="20"/>
          <w:color w:val="auto"/>
        </w:rPr>
      </w:pPr>
      <w:r>
        <w:rPr>
          <w:rFonts w:ascii="Arial" w:cs="Arial" w:eastAsia="Arial" w:hAnsi="Arial"/>
          <w:sz w:val="18"/>
          <w:szCs w:val="18"/>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5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14"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43" w:lineRule="exact"/>
        <w:rPr>
          <w:sz w:val="20"/>
          <w:szCs w:val="20"/>
          <w:color w:val="auto"/>
        </w:rPr>
      </w:pPr>
    </w:p>
    <w:p>
      <w:pPr>
        <w:ind w:left="120" w:right="240" w:firstLine="551"/>
        <w:spacing w:after="0" w:line="245" w:lineRule="auto"/>
        <w:rPr>
          <w:sz w:val="20"/>
          <w:szCs w:val="20"/>
          <w:color w:val="auto"/>
        </w:rPr>
      </w:pPr>
      <w:r>
        <w:rPr>
          <w:rFonts w:ascii="Arial" w:cs="Arial" w:eastAsia="Arial" w:hAnsi="Arial"/>
          <w:sz w:val="18"/>
          <w:szCs w:val="18"/>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172"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expect to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5" w:right="4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0"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Any third parties conducting our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180"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72"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fail to provide us with sufficient quantities of our product candidates or fail to do so at acceptable quality levels or prices.</w:t>
      </w:r>
    </w:p>
    <w:p>
      <w:pPr>
        <w:spacing w:after="0" w:line="35"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 if approved.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anticipated reliance on a limited number of third-party manufacturers exposes us to a number of risks, including the following:</w:t>
      </w:r>
    </w:p>
    <w:p>
      <w:pPr>
        <w:spacing w:after="0" w:line="117" w:lineRule="exact"/>
        <w:rPr>
          <w:sz w:val="20"/>
          <w:szCs w:val="20"/>
          <w:color w:val="auto"/>
        </w:rPr>
      </w:pPr>
    </w:p>
    <w:p>
      <w:pPr>
        <w:ind w:left="880" w:right="46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must inspect any manufacturers for cGMP compliance as part of our marketing application;</w:t>
      </w:r>
    </w:p>
    <w:p>
      <w:pPr>
        <w:spacing w:after="0" w:line="50"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new manufacturer would have to be educated in, or develop substantially equivalent processes for, the production of our product candidates;</w:t>
      </w:r>
    </w:p>
    <w:p>
      <w:pPr>
        <w:spacing w:after="0" w:line="50"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candidates or produce the quantity and quality required to meet our clinical and commercial needs, if any;</w:t>
      </w:r>
    </w:p>
    <w:p>
      <w:pPr>
        <w:spacing w:after="0" w:line="50"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manufacturing procedures and other logistical support requirements appropriately;</w:t>
      </w:r>
    </w:p>
    <w:p>
      <w:pPr>
        <w:spacing w:after="0" w:line="50" w:lineRule="exact"/>
        <w:rPr>
          <w:rFonts w:ascii="Arial" w:cs="Arial" w:eastAsia="Arial" w:hAnsi="Arial"/>
          <w:sz w:val="18"/>
          <w:szCs w:val="18"/>
          <w:color w:val="auto"/>
        </w:rPr>
      </w:pPr>
    </w:p>
    <w:p>
      <w:pPr>
        <w:ind w:left="880" w:right="160" w:hanging="224"/>
        <w:spacing w:after="0" w:line="255"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69" w:lineRule="exact"/>
        <w:rPr>
          <w:rFonts w:ascii="Arial" w:cs="Arial" w:eastAsia="Arial" w:hAnsi="Arial"/>
          <w:sz w:val="18"/>
          <w:szCs w:val="18"/>
          <w:color w:val="auto"/>
        </w:rPr>
      </w:pPr>
    </w:p>
    <w:p>
      <w:pPr>
        <w:ind w:left="880" w:right="100" w:hanging="224"/>
        <w:spacing w:after="0" w:line="255"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69" w:lineRule="exact"/>
        <w:rPr>
          <w:rFonts w:ascii="Arial" w:cs="Arial" w:eastAsia="Arial" w:hAnsi="Arial"/>
          <w:sz w:val="18"/>
          <w:szCs w:val="18"/>
          <w:color w:val="auto"/>
        </w:rPr>
      </w:pPr>
    </w:p>
    <w:p>
      <w:pPr>
        <w:ind w:left="880" w:right="108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agreements with us;</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contract manufacturers and critical reagent suppliers may be subject to inclement weather, as well as natural or man-made disasters; and</w:t>
      </w:r>
    </w:p>
    <w:p>
      <w:pPr>
        <w:spacing w:after="0" w:line="50" w:lineRule="exact"/>
        <w:rPr>
          <w:rFonts w:ascii="Arial" w:cs="Arial" w:eastAsia="Arial" w:hAnsi="Arial"/>
          <w:sz w:val="18"/>
          <w:szCs w:val="18"/>
          <w:color w:val="auto"/>
        </w:rPr>
      </w:pPr>
    </w:p>
    <w:p>
      <w:pPr>
        <w:ind w:left="880" w:right="340" w:hanging="224"/>
        <w:spacing w:after="0" w:line="255"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60" w:lineRule="auto"/>
        <w:rPr>
          <w:sz w:val="20"/>
          <w:szCs w:val="20"/>
          <w:color w:val="auto"/>
        </w:rPr>
      </w:pPr>
      <w:r>
        <w:rPr>
          <w:rFonts w:ascii="Arial" w:cs="Arial" w:eastAsia="Arial" w:hAnsi="Arial"/>
          <w:sz w:val="17"/>
          <w:szCs w:val="17"/>
          <w:color w:val="auto"/>
        </w:rPr>
        <w:t>Our business could be materially adversely affected by business disruptions to our third-party providers that could materially adversely affect our potential future revenue and financial condition and increase our costs and expenses. 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268" w:lineRule="exact"/>
        <w:rPr>
          <w:sz w:val="20"/>
          <w:szCs w:val="20"/>
          <w:color w:val="auto"/>
        </w:rPr>
      </w:pPr>
    </w:p>
    <w:p>
      <w:pPr>
        <w:ind w:left="120" w:right="180"/>
        <w:spacing w:after="0" w:line="285" w:lineRule="auto"/>
        <w:rPr>
          <w:sz w:val="20"/>
          <w:szCs w:val="20"/>
          <w:color w:val="auto"/>
        </w:rPr>
      </w:pPr>
      <w:r>
        <w:rPr>
          <w:rFonts w:ascii="Arial" w:cs="Arial" w:eastAsia="Arial" w:hAnsi="Arial"/>
          <w:sz w:val="18"/>
          <w:szCs w:val="18"/>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currently, and may in the future, depend on single-source suppliers for some of the ingredients, components and materials used in, and manufacturing processes required to develop,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spacing w:after="0" w:line="17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288"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21"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80" w:lineRule="exact"/>
        <w:rPr>
          <w:sz w:val="20"/>
          <w:szCs w:val="20"/>
          <w:color w:val="auto"/>
        </w:rPr>
      </w:pPr>
    </w:p>
    <w:p>
      <w:pPr>
        <w:jc w:val="both"/>
        <w:ind w:left="120" w:right="140"/>
        <w:spacing w:after="0" w:line="260"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by us or our third-party manufacturers to comply with relevant regulations could result in delays in or termination of our clinical programs and suspension or withdrawal of any regulatory approvals.</w:t>
      </w:r>
    </w:p>
    <w:p>
      <w:pPr>
        <w:spacing w:after="0" w:line="4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1" w:lineRule="exact"/>
        <w:rPr>
          <w:sz w:val="20"/>
          <w:szCs w:val="20"/>
          <w:color w:val="auto"/>
        </w:rPr>
      </w:pPr>
    </w:p>
    <w:p>
      <w:pPr>
        <w:ind w:left="120" w:right="280"/>
        <w:spacing w:after="0" w:line="285" w:lineRule="auto"/>
        <w:rPr>
          <w:sz w:val="20"/>
          <w:szCs w:val="20"/>
          <w:color w:val="auto"/>
        </w:rPr>
      </w:pPr>
      <w:r>
        <w:rPr>
          <w:rFonts w:ascii="Arial" w:cs="Arial" w:eastAsia="Arial" w:hAnsi="Arial"/>
          <w:sz w:val="18"/>
          <w:szCs w:val="18"/>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21"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72" w:lineRule="exact"/>
        <w:rPr>
          <w:sz w:val="20"/>
          <w:szCs w:val="20"/>
          <w:color w:val="auto"/>
        </w:rPr>
      </w:pPr>
    </w:p>
    <w:p>
      <w:pPr>
        <w:ind w:left="120" w:right="60" w:firstLine="551"/>
        <w:spacing w:after="0" w:line="268" w:lineRule="auto"/>
        <w:rPr>
          <w:sz w:val="20"/>
          <w:szCs w:val="20"/>
          <w:color w:val="auto"/>
        </w:rPr>
      </w:pPr>
      <w:r>
        <w:rPr>
          <w:rFonts w:ascii="Arial" w:cs="Arial" w:eastAsia="Arial" w:hAnsi="Arial"/>
          <w:sz w:val="17"/>
          <w:szCs w:val="17"/>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collaborations involving our product candidates are subject to numerous risks, which may include the following:</w:t>
      </w:r>
    </w:p>
    <w:p>
      <w:pPr>
        <w:spacing w:after="0" w:line="117" w:lineRule="exact"/>
        <w:rPr>
          <w:sz w:val="20"/>
          <w:szCs w:val="20"/>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4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63</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0" w:hanging="224"/>
        <w:spacing w:after="0" w:line="248"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5" w:lineRule="exact"/>
        <w:rPr>
          <w:rFonts w:ascii="Arial" w:cs="Arial" w:eastAsia="Arial" w:hAnsi="Arial"/>
          <w:sz w:val="18"/>
          <w:szCs w:val="18"/>
          <w:color w:val="auto"/>
        </w:rPr>
      </w:pPr>
    </w:p>
    <w:p>
      <w:pPr>
        <w:ind w:left="880" w:right="640" w:hanging="224"/>
        <w:spacing w:after="0" w:line="306"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28" w:lineRule="exact"/>
        <w:rPr>
          <w:rFonts w:ascii="Arial" w:cs="Arial" w:eastAsia="Arial" w:hAnsi="Arial"/>
          <w:sz w:val="17"/>
          <w:szCs w:val="17"/>
          <w:color w:val="auto"/>
        </w:rPr>
      </w:pPr>
    </w:p>
    <w:p>
      <w:pPr>
        <w:ind w:left="880" w:right="4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50" w:lineRule="exact"/>
        <w:rPr>
          <w:rFonts w:ascii="Arial" w:cs="Arial" w:eastAsia="Arial" w:hAnsi="Arial"/>
          <w:sz w:val="18"/>
          <w:szCs w:val="18"/>
          <w:color w:val="auto"/>
        </w:rPr>
      </w:pPr>
    </w:p>
    <w:p>
      <w:pPr>
        <w:ind w:left="880" w:right="72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50" w:lineRule="exact"/>
        <w:rPr>
          <w:rFonts w:ascii="Arial" w:cs="Arial" w:eastAsia="Arial" w:hAnsi="Arial"/>
          <w:sz w:val="18"/>
          <w:szCs w:val="18"/>
          <w:color w:val="auto"/>
        </w:rPr>
      </w:pPr>
    </w:p>
    <w:p>
      <w:pPr>
        <w:ind w:left="880" w:right="80" w:hanging="224"/>
        <w:spacing w:after="0" w:line="25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9" w:lineRule="exact"/>
        <w:rPr>
          <w:rFonts w:ascii="Arial" w:cs="Arial" w:eastAsia="Arial" w:hAnsi="Arial"/>
          <w:sz w:val="18"/>
          <w:szCs w:val="18"/>
          <w:color w:val="auto"/>
        </w:rPr>
      </w:pPr>
    </w:p>
    <w:p>
      <w:pPr>
        <w:ind w:left="880" w:right="40" w:hanging="224"/>
        <w:spacing w:after="0" w:line="25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69"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45"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87"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21"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We may seek, in the future,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72" w:lineRule="exact"/>
        <w:rPr>
          <w:sz w:val="20"/>
          <w:szCs w:val="20"/>
          <w:color w:val="auto"/>
        </w:rPr>
      </w:pPr>
    </w:p>
    <w:p>
      <w:pPr>
        <w:ind w:left="120" w:right="440" w:firstLine="551"/>
        <w:spacing w:after="0" w:line="276" w:lineRule="auto"/>
        <w:rPr>
          <w:sz w:val="20"/>
          <w:szCs w:val="20"/>
          <w:color w:val="auto"/>
        </w:rPr>
      </w:pPr>
      <w:r>
        <w:rPr>
          <w:rFonts w:ascii="Arial" w:cs="Arial" w:eastAsia="Arial" w:hAnsi="Arial"/>
          <w:sz w:val="18"/>
          <w:szCs w:val="18"/>
          <w:color w:val="auto"/>
        </w:rPr>
        <w:t>We would face significant competition in seeking appropriate collaborators and the negotiation process is time-consuming and complex. Whether we reach a definitive agreement for a collaboration</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180" w:lineRule="exact"/>
        <w:rPr>
          <w:sz w:val="20"/>
          <w:szCs w:val="20"/>
          <w:color w:val="auto"/>
        </w:rPr>
      </w:pPr>
    </w:p>
    <w:p>
      <w:pPr>
        <w:jc w:val="both"/>
        <w:ind w:left="120" w:right="280" w:firstLine="551"/>
        <w:spacing w:after="0" w:line="277" w:lineRule="auto"/>
        <w:rPr>
          <w:sz w:val="20"/>
          <w:szCs w:val="20"/>
          <w:color w:val="auto"/>
        </w:rPr>
      </w:pPr>
      <w:r>
        <w:rPr>
          <w:rFonts w:ascii="Arial" w:cs="Arial" w:eastAsia="Arial" w:hAnsi="Arial"/>
          <w:sz w:val="17"/>
          <w:szCs w:val="17"/>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47"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If and when we seek to enter into collaborations in the future,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7"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2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current or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adversely affect our product development efforts.</w:t>
      </w:r>
    </w:p>
    <w:p>
      <w:pPr>
        <w:spacing w:after="0" w:line="288" w:lineRule="exact"/>
        <w:rPr>
          <w:sz w:val="20"/>
          <w:szCs w:val="20"/>
          <w:color w:val="auto"/>
        </w:rPr>
      </w:pPr>
    </w:p>
    <w:p>
      <w:pPr>
        <w:ind w:left="120" w:right="1200"/>
        <w:spacing w:after="0" w:line="285"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1"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69"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increased operating expenses and cash requirements;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50"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5"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4" w:lineRule="exact"/>
        <w:rPr>
          <w:sz w:val="20"/>
          <w:szCs w:val="20"/>
          <w:color w:val="auto"/>
        </w:rPr>
      </w:pPr>
    </w:p>
    <w:p>
      <w:pPr>
        <w:ind w:left="120" w:right="60"/>
        <w:spacing w:after="0" w:line="282" w:lineRule="auto"/>
        <w:rPr>
          <w:sz w:val="20"/>
          <w:szCs w:val="20"/>
          <w:color w:val="auto"/>
        </w:rPr>
      </w:pPr>
      <w:r>
        <w:rPr>
          <w:rFonts w:ascii="Arial" w:cs="Arial" w:eastAsia="Arial" w:hAnsi="Arial"/>
          <w:sz w:val="17"/>
          <w:szCs w:val="17"/>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26"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17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 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 use patents, the practice is common and such infringement is difficult to prevent or prosecute.</w:t>
      </w:r>
    </w:p>
    <w:p>
      <w:pPr>
        <w:spacing w:after="0" w:line="179"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The strength of patents in the biotechnology and pharmaceutical field involves complex legal and scientific questions and can be uncertain. The patent applications that we own may fail to result in issued patents in the United States or in other foreign countries. Even if the patents do successfully issue, third parties may challenge the validity, enforceability, inventorship or scope thereof. Such a</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5" w:right="4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challenge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294"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commercial success will depend in large part on obtaining and maintaining patent, trademark and trade secret protection of our proprietary technologies and our product candidates. These candidates include PC14586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174" w:lineRule="exact"/>
        <w:rPr>
          <w:sz w:val="20"/>
          <w:szCs w:val="20"/>
          <w:color w:val="auto"/>
        </w:rPr>
      </w:pPr>
    </w:p>
    <w:p>
      <w:pPr>
        <w:ind w:left="120" w:right="180" w:firstLine="551"/>
        <w:spacing w:after="0" w:line="277"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5" w:right="4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55" w:lineRule="auto"/>
        <w:rPr>
          <w:sz w:val="20"/>
          <w:szCs w:val="20"/>
          <w:color w:val="auto"/>
        </w:rPr>
      </w:pPr>
      <w:r>
        <w:rPr>
          <w:rFonts w:ascii="Arial" w:cs="Arial" w:eastAsia="Arial" w:hAnsi="Arial"/>
          <w:sz w:val="18"/>
          <w:szCs w:val="18"/>
          <w:color w:val="auto"/>
        </w:rPr>
        <w:t>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we delay in filing a patent application, and a competitor files a patent application on the same or a similar technology before we do, we may face a limited ability to secure patent rights.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If the competitor files a patent application on such an advance before we do, then we may no longer be able to protect the technology, we may require a license from the competitor, and if the license is not available on commercially-viable terms, then we may not be able to launch our product.</w:t>
      </w:r>
    </w:p>
    <w:p>
      <w:pPr>
        <w:spacing w:after="0" w:line="18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the future we may in-license intellectual property from licensors. We may rely on these licensors to file and prosecute patent applications and maintain patents and otherwise protect the intellectual property we license from them.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80"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w:t>
      </w:r>
    </w:p>
    <w:p>
      <w:pPr>
        <w:spacing w:after="0" w:line="177"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Additionally, we may sometimes collaborate with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60"/>
          </w:cols>
          <w:pgMar w:left="320" w:top="455" w:right="51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306" w:lineRule="auto"/>
        <w:rPr>
          <w:sz w:val="20"/>
          <w:szCs w:val="20"/>
          <w:color w:val="auto"/>
        </w:rPr>
      </w:pPr>
      <w:r>
        <w:rPr>
          <w:rFonts w:ascii="Arial" w:cs="Arial" w:eastAsia="Arial" w:hAnsi="Arial"/>
          <w:sz w:val="17"/>
          <w:szCs w:val="17"/>
          <w:color w:val="auto"/>
        </w:rPr>
        <w:t>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23"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7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During the course of business we have decided not to pursue certain products or processes and have terminated certain corresponding intellectual property license agreements,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patent rights are highly uncertain.</w:t>
      </w:r>
    </w:p>
    <w:p>
      <w:pPr>
        <w:spacing w:after="0" w:line="177"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opposition, interference, derivation,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20"/>
        <w:spacing w:after="0" w:line="276" w:lineRule="auto"/>
        <w:rPr>
          <w:sz w:val="20"/>
          <w:szCs w:val="20"/>
          <w:color w:val="auto"/>
        </w:rPr>
      </w:pPr>
      <w:r>
        <w:rPr>
          <w:rFonts w:ascii="Arial" w:cs="Arial" w:eastAsia="Arial" w:hAnsi="Arial"/>
          <w:sz w:val="18"/>
          <w:szCs w:val="18"/>
          <w:color w:val="auto"/>
        </w:rPr>
        <w:t>patent portfolio may not provide us with sufficient rights to exclude others from commercializing products similar or identical to ours or otherwise provide us with a competitive advantage.</w:t>
      </w:r>
    </w:p>
    <w:p>
      <w:pPr>
        <w:spacing w:after="0" w:line="145"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adversely affected and this would have a material adverse effect on our business.</w:t>
      </w:r>
    </w:p>
    <w:p>
      <w:pPr>
        <w:spacing w:after="0" w:line="179"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 Likewise, our current patents covering our proprietary technologies and our product candidates are expected to expire through 2037, without taking into account any possible patent term adjustments or extensions. Upon the expiration of our current patents, we may lose the right to exclude others from practicing these inventions. The expiration of these patents could also have a similar material adverse effect on our business, results of operations, financial condition and prospects.</w:t>
      </w:r>
    </w:p>
    <w:p>
      <w:pPr>
        <w:spacing w:after="0" w:line="174"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6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We have contract research and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or enforce our intellectual property rights around the world may be inadequate to obtain a significant commercial advantage from the intellectual property that we develop or license.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4" w:lineRule="exact"/>
        <w:rPr>
          <w:sz w:val="20"/>
          <w:szCs w:val="20"/>
          <w:color w:val="auto"/>
        </w:rPr>
      </w:pPr>
    </w:p>
    <w:p>
      <w:pPr>
        <w:ind w:left="120" w:right="660"/>
        <w:spacing w:after="0" w:line="285" w:lineRule="auto"/>
        <w:rPr>
          <w:sz w:val="20"/>
          <w:szCs w:val="20"/>
          <w:color w:val="auto"/>
        </w:rPr>
      </w:pPr>
      <w:r>
        <w:rPr>
          <w:rFonts w:ascii="Arial" w:cs="Arial" w:eastAsia="Arial" w:hAnsi="Arial"/>
          <w:sz w:val="18"/>
          <w:szCs w:val="18"/>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2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0"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5" w:right="4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85" w:lineRule="auto"/>
        <w:rPr>
          <w:sz w:val="20"/>
          <w:szCs w:val="20"/>
          <w:color w:val="auto"/>
        </w:rPr>
      </w:pPr>
      <w:r>
        <w:rPr>
          <w:rFonts w:ascii="Arial" w:cs="Arial" w:eastAsia="Arial" w:hAnsi="Arial"/>
          <w:sz w:val="18"/>
          <w:szCs w:val="18"/>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2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8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172"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9"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may be required to protect our patents through procedures created to attack the validity of a patent at the USPTO. The USPTO hears post-grant proceedings, including PGR,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20"/>
        <w:spacing w:after="0" w:line="276" w:lineRule="auto"/>
        <w:rPr>
          <w:sz w:val="20"/>
          <w:szCs w:val="20"/>
          <w:color w:val="auto"/>
        </w:rPr>
      </w:pPr>
      <w:r>
        <w:rPr>
          <w:rFonts w:ascii="Arial" w:cs="Arial" w:eastAsia="Arial" w:hAnsi="Arial"/>
          <w:sz w:val="18"/>
          <w:szCs w:val="18"/>
          <w:color w:val="auto"/>
        </w:rPr>
        <w:t>or defense of our issued patents, all of which could have a material adverse effect on our business, financial condition, results of operations and prospects.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188"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Also, there are detailed rules and requirements regarding the patents that may be submitted to the FDA for listing in the Approved Drug Products with Therapeutic Equivalence Evaluations, or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adversely affect our competitive position, business, financial condition, results of operations and prospects.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0"/>
        <w:spacing w:after="0" w:line="285"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2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Also, former employees may become employed by competitors who develop similar technology, and could assist the competitor in designing around our patents.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88" w:lineRule="exact"/>
        <w:rPr>
          <w:sz w:val="20"/>
          <w:szCs w:val="20"/>
          <w:color w:val="auto"/>
        </w:rPr>
      </w:pPr>
    </w:p>
    <w:p>
      <w:pPr>
        <w:ind w:left="120" w:right="500"/>
        <w:spacing w:after="0" w:line="28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1"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60"/>
          </w:cols>
          <w:pgMar w:left="320" w:top="455" w:right="51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284"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 suits will be costly and time consuming, and an unfavorable outcome in that litigation would have a material adverse effect on our business.</w:t>
      </w:r>
    </w:p>
    <w:p>
      <w:pPr>
        <w:spacing w:after="0" w:line="4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commercial success depends upon our ability to develop, manufacture, market and sell our product candidates and use our proprietary technologies without infringing the proprietary rights of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80"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179" w:lineRule="exact"/>
        <w:rPr>
          <w:sz w:val="20"/>
          <w:szCs w:val="20"/>
          <w:color w:val="auto"/>
        </w:rPr>
      </w:pPr>
    </w:p>
    <w:p>
      <w:pPr>
        <w:ind w:left="120" w:right="340" w:firstLine="551"/>
        <w:spacing w:after="0" w:line="277" w:lineRule="auto"/>
        <w:rPr>
          <w:sz w:val="20"/>
          <w:szCs w:val="20"/>
          <w:color w:val="auto"/>
        </w:rPr>
      </w:pPr>
      <w:r>
        <w:rPr>
          <w:rFonts w:ascii="Arial" w:cs="Arial" w:eastAsia="Arial" w:hAnsi="Arial"/>
          <w:sz w:val="17"/>
          <w:szCs w:val="17"/>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product candidates and/or proprietary technologies infringe their intellectual property rights.</w:t>
      </w:r>
    </w:p>
    <w:p>
      <w:pPr>
        <w:spacing w:after="0" w:line="147" w:lineRule="exact"/>
        <w:rPr>
          <w:sz w:val="20"/>
          <w:szCs w:val="20"/>
          <w:color w:val="auto"/>
        </w:rPr>
      </w:pPr>
    </w:p>
    <w:p>
      <w:pPr>
        <w:ind w:left="120" w:right="200" w:firstLine="551"/>
        <w:spacing w:after="0" w:line="245" w:lineRule="auto"/>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 infringement and other intellectual property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was willful, we could be ordered to</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3" w:lineRule="auto"/>
        <w:rPr>
          <w:sz w:val="20"/>
          <w:szCs w:val="20"/>
          <w:color w:val="auto"/>
        </w:rPr>
      </w:pPr>
      <w:r>
        <w:rPr>
          <w:rFonts w:ascii="Arial" w:cs="Arial" w:eastAsia="Arial" w:hAnsi="Arial"/>
          <w:sz w:val="17"/>
          <w:szCs w:val="17"/>
          <w:color w:val="auto"/>
        </w:rPr>
        <w:t>pay treble damages and the patent owner’s attorneys’ fees; a court prohibiting us from developing, manufacturing, marketing or selling our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product candidates or processes so they do not infringe; redesign may not be possible or may require substantial monetary expenditures and time.</w:t>
      </w:r>
    </w:p>
    <w:p>
      <w:pPr>
        <w:spacing w:after="0" w:line="157"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282" w:lineRule="exact"/>
        <w:rPr>
          <w:sz w:val="20"/>
          <w:szCs w:val="20"/>
          <w:color w:val="auto"/>
        </w:rPr>
      </w:pPr>
    </w:p>
    <w:p>
      <w:pPr>
        <w:ind w:left="120" w:right="300"/>
        <w:spacing w:after="0" w:line="285"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21"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4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5" w:right="47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87"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3"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172"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7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We may need to obtain licenses in the future from third parties to advance our research or allow commercialization of our product candidates, and we cannot provide any assurances that there are no third-party patents which might be enforced against our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85"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8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17"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45" w:lineRule="exact"/>
        <w:rPr>
          <w:sz w:val="20"/>
          <w:szCs w:val="20"/>
          <w:color w:val="auto"/>
        </w:rPr>
      </w:pPr>
    </w:p>
    <w:p>
      <w:pPr>
        <w:jc w:val="both"/>
        <w:ind w:left="120" w:right="20" w:firstLine="551"/>
        <w:spacing w:after="0" w:line="255" w:lineRule="auto"/>
        <w:rPr>
          <w:sz w:val="20"/>
          <w:szCs w:val="20"/>
          <w:color w:val="auto"/>
        </w:rPr>
      </w:pPr>
      <w:r>
        <w:rPr>
          <w:rFonts w:ascii="Arial" w:cs="Arial" w:eastAsia="Arial" w:hAnsi="Arial"/>
          <w:sz w:val="18"/>
          <w:szCs w:val="18"/>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w:t>
      </w:r>
    </w:p>
    <w:p>
      <w:pPr>
        <w:spacing w:after="0" w:line="16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27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04"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The trading price of our common stock following this offering is likely to be highly volatile and could be subject to wide fluctuations in response to various factors, some of which are beyond our control, including limited trading volume. In addition to the factors discussed in this “Risk Factors” section and elsewhere in this prospectus, these factors include:</w:t>
      </w:r>
    </w:p>
    <w:p>
      <w:pPr>
        <w:spacing w:after="0" w:line="69" w:lineRule="exact"/>
        <w:rPr>
          <w:sz w:val="20"/>
          <w:szCs w:val="20"/>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ongoing, planned or any future preclinical studies, clinical trials or clinical development programs;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commencement, enrollment, or results of clinical trials of our product candidates or any future clinical trials we may conduct, or changes in the development status of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results or delays in preclinical studies and clinical trials;</w:t>
      </w:r>
    </w:p>
    <w:p>
      <w:pPr>
        <w:spacing w:after="0" w:line="117"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 including due to the suspension of a clinical trial by the FDA or other regulatory authorities;</w:t>
      </w:r>
    </w:p>
    <w:p>
      <w:pPr>
        <w:spacing w:after="0" w:line="50"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delay in our regulatory filings or any adverse regulatory decisions, including failure to receive regulatory approval of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including but not limited to clinical trial requirements for approvals;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our manufacturing plans;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licensed product or inability to do so at acceptable prices;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28" w:lineRule="exact"/>
        <w:rPr>
          <w:rFonts w:ascii="Arial" w:cs="Arial" w:eastAsia="Arial" w:hAnsi="Arial"/>
          <w:sz w:val="17"/>
          <w:szCs w:val="17"/>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size and growth of our initial cancer target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successfully treat additional types of cancers or at different stages;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immunotherapy in particular, or positive or negative recommendations or withdrawal of research coverage by securities analysts;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expiration of lock-up agreements;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disputes or other developments relating to intellectual property or proprietary rights, including patents, litigation matters and our ability to obtain patent protection for our technologies;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lawsuits, including intellectual property or stockholder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 including the impending presidential election in the United States in 2020;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12"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45"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highly volatile as a result of the COVID-19 pandemic. In addition, broad market and industry factors may negatively affect the market price of our common stock, regardless of our actual operating performance. If the market price of our common stock after this offering does not exceed the initial public offering price, you may not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8" w:lineRule="auto"/>
        <w:rPr>
          <w:sz w:val="20"/>
          <w:szCs w:val="20"/>
          <w:color w:val="auto"/>
        </w:rPr>
      </w:pPr>
      <w:r>
        <w:rPr>
          <w:rFonts w:ascii="Arial" w:cs="Arial" w:eastAsia="Arial" w:hAnsi="Arial"/>
          <w:sz w:val="18"/>
          <w:szCs w:val="18"/>
          <w:color w:val="auto"/>
        </w:rPr>
        <w:t>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278"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2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Prior to this offering, no public market for shares of our common stock existed and an active trading market for our common stock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284"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21"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8" w:lineRule="exact"/>
        <w:rPr>
          <w:sz w:val="20"/>
          <w:szCs w:val="20"/>
          <w:color w:val="auto"/>
        </w:rPr>
      </w:pPr>
    </w:p>
    <w:p>
      <w:pPr>
        <w:ind w:left="120" w:right="400"/>
        <w:spacing w:after="0" w:line="285"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21"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21"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38,584,310 outstanding shares of common stock, based on the number of shares outstanding as of June 30, 2020, assuming: (1) no exercise of the underwriters’ option to purchase additional shares, (2) the conversion of all outstanding shares of our convertible preferred stock as of June 30, 2020 into 22,866,246 shares of common stock immediately prior to the completion of this offering and (3) the conversion of our Series D convertible preferred stock issued and sold in July 2020 into 5,321,864 shares of common stock immediately prior to the completion of this offering. This includes the shares that we sell in this offering, which may be resold in the public market immediately without restriction, unless purchased by our affiliates. Of the remaining shares, 31,234,310 shares of our common stock are currently restricted as a result of securities laws or lock-up agreements but will be able to be sold after this offering as described in the “Shares Eligible for Future Sale” section of this prospectus. Moreover, after this offering, holders of an aggregate of 28,198,910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188"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Our executive officers, directors and the holders of substantially all of our capital stock and securities convertible into or exchangeable for our capital stock have entered into lock-up agreements with the underwriters under which they have agreed, subject to specific exceptions described in the section titled “Underwriting,” not to sell, directly or indirectly, any shares of common stock without the permission of the underwriters for a period of 180 days following the date of this prospectus. We refer to such period as the lock-up period. When the lock-up period expires, we and our securityholders subject to a lock-up agreement will be able to sell our shares in the public market. In addition, the underwriters may, in their sole discretion, release all or some portion of the shares subject to lock-up agreements at any time and for any reason. See the description of the lock-up agreement with the underwriters in the section of this prospectus titled “Shares Eligible for Future Sale” for more information.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288" w:lineRule="exact"/>
        <w:rPr>
          <w:sz w:val="20"/>
          <w:szCs w:val="20"/>
          <w:color w:val="auto"/>
        </w:rPr>
      </w:pPr>
    </w:p>
    <w:p>
      <w:pPr>
        <w:ind w:left="120" w:right="560"/>
        <w:spacing w:after="0" w:line="28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2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Prior to this offering, our executive officers, directors, holders of 5% or more of our capital stock and their respective affiliates beneficially owned approximately 72.9% of our voting stock and, upon the closing of this offering, that same group will beneficially own approximately 59.6% of our outstanding voting stock (based on the number of shares of common stock outstanding as of August 31, 2020 assuming no exercise of the underwriters’ option to purchase additional shares, no exercise of outstanding options or the warrant and no purchases of shares in this offering by any of this group), in each case assuming the conversion of all outstanding shares of our convertible preferred stock into shares of our common stock immediately prior to the closing of this offering. Certain of our directors are affiliated with the holders of 5% or more of our capital stock. In particular, Arnold Oronsky, Ph.D. is an affiliate of InterWest Partners X, L.P., Peter Thompson, M.D. is an affiliate of OrbiMed Private Investments V LP and Thilo Schroeder is an affiliate Nextech V Oncology S.C.S., SIACAV-SIF, as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5" w:right="4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color w:val="auto"/>
        </w:rPr>
        <w:t>indicated in the “Principal Stockholders” section.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87"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21"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2020, as amended, or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69" w:lineRule="exact"/>
        <w:rPr>
          <w:sz w:val="20"/>
          <w:szCs w:val="20"/>
          <w:color w:val="auto"/>
        </w:rPr>
      </w:pPr>
    </w:p>
    <w:p>
      <w:pPr>
        <w:ind w:left="880" w:right="200" w:hanging="224"/>
        <w:spacing w:after="0" w:line="255"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69"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Sarbanes-Oxley Act;</w:t>
      </w:r>
    </w:p>
    <w:p>
      <w:pPr>
        <w:spacing w:after="0" w:line="50" w:lineRule="exact"/>
        <w:rPr>
          <w:rFonts w:ascii="Arial" w:cs="Arial" w:eastAsia="Arial" w:hAnsi="Arial"/>
          <w:sz w:val="18"/>
          <w:szCs w:val="18"/>
          <w:color w:val="auto"/>
        </w:rPr>
      </w:pPr>
    </w:p>
    <w:p>
      <w:pPr>
        <w:ind w:left="880" w:right="300" w:hanging="224"/>
        <w:spacing w:after="0" w:line="255"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9" w:lineRule="exact"/>
        <w:rPr>
          <w:rFonts w:ascii="Arial" w:cs="Arial" w:eastAsia="Arial" w:hAnsi="Arial"/>
          <w:sz w:val="18"/>
          <w:szCs w:val="18"/>
          <w:color w:val="auto"/>
        </w:rPr>
      </w:pPr>
    </w:p>
    <w:p>
      <w:pPr>
        <w:ind w:left="880" w:right="82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prospectus and our periodic reports and proxy statements; and</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45"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72"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70"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5" w:right="4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w:t>
      </w:r>
    </w:p>
    <w:p>
      <w:pPr>
        <w:spacing w:after="0" w:line="16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72" w:lineRule="exact"/>
        <w:rPr>
          <w:sz w:val="20"/>
          <w:szCs w:val="20"/>
          <w:color w:val="auto"/>
        </w:rPr>
      </w:pPr>
    </w:p>
    <w:p>
      <w:pPr>
        <w:ind w:left="120" w:right="200"/>
        <w:spacing w:after="0" w:line="285"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will be subject to the reporting requirements of the Securities Exchange Act of 1934, as amended, or Exchange Act, which will require, among other things, that we file with the SEC annual, quarterly and current reports with respect to our business and financial condition. In addition, the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We intend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04"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entitled “Use of Proceeds,” and you will be relying on the judgment of our management regarding the application of these proceeds. You will not have the opportunity, as part of your investment decision, to assess whether the net proceeds are being used appropriately. Our management might not apply the net proceeds in ways that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76" w:lineRule="auto"/>
        <w:rPr>
          <w:sz w:val="20"/>
          <w:szCs w:val="20"/>
          <w:color w:val="auto"/>
        </w:rPr>
      </w:pPr>
      <w:r>
        <w:rPr>
          <w:rFonts w:ascii="Arial" w:cs="Arial" w:eastAsia="Arial" w:hAnsi="Arial"/>
          <w:sz w:val="18"/>
          <w:szCs w:val="18"/>
          <w:color w:val="auto"/>
        </w:rPr>
        <w:t>ultimately increase or maintain the value of your investment. If we do not invest or apply the net proceeds from this offering in ways that enhance stockholder value, we may fail to achieve expected financial results, which could cause our stock price to decline.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on our capital stock, so any returns will be limited to the value of our stock.</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280"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43"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upon closing of this offering, will contain provisions that could delay or prevent a change of control of our company or changes in our board of directors that our stockholders might consider favorable. These provisions will, among other things:</w:t>
      </w:r>
    </w:p>
    <w:p>
      <w:pPr>
        <w:spacing w:after="0" w:line="69"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880" w:right="98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212" w:lineRule="exact"/>
        <w:rPr>
          <w:sz w:val="20"/>
          <w:szCs w:val="20"/>
          <w:color w:val="auto"/>
        </w:rPr>
      </w:pPr>
    </w:p>
    <w:p>
      <w:pPr>
        <w:ind w:left="120" w:right="160" w:firstLine="551"/>
        <w:spacing w:after="0" w:line="268" w:lineRule="auto"/>
        <w:rPr>
          <w:sz w:val="20"/>
          <w:szCs w:val="20"/>
          <w:color w:val="auto"/>
        </w:rPr>
      </w:pPr>
      <w:r>
        <w:rPr>
          <w:rFonts w:ascii="Arial" w:cs="Arial" w:eastAsia="Arial" w:hAnsi="Arial"/>
          <w:sz w:val="17"/>
          <w:szCs w:val="17"/>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320" w:top="455" w:right="5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72"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b w:val="1"/>
          <w:bCs w:val="1"/>
          <w:i w:val="1"/>
          <w:iCs w:val="1"/>
          <w:color w:val="auto"/>
        </w:rPr>
        <w:t>Our amended and restated bylaws that will become effective upon the closing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52"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Our amended and restated bylaws that will become effective upon the closing of this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9"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12"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Act of 1933, as amended, or Securities Act, the Exchange Act or any other claim for which the U.S. federal courts have exclusive jurisdiction.</w:t>
      </w:r>
    </w:p>
    <w:p>
      <w:pPr>
        <w:spacing w:after="0" w:line="145" w:lineRule="exact"/>
        <w:rPr>
          <w:sz w:val="20"/>
          <w:szCs w:val="20"/>
          <w:color w:val="auto"/>
        </w:rPr>
      </w:pPr>
    </w:p>
    <w:p>
      <w:pPr>
        <w:ind w:left="120" w:right="360" w:firstLine="551"/>
        <w:spacing w:after="0" w:line="255"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 We note that investors cannot waive compliance with the federal securities laws and the rules and regulations thereunder.</w:t>
      </w:r>
    </w:p>
    <w:p>
      <w:pPr>
        <w:spacing w:after="0" w:line="16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5" w:right="4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21" w:lineRule="exact"/>
        <w:rPr>
          <w:sz w:val="20"/>
          <w:szCs w:val="20"/>
          <w:color w:val="auto"/>
        </w:rPr>
      </w:pPr>
    </w:p>
    <w:p>
      <w:pPr>
        <w:ind w:left="120" w:right="400" w:firstLine="551"/>
        <w:spacing w:after="0" w:line="276"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we will indemnify our directors and officers, in each case to the fullest extent permitted by Delaware law.</w:t>
      </w:r>
    </w:p>
    <w:p>
      <w:pPr>
        <w:spacing w:after="0" w:line="145" w:lineRule="exact"/>
        <w:rPr>
          <w:sz w:val="20"/>
          <w:szCs w:val="20"/>
          <w:color w:val="auto"/>
        </w:rPr>
      </w:pPr>
    </w:p>
    <w:p>
      <w:pPr>
        <w:ind w:left="120" w:right="240" w:firstLine="551"/>
        <w:spacing w:after="0" w:line="306" w:lineRule="auto"/>
        <w:rPr>
          <w:sz w:val="20"/>
          <w:szCs w:val="20"/>
          <w:color w:val="auto"/>
        </w:rPr>
      </w:pPr>
      <w:r>
        <w:rPr>
          <w:rFonts w:ascii="Arial" w:cs="Arial" w:eastAsia="Arial" w:hAnsi="Arial"/>
          <w:sz w:val="17"/>
          <w:szCs w:val="17"/>
          <w:color w:val="auto"/>
        </w:rPr>
        <w:t>In addition, as permitted by Section 145 of the DGCL, our amended and restated bylaws to be effective immediately prior to the completion of this offering and our indemnification agreements that we have entered into with our directors and officers will provide that:</w:t>
      </w:r>
    </w:p>
    <w:p>
      <w:pPr>
        <w:spacing w:after="0" w:line="28" w:lineRule="exact"/>
        <w:rPr>
          <w:sz w:val="20"/>
          <w:szCs w:val="20"/>
          <w:color w:val="auto"/>
        </w:rPr>
      </w:pPr>
    </w:p>
    <w:p>
      <w:pPr>
        <w:ind w:left="880" w:hanging="224"/>
        <w:spacing w:after="0" w:line="245"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7"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50" w:lineRule="exact"/>
        <w:rPr>
          <w:rFonts w:ascii="Arial" w:cs="Arial" w:eastAsia="Arial" w:hAnsi="Arial"/>
          <w:sz w:val="18"/>
          <w:szCs w:val="18"/>
          <w:color w:val="auto"/>
        </w:rPr>
      </w:pPr>
    </w:p>
    <w:p>
      <w:pPr>
        <w:ind w:left="880" w:right="60" w:hanging="224"/>
        <w:spacing w:after="0" w:line="255"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69"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69" w:lineRule="exact"/>
        <w:rPr>
          <w:rFonts w:ascii="Arial" w:cs="Arial" w:eastAsia="Arial" w:hAnsi="Arial"/>
          <w:sz w:val="18"/>
          <w:szCs w:val="18"/>
          <w:color w:val="auto"/>
        </w:rPr>
      </w:pPr>
    </w:p>
    <w:p>
      <w:pPr>
        <w:ind w:left="880" w:right="220" w:hanging="224"/>
        <w:spacing w:after="0" w:line="306" w:lineRule="auto"/>
        <w:tabs>
          <w:tab w:leader="none" w:pos="8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28" w:lineRule="exact"/>
        <w:rPr>
          <w:rFonts w:ascii="Arial" w:cs="Arial" w:eastAsia="Arial" w:hAnsi="Arial"/>
          <w:sz w:val="17"/>
          <w:szCs w:val="17"/>
          <w:color w:val="auto"/>
        </w:rPr>
      </w:pPr>
    </w:p>
    <w:p>
      <w:pPr>
        <w:ind w:left="880" w:right="70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45"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While we maintain a directors’ and officers’ insurance policy, such insurance may not be adequate to cover all liabilities that we may incur, which may reduce our available funds to satisfy third-party claims and may materially adversely affect our cash position.</w:t>
      </w:r>
    </w:p>
    <w:p>
      <w:pPr>
        <w:spacing w:after="0" w:line="25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43" w:lineRule="exact"/>
        <w:rPr>
          <w:sz w:val="20"/>
          <w:szCs w:val="20"/>
          <w:color w:val="auto"/>
        </w:rPr>
      </w:pPr>
    </w:p>
    <w:p>
      <w:pPr>
        <w:ind w:left="120" w:right="100" w:firstLine="551"/>
        <w:spacing w:after="0" w:line="243" w:lineRule="auto"/>
        <w:rPr>
          <w:sz w:val="20"/>
          <w:szCs w:val="20"/>
          <w:color w:val="auto"/>
        </w:rPr>
      </w:pPr>
      <w:r>
        <w:rPr>
          <w:rFonts w:ascii="Arial" w:cs="Arial" w:eastAsia="Arial" w:hAnsi="Arial"/>
          <w:sz w:val="18"/>
          <w:szCs w:val="18"/>
          <w:color w:val="auto"/>
        </w:rPr>
        <w:t>After this offering, we will be subject to Section 404 of the Sarbanes-Oxley Act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We will also be required to disclose changes made in our internal controls and procedures on a quarterly basis. However, for so long as we remain an emerging growth company as defined in the JOBS Act, we intend to take advantage of certain exemptions from various reporting requirements that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 over financial reporting. An independent assessment of the effectiveness of our internal controls over financial reporting could detect problems that our management’s assessment might not.</w:t>
      </w:r>
    </w:p>
    <w:p>
      <w:pPr>
        <w:spacing w:after="0" w:line="17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 addition, undetected material weaknesses in our internal controls over financial reporting could lead to restatements of our financial statements and require us to incur the expense of remediation. Inferior internal controls could also cause investors to lose confidence in our reported financial information, which could have a material adverse effect on the trading price of our stock.</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left="120" w:right="140" w:firstLine="551"/>
        <w:spacing w:after="0" w:line="243" w:lineRule="auto"/>
        <w:rPr>
          <w:sz w:val="20"/>
          <w:szCs w:val="20"/>
          <w:color w:val="auto"/>
        </w:rPr>
      </w:pPr>
      <w:r>
        <w:rPr>
          <w:rFonts w:ascii="Arial" w:cs="Arial" w:eastAsia="Arial" w:hAnsi="Arial"/>
          <w:sz w:val="18"/>
          <w:szCs w:val="18"/>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4"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78"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After the completion of this offering, we may be at an increased risk of securities class action litigation, which is expensive and could divert management attention.</w:t>
      </w:r>
    </w:p>
    <w:p>
      <w:pPr>
        <w:spacing w:after="0" w:line="21" w:lineRule="exact"/>
        <w:rPr>
          <w:sz w:val="20"/>
          <w:szCs w:val="20"/>
          <w:color w:val="auto"/>
        </w:rPr>
      </w:pPr>
    </w:p>
    <w:p>
      <w:pPr>
        <w:jc w:val="both"/>
        <w:ind w:left="120" w:right="60" w:firstLine="551"/>
        <w:spacing w:after="0" w:line="245"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280" w:lineRule="exact"/>
        <w:rPr>
          <w:sz w:val="20"/>
          <w:szCs w:val="20"/>
          <w:color w:val="auto"/>
        </w:rPr>
      </w:pPr>
    </w:p>
    <w:p>
      <w:pPr>
        <w:ind w:left="120" w:right="220"/>
        <w:spacing w:after="0" w:line="285"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21" w:lineRule="exact"/>
        <w:rPr>
          <w:sz w:val="20"/>
          <w:szCs w:val="20"/>
          <w:color w:val="auto"/>
        </w:rPr>
      </w:pPr>
    </w:p>
    <w:p>
      <w:pPr>
        <w:ind w:left="120" w:right="500" w:firstLine="551"/>
        <w:spacing w:after="0" w:line="276"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70" w:lineRule="exact"/>
        <w:rPr>
          <w:sz w:val="20"/>
          <w:szCs w:val="20"/>
          <w:color w:val="auto"/>
        </w:rPr>
      </w:pPr>
    </w:p>
    <w:p>
      <w:pPr>
        <w:ind w:left="120" w:right="120" w:firstLine="551"/>
        <w:spacing w:after="0" w:line="268" w:lineRule="auto"/>
        <w:rPr>
          <w:sz w:val="20"/>
          <w:szCs w:val="20"/>
          <w:color w:val="auto"/>
        </w:rPr>
      </w:pPr>
      <w:r>
        <w:rPr>
          <w:rFonts w:ascii="Arial" w:cs="Arial" w:eastAsia="Arial" w:hAnsi="Arial"/>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after the closing of this offering, our underlying stock price and stock price volatility, the magnitude of the expense that we must recognize may vary significantly.</w:t>
      </w:r>
    </w:p>
    <w:p>
      <w:pPr>
        <w:spacing w:after="0" w:line="153"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50" w:lineRule="exact"/>
        <w:rPr>
          <w:sz w:val="20"/>
          <w:szCs w:val="20"/>
          <w:color w:val="auto"/>
        </w:rPr>
      </w:pPr>
    </w:p>
    <w:p>
      <w:pPr>
        <w:ind w:left="880" w:right="6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880" w:right="40" w:hanging="224"/>
        <w:spacing w:after="0" w:line="255"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outcomes of clinical trials for our future product candidates, or competing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delays in regulatory review or approval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demand for our future product candidates, if approved, which may fluctuate significantly and be difficult to predict;</w:t>
      </w:r>
    </w:p>
    <w:p>
      <w:pPr>
        <w:spacing w:after="0" w:line="117" w:lineRule="exact"/>
        <w:rPr>
          <w:rFonts w:ascii="Arial" w:cs="Arial" w:eastAsia="Arial" w:hAnsi="Arial"/>
          <w:sz w:val="18"/>
          <w:szCs w:val="18"/>
          <w:color w:val="auto"/>
        </w:rPr>
      </w:pPr>
    </w:p>
    <w:p>
      <w:pPr>
        <w:ind w:left="880" w:right="32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our product candidates;</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inside and outside of the United States, either independently or working with third parties;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establish and maintain future collaborations, licensing or other arrangements;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5" w:right="49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551"/>
        <w:spacing w:after="0" w:line="241" w:lineRule="auto"/>
        <w:rPr>
          <w:sz w:val="20"/>
          <w:szCs w:val="20"/>
          <w:color w:val="auto"/>
        </w:rPr>
      </w:pPr>
      <w:r>
        <w:rPr>
          <w:rFonts w:ascii="Arial" w:cs="Arial" w:eastAsia="Arial" w:hAnsi="Arial"/>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87" w:lineRule="exact"/>
        <w:rPr>
          <w:sz w:val="20"/>
          <w:szCs w:val="20"/>
          <w:color w:val="auto"/>
        </w:rPr>
      </w:pPr>
    </w:p>
    <w:p>
      <w:pPr>
        <w:ind w:left="120" w:right="300"/>
        <w:spacing w:after="0" w:line="285"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21"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initial public offering price will be substantially higher than the net tangible book value per share of our common stock. Investors purchasing common stock in this offering will pay a price per share that substantially exceeds the book value of our tangible assets after subtracting our liabilities. As a result, investors purchasing common stock in this offering will incur immediate dilution of approximately $10.09 per share, representing the difference between the assumed initial public offering price of $17.00 per share, which is the midpoint of the estimated offering price range set forth on the cover page of this prospectus, after deducting the estimated underwriting discounts and commissions and estimated offering expenses payable by us, and our pro forma as adjusted net tangible book value per share as of June 30, 2020, after giving effect to this offering and the automatic conversion of all outstanding shares of our convertible preferred stock immediately prior to the closing of this offering. As of June 30, 2020, there were 3,922,612 shares subject to outstanding options with a weighted-average exercise price of $2.66 per share. To the extent these outstanding securities are ultimately exercised, investors purchasing common stock in this offering will incur further dilution. See “Dilution” for a more detailed description of the dilution to new investors in the offering. For a further description of the dilution that you will experience immediately after this offering, see the section titled “Dilution.”</w:t>
      </w:r>
    </w:p>
    <w:p>
      <w:pPr>
        <w:spacing w:after="0" w:line="291" w:lineRule="exact"/>
        <w:rPr>
          <w:sz w:val="20"/>
          <w:szCs w:val="20"/>
          <w:color w:val="auto"/>
        </w:rPr>
      </w:pPr>
    </w:p>
    <w:p>
      <w:pPr>
        <w:ind w:left="120" w:right="620"/>
        <w:spacing w:after="0" w:line="285" w:lineRule="auto"/>
        <w:rPr>
          <w:sz w:val="20"/>
          <w:szCs w:val="20"/>
          <w:color w:val="auto"/>
        </w:rPr>
      </w:pPr>
      <w:r>
        <w:rPr>
          <w:rFonts w:ascii="Arial" w:cs="Arial" w:eastAsia="Arial" w:hAnsi="Arial"/>
          <w:sz w:val="18"/>
          <w:szCs w:val="18"/>
          <w:b w:val="1"/>
          <w:bCs w:val="1"/>
          <w:i w:val="1"/>
          <w:iCs w:val="1"/>
          <w:color w:val="auto"/>
        </w:rPr>
        <w:t>Participation in this offering by our existing stockholders and/or their affiliated entities may reduce the public float for our common stock.</w:t>
      </w:r>
    </w:p>
    <w:p>
      <w:pPr>
        <w:spacing w:after="0" w:line="21"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5" w:right="4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This prospectus contains forward-looking statements. All statements other than statements of historical facts contained in this prospectus,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9" w:lineRule="exact"/>
        <w:rPr>
          <w:sz w:val="20"/>
          <w:szCs w:val="20"/>
          <w:color w:val="auto"/>
        </w:rPr>
      </w:pPr>
    </w:p>
    <w:p>
      <w:pPr>
        <w:jc w:val="both"/>
        <w:ind w:left="120" w:firstLine="551"/>
        <w:spacing w:after="0" w:line="277" w:lineRule="auto"/>
        <w:rPr>
          <w:sz w:val="20"/>
          <w:szCs w:val="20"/>
          <w:color w:val="auto"/>
        </w:rPr>
      </w:pPr>
      <w:r>
        <w:rPr>
          <w:rFonts w:ascii="Arial" w:cs="Arial" w:eastAsia="Arial" w:hAnsi="Arial"/>
          <w:sz w:val="17"/>
          <w:szCs w:val="17"/>
          <w:color w:val="auto"/>
        </w:rPr>
        <w:t>In some cases, you can identify forward-looking statements by terms such as “may,” “should,” “would,” “expect,” “plan,” “anticipate,” “could,” “intend,” “target,” “project,” “contemplate,” “believe,” “estimate,” “predict,” “potential” or “continue” or the negative of these terms or other similar expressions. Forward-looking statements contained in this prospectus include, but are not limited to, statements about:</w:t>
      </w:r>
    </w:p>
    <w:p>
      <w:pPr>
        <w:spacing w:after="0" w:line="52" w:lineRule="exact"/>
        <w:rPr>
          <w:sz w:val="20"/>
          <w:szCs w:val="20"/>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short-term marketable securities to fund our future operating expenses and capital expenditure requirements;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need to raise additional funding before we can expect to generate any revenues from product sales;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880" w:right="50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anticipated use of our existing cash, cash equivalents and short-term marketable securities and the proceeds from this offering;</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and our ability to maximize those opportunities;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preclinical studies, any clinical trials and, investigational new drug application, or IND, and other regulatory submissions;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estimates of the number of patients expected to have certain p53 mutants and the number of participants that will enroll in our clinical trials;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favorable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product candidates, including the disease areas to be evaluated;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progress and focus of our clinical trials, and the reporting of data from those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expected benefits of potential future strategic collaborations with third parties and our ability to attract collaborators with development, regulatory and commercialization expertise;</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5" w:right="49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our expectation to seek special designations, such as orphan drug designation, for our product candidates;</w:t>
      </w:r>
    </w:p>
    <w:p>
      <w:pPr>
        <w:spacing w:after="0" w:line="50"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for additional indications that we may pursue;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plan to rely on third parties to conduct and support preclinical and clinical development;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personnel and to identify, hire and then retain additional qualified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the ongoing COVID-19 pandemic or other related disruptions on our business; and</w:t>
      </w:r>
    </w:p>
    <w:p>
      <w:pPr>
        <w:spacing w:after="0" w:line="117" w:lineRule="exact"/>
        <w:rPr>
          <w:rFonts w:ascii="Arial" w:cs="Arial" w:eastAsia="Arial" w:hAnsi="Arial"/>
          <w:sz w:val="18"/>
          <w:szCs w:val="18"/>
          <w:color w:val="auto"/>
        </w:rPr>
      </w:pPr>
    </w:p>
    <w:p>
      <w:pPr>
        <w:ind w:left="880" w:right="40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as amended.</w:t>
      </w:r>
    </w:p>
    <w:p>
      <w:pPr>
        <w:spacing w:after="0" w:line="145"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0"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72" w:lineRule="exact"/>
        <w:rPr>
          <w:sz w:val="20"/>
          <w:szCs w:val="20"/>
          <w:color w:val="auto"/>
        </w:rPr>
      </w:pPr>
    </w:p>
    <w:p>
      <w:pPr>
        <w:ind w:left="120" w:right="480" w:firstLine="551"/>
        <w:spacing w:after="0" w:line="24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5" w:right="4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left="120" w:right="260" w:firstLine="551"/>
        <w:spacing w:after="0" w:line="245" w:lineRule="auto"/>
        <w:rPr>
          <w:sz w:val="20"/>
          <w:szCs w:val="20"/>
          <w:color w:val="auto"/>
        </w:rPr>
      </w:pPr>
      <w:r>
        <w:rPr>
          <w:rFonts w:ascii="Arial" w:cs="Arial" w:eastAsia="Arial" w:hAnsi="Arial"/>
          <w:sz w:val="18"/>
          <w:szCs w:val="18"/>
          <w:color w:val="auto"/>
        </w:rPr>
        <w:t>We estimate that the net proceeds to us from the sale of the shares of our common stock in this offering will be approximately $112.8 million, or approximately $ 130.2 million if the underwriters exercise their option to purchase additional shares in full, based upon the assumed initial public offering price of $17.00 per share, which is the midpoint of the estimated offering price range set forth on the cover page of this prospectus, and after deducting estimated underwriting discounts and commissions and estimated offering expenses payable by us.</w:t>
      </w:r>
    </w:p>
    <w:p>
      <w:pPr>
        <w:spacing w:after="0" w:line="17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Each $1.00 increase or decrease in the assumed initial public offering price of $17.00 per share would increase or decrease the net proceeds to us from this offering by approximately $6.8 million, assuming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offered by us would increase or decrease the net proceeds to us from this offering by approximately $15.8 million, assuming that the assumed initial public offering price remains the same, and after deducting estimated underwriting discounts and commissions and estimated offering expenses payable by us. We do not expect that a change in the initial public offering price or the number of shares by these amounts would have a material effect on our uses of the proceeds from this offering, although it may accelerate the time at which we will need to seek additional capital.</w:t>
      </w:r>
    </w:p>
    <w:p>
      <w:pPr>
        <w:spacing w:after="0" w:line="180"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establish a public market for our common stock and facilitate our future access to the public capital markets. We currently anticipate that we will use the net proceeds from this offering, together with our existing cash, cash equivalents and short-term marketable securities, as follows:</w:t>
      </w:r>
    </w:p>
    <w:p>
      <w:pPr>
        <w:spacing w:after="0" w:line="69" w:lineRule="exact"/>
        <w:rPr>
          <w:sz w:val="20"/>
          <w:szCs w:val="20"/>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$50.0 million to fund the Phase 1/2 development of PC14586;</w:t>
      </w:r>
    </w:p>
    <w:p>
      <w:pPr>
        <w:spacing w:after="0" w:line="117"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$20.0 million to support the development of our R273H program, including lead optimization and IND-enabling studies;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approximately $25.0 million for the development of our pipeline discovery programs; and</w:t>
      </w:r>
    </w:p>
    <w:p>
      <w:pPr>
        <w:spacing w:after="0" w:line="117" w:lineRule="exact"/>
        <w:rPr>
          <w:rFonts w:ascii="Arial" w:cs="Arial" w:eastAsia="Arial" w:hAnsi="Arial"/>
          <w:sz w:val="18"/>
          <w:szCs w:val="18"/>
          <w:color w:val="auto"/>
        </w:rPr>
      </w:pPr>
    </w:p>
    <w:p>
      <w:pPr>
        <w:ind w:left="880" w:right="72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remaining proceeds, if any, for other research and development opportunities, working capital and general corporate purposes.</w:t>
      </w:r>
    </w:p>
    <w:p>
      <w:pPr>
        <w:spacing w:after="0" w:line="145"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Based upon our current operating plan, we believe that the anticipated net proceeds from this offering, together with our existing cash, cash equivalents and short-term marketable securities, will enable us to fund our operating expenses and capital expenditure requirements at least through 2023. We expect that the net proceeds from this offering, together with our existing cash, cash equivalents and short-term marketable securities, will allow us to complete at least the Phase 1 portion of our planned Phase 1/2 trial of PC14586; however, the expected net proceeds of this offering will not be sufficient for us to complete the development and commercialization of our product candidates, and we will need to raise substantial additional capital.</w:t>
      </w:r>
    </w:p>
    <w:p>
      <w:pPr>
        <w:spacing w:after="0" w:line="17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Changing circumstances, some of which may be beyond our control, could cause us to consume capital significantly faster than we currently anticipate, and we may need to seek additional funds sooner than planned. In addition, we believe opportunities may exist from time to time to expand our current business through license or acquisitions of, or investments in, complementary businesses, products or technologies. While we have no current agreements, commitments or understandings for any specific licenses, acquisitions or investments at this time, we may use a portion of the net proceeds for these purposes.</w:t>
      </w: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5" w:right="4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management will have broad discretion over the use of the net proceeds from this offering, and our investors will be relying on the judgment of our management regarding the application of the net proceeds of this offering. The amounts and timing of our expenditures will depend upon numerous factors including the results of our research and development efforts, the timing and success of preclinical studies and any ongoing clinical trials or clinical trials we may commence in the future, the timing of regulatory submissions, the amount of cash obtained through our future collaborations, if any, and any unforeseen cash needs.</w:t>
      </w:r>
    </w:p>
    <w:p>
      <w:pPr>
        <w:spacing w:after="0" w:line="172"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Pending their uses, we plan to invest the net proceeds of this offering in short-term, interest-bearing, investment-grade instruments, certificates of deposit or direct or guaranteed obligations of the U.S. government.</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5" w:right="47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800"/>
          </w:cols>
          <w:pgMar w:left="320" w:top="455" w:right="77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14" w:lineRule="exact"/>
        <w:rPr>
          <w:sz w:val="20"/>
          <w:szCs w:val="20"/>
          <w:color w:val="auto"/>
        </w:rPr>
      </w:pPr>
    </w:p>
    <w:p>
      <w:pPr>
        <w:ind w:left="120" w:right="420" w:firstLine="551"/>
        <w:spacing w:after="0" w:line="276" w:lineRule="auto"/>
        <w:rPr>
          <w:sz w:val="20"/>
          <w:szCs w:val="20"/>
          <w:color w:val="auto"/>
        </w:rPr>
      </w:pPr>
      <w:r>
        <w:rPr>
          <w:rFonts w:ascii="Arial" w:cs="Arial" w:eastAsia="Arial" w:hAnsi="Arial"/>
          <w:sz w:val="18"/>
          <w:szCs w:val="18"/>
          <w:color w:val="auto"/>
        </w:rPr>
        <w:t>The following table sets forth our cash, cash equivalents and short-term marketable securities and capitalization as of June 30, 2020, as follows:</w:t>
      </w:r>
    </w:p>
    <w:p>
      <w:pPr>
        <w:spacing w:after="0" w:line="50" w:lineRule="exact"/>
        <w:rPr>
          <w:sz w:val="20"/>
          <w:szCs w:val="20"/>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880" w:hanging="224"/>
        <w:spacing w:after="0" w:line="243"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a pro forma basis to reflect (i) our issuance and sale in July 2020 of an aggregate of 5,321,864 shares of our Series D convertible preferred stock for gross proceeds of $70.0 million, (ii) the conversion of all outstanding shares of our convertible preferred stock, including our Series D convertible preferred stock issued in July 2020, into an aggregate of 28,188,110 shares of common stock, which will occur immediately prior to the completion of this offering, and the resulting reclassification of the convertible preferred stock and (iii) the filing and effectiveness of our amended and restated certificate of incorporation, which will occur immediately prior to the completion of this offering; and</w:t>
      </w:r>
    </w:p>
    <w:p>
      <w:pPr>
        <w:spacing w:after="0" w:line="79" w:lineRule="exact"/>
        <w:rPr>
          <w:rFonts w:ascii="Arial" w:cs="Arial" w:eastAsia="Arial" w:hAnsi="Arial"/>
          <w:sz w:val="18"/>
          <w:szCs w:val="18"/>
          <w:color w:val="auto"/>
        </w:rPr>
      </w:pPr>
    </w:p>
    <w:p>
      <w:pPr>
        <w:jc w:val="both"/>
        <w:ind w:left="880" w:right="120" w:hanging="224"/>
        <w:spacing w:after="0" w:line="248"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a pro forma as adjusted basis to further reflect our issuance and sale of 7,350,000 shares of common stock in this offering at the assumed initial public offering price of $17.00 per share, which is the midpoint of the estimated offering price range set forth on the cover page of this prospectus, after deducting estimated underwriting discounts and commissions and estimated offering expenses payable by 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You should read this information in conjunction with our financial statements and the related notes (including Note 7 to our unaudited condensed financial statements as it relates to the calculation of our outstanding shares of common stock) appearing elsewhere in this prospectus, as well as the sections of this prospectus titled “Selected Financial Data” and “Management’s Discussion and Analysis of Financial Condition and Results of Operations.”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As of June 30, 2020</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7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rPr>
              <w:t>Pro Forma as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Pro Forma</w:t>
            </w:r>
          </w:p>
        </w:tc>
        <w:tc>
          <w:tcPr>
            <w:tcW w:w="1060" w:type="dxa"/>
            <w:vAlign w:val="bottom"/>
            <w:gridSpan w:val="3"/>
          </w:tcPr>
          <w:p>
            <w:pPr>
              <w:ind w:left="80"/>
              <w:spacing w:after="0" w:line="181"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0"/>
        </w:trPr>
        <w:tc>
          <w:tcPr>
            <w:tcW w:w="7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gridSpan w:val="8"/>
          </w:tcPr>
          <w:p>
            <w:pPr>
              <w:jc w:val="center"/>
              <w:ind w:right="30"/>
              <w:spacing w:after="0" w:line="141" w:lineRule="exact"/>
              <w:rPr>
                <w:sz w:val="20"/>
                <w:szCs w:val="20"/>
                <w:color w:val="auto"/>
              </w:rPr>
            </w:pPr>
            <w:r>
              <w:rPr>
                <w:rFonts w:ascii="Arial" w:cs="Arial" w:eastAsia="Arial" w:hAnsi="Arial"/>
                <w:sz w:val="14"/>
                <w:szCs w:val="14"/>
                <w:b w:val="1"/>
                <w:bCs w:val="1"/>
                <w:color w:val="auto"/>
              </w:rPr>
              <w:t>(in thousands, except share and per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 amounts)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marketable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86,136</w:t>
            </w: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156,106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268,888</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Convertible preferred stock, $0.00001 par value per share; 22,883,426 shares authorized,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80"/>
              <w:spacing w:after="0" w:line="202" w:lineRule="exact"/>
              <w:rPr>
                <w:sz w:val="20"/>
                <w:szCs w:val="20"/>
                <w:color w:val="auto"/>
              </w:rPr>
            </w:pPr>
            <w:r>
              <w:rPr>
                <w:rFonts w:ascii="Arial" w:cs="Arial" w:eastAsia="Arial" w:hAnsi="Arial"/>
                <w:sz w:val="18"/>
                <w:szCs w:val="18"/>
                <w:color w:val="auto"/>
              </w:rPr>
              <w:t>22,866,246 shares issued and outstanding, actual; no shares authorized, issued or</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1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168,933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 (deficit):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520" w:type="dxa"/>
            <w:vAlign w:val="bottom"/>
          </w:tcPr>
          <w:p>
            <w:pPr>
              <w:ind w:left="360"/>
              <w:spacing w:after="0" w:line="180" w:lineRule="exact"/>
              <w:rPr>
                <w:sz w:val="20"/>
                <w:szCs w:val="20"/>
                <w:color w:val="auto"/>
              </w:rPr>
            </w:pPr>
            <w:r>
              <w:rPr>
                <w:rFonts w:ascii="Arial" w:cs="Arial" w:eastAsia="Arial" w:hAnsi="Arial"/>
                <w:sz w:val="18"/>
                <w:szCs w:val="18"/>
                <w:color w:val="auto"/>
              </w:rPr>
              <w:t>Preferred stock, $0.00001 par value; no shares authorized, issued or outstanding,</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actual; 5,000,000 shares authorized and no shares issued or outstanding, pro</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540"/>
              <w:spacing w:after="0"/>
              <w:rPr>
                <w:sz w:val="20"/>
                <w:szCs w:val="20"/>
                <w:color w:val="auto"/>
              </w:rPr>
            </w:pPr>
            <w:r>
              <w:rPr>
                <w:rFonts w:ascii="Arial" w:cs="Arial" w:eastAsia="Arial" w:hAnsi="Arial"/>
                <w:sz w:val="18"/>
                <w:szCs w:val="18"/>
                <w:color w:val="auto"/>
              </w:rPr>
              <w:t>forma and pro forma as adjusted</w:t>
            </w:r>
          </w:p>
        </w:tc>
        <w:tc>
          <w:tcPr>
            <w:tcW w:w="12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752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color w:val="auto"/>
              </w:rPr>
              <w:t>Common stock, $0.00001 par value per share; 33,250,829 shares authorized,</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3,046,200 shares issued and outstanding, actual; 1,000,000,000 shares authorized,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31,234,310 shares issued and outstanding, pro forma (unaudited); 1,000,000,000</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shares authorized, 38,584,310 shares issued and outstanding, pro forma as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adjusted (unaudited)</w:t>
            </w: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5,648</w:t>
            </w:r>
          </w:p>
        </w:tc>
        <w:tc>
          <w:tcPr>
            <w:tcW w:w="140" w:type="dxa"/>
            <w:vAlign w:val="bottom"/>
          </w:tcPr>
          <w:p>
            <w:pPr>
              <w:spacing w:after="0"/>
              <w:rPr>
                <w:sz w:val="17"/>
                <w:szCs w:val="17"/>
                <w:color w:val="auto"/>
              </w:rPr>
            </w:pPr>
          </w:p>
        </w:tc>
        <w:tc>
          <w:tcPr>
            <w:tcW w:w="15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244,551</w:t>
            </w:r>
          </w:p>
        </w:tc>
        <w:tc>
          <w:tcPr>
            <w:tcW w:w="18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357,333</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(90,661)</w:t>
            </w:r>
          </w:p>
        </w:tc>
        <w:tc>
          <w:tcPr>
            <w:tcW w:w="150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(90,661)</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(90,661)</w:t>
            </w:r>
          </w:p>
        </w:tc>
        <w:tc>
          <w:tcPr>
            <w:tcW w:w="0" w:type="dxa"/>
            <w:vAlign w:val="bottom"/>
          </w:tcPr>
          <w:p>
            <w:pPr>
              <w:spacing w:after="0"/>
              <w:rPr>
                <w:sz w:val="1"/>
                <w:szCs w:val="1"/>
                <w:color w:val="auto"/>
              </w:rPr>
            </w:pPr>
          </w:p>
        </w:tc>
      </w:tr>
      <w:tr>
        <w:trPr>
          <w:trHeight w:val="209"/>
        </w:trPr>
        <w:tc>
          <w:tcPr>
            <w:tcW w:w="752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stockholders’ (deficit) equity</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(85,008)</w:t>
            </w:r>
          </w:p>
        </w:tc>
        <w:tc>
          <w:tcPr>
            <w:tcW w:w="15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153,895</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266,677</w:t>
            </w:r>
          </w:p>
        </w:tc>
        <w:tc>
          <w:tcPr>
            <w:tcW w:w="0" w:type="dxa"/>
            <w:vAlign w:val="bottom"/>
          </w:tcPr>
          <w:p>
            <w:pPr>
              <w:spacing w:after="0"/>
              <w:rPr>
                <w:sz w:val="1"/>
                <w:szCs w:val="1"/>
                <w:color w:val="auto"/>
              </w:rPr>
            </w:pPr>
          </w:p>
        </w:tc>
      </w:tr>
      <w:tr>
        <w:trPr>
          <w:trHeight w:val="210"/>
        </w:trPr>
        <w:tc>
          <w:tcPr>
            <w:tcW w:w="7520" w:type="dxa"/>
            <w:vAlign w:val="bottom"/>
          </w:tcPr>
          <w:p>
            <w:pPr>
              <w:ind w:left="360"/>
              <w:spacing w:after="0"/>
              <w:rPr>
                <w:sz w:val="20"/>
                <w:szCs w:val="20"/>
                <w:color w:val="auto"/>
              </w:rPr>
            </w:pPr>
            <w:r>
              <w:rPr>
                <w:rFonts w:ascii="Arial" w:cs="Arial" w:eastAsia="Arial" w:hAnsi="Arial"/>
                <w:sz w:val="18"/>
                <w:szCs w:val="18"/>
                <w:color w:val="auto"/>
              </w:rPr>
              <w:t>Total capitalization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83,925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153,895</w:t>
            </w: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9" w:lineRule="exact"/>
        <w:rPr>
          <w:sz w:val="20"/>
          <w:szCs w:val="20"/>
          <w:color w:val="auto"/>
        </w:rPr>
      </w:pPr>
    </w:p>
    <w:p>
      <w:pPr>
        <w:ind w:left="660" w:right="20" w:hanging="544"/>
        <w:spacing w:after="0" w:line="229" w:lineRule="auto"/>
        <w:tabs>
          <w:tab w:leader="none" w:pos="66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Each $1.00 increase or decrease in the assumed initial public offering price of $17.00 per share, which is the midpoint of the estimated offering price range set forth on the cover page of this prospectus, would increase or decrease, as applicable, our pro forma as adjusted cash, cash equivalents and short-term marketable securities, additional paid-in capital, total stockholders’ equity and total capitalization by approximately $6.8 million, assuming that the number of shares of common stock offered by us, as set forth on the cover page of this prospectus, remains the same, and after deducting estimated underwriting discounts and commissions and estimated offering expenses payable by us. Each increase or decrease of 1.0 million shares in the number of shares of common stock offered by us would increase or decrease, as applicable, our pro forma as adjusted cash, cash equivalents and short-term marketable securities, additional paid-in capital, total stockholders’ equity and total capitalization by approximately $15.8 million, assuming the assumed initial public offering price of $17.00 per share, which is the midpoint of the estimated offering price range set forth on the cover page of this prospectus, remains the same, and after deducting estimated 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The number of shares of our common stock to be outstanding after this offering is based on 25,912,446 shares of our common stock outstanding as of June 30, 2020 (including an aggregate of 22,866,246 shares of common stock issuable upon conversion of our outstanding convertible preferred stock as of June 30, 2020), plus 5,321,864 shares of our common stock issuable pursuant to the conversion of our Series D convertible preferred stock issued and sold in July 2020, and excludes the following:</w:t>
      </w:r>
    </w:p>
    <w:p>
      <w:pPr>
        <w:spacing w:after="0" w:line="76" w:lineRule="exact"/>
        <w:rPr>
          <w:sz w:val="20"/>
          <w:szCs w:val="20"/>
          <w:color w:val="auto"/>
        </w:rPr>
      </w:pPr>
    </w:p>
    <w:p>
      <w:pPr>
        <w:ind w:left="880" w:hanging="224"/>
        <w:spacing w:after="0" w:line="276"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3,922,612 shares of common stock issuable upon exercise of options to purchase shares of our common stock outstanding as of June 30, 2020, with a weighted-average exercise price of $2.66 per share;</w:t>
      </w:r>
    </w:p>
    <w:p>
      <w:pPr>
        <w:spacing w:after="0" w:line="50" w:lineRule="exact"/>
        <w:rPr>
          <w:rFonts w:ascii="Arial" w:cs="Arial" w:eastAsia="Arial" w:hAnsi="Arial"/>
          <w:sz w:val="18"/>
          <w:szCs w:val="18"/>
          <w:color w:val="auto"/>
        </w:rPr>
      </w:pPr>
    </w:p>
    <w:p>
      <w:pPr>
        <w:ind w:left="880" w:right="280" w:hanging="224"/>
        <w:spacing w:after="0" w:line="276"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149,472 shares of common stock issuable upon exercise of options to purchase shares of our common stock that we granted after June 30, 2020, with a weighted-average exercise price of $8.53 per share;</w:t>
      </w:r>
    </w:p>
    <w:p>
      <w:pPr>
        <w:spacing w:after="0" w:line="50" w:lineRule="exact"/>
        <w:rPr>
          <w:rFonts w:ascii="Arial" w:cs="Arial" w:eastAsia="Arial" w:hAnsi="Arial"/>
          <w:sz w:val="18"/>
          <w:szCs w:val="18"/>
          <w:color w:val="auto"/>
        </w:rPr>
      </w:pPr>
    </w:p>
    <w:p>
      <w:pPr>
        <w:ind w:left="880" w:right="120" w:hanging="224"/>
        <w:spacing w:after="0" w:line="255"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warrant to purchase an aggregate of 10,800 shares of our Series Seed convertible preferred stock outstanding as of June 30, 2020 that will be converted into a warrant to purchase an aggregate of 10,800 shares of our common stock, with an exercise price of $1.8518 per share, upon the completion of this offering;</w:t>
      </w:r>
    </w:p>
    <w:p>
      <w:pPr>
        <w:spacing w:after="0" w:line="69" w:lineRule="exact"/>
        <w:rPr>
          <w:rFonts w:ascii="Arial" w:cs="Arial" w:eastAsia="Arial" w:hAnsi="Arial"/>
          <w:sz w:val="18"/>
          <w:szCs w:val="18"/>
          <w:color w:val="auto"/>
        </w:rPr>
      </w:pPr>
    </w:p>
    <w:p>
      <w:pPr>
        <w:ind w:left="880" w:right="40" w:hanging="224"/>
        <w:spacing w:after="0" w:line="248"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4,406,374 shares of common stock reserved for future issuance under our 2020 Equity Incentive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75" w:lineRule="exact"/>
        <w:rPr>
          <w:rFonts w:ascii="Arial" w:cs="Arial" w:eastAsia="Arial" w:hAnsi="Arial"/>
          <w:sz w:val="18"/>
          <w:szCs w:val="18"/>
          <w:color w:val="auto"/>
        </w:rPr>
      </w:pPr>
    </w:p>
    <w:p>
      <w:pPr>
        <w:ind w:left="880" w:right="40" w:hanging="224"/>
        <w:spacing w:after="0" w:line="248"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400,752 shares of common stock reserved for issuance under our 2020 Employee Stock Purchase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5" w:right="47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14" w:lineRule="exact"/>
        <w:rPr>
          <w:sz w:val="20"/>
          <w:szCs w:val="20"/>
          <w:color w:val="auto"/>
        </w:rPr>
      </w:pPr>
    </w:p>
    <w:p>
      <w:pPr>
        <w:jc w:val="both"/>
        <w:ind w:left="120" w:right="40" w:firstLine="551"/>
        <w:spacing w:after="0" w:line="255"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64"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Our historical net tangible book value (deficit) as of June 30, 2020 was approximately $(85.0) million or $ (27.90) per share of our common stock. Our historical net tangible book value (deficit) is the amount of our total tangible assets less our total liabilities and convertible preferred stock. Historical net tangible book value (deficit) per share represents historical net tangible book value (deficit) divided by the number of shares of our common stock outstanding as of June 30, 2020.</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Our pro forma net tangible book value (deficit) as of June 30, 2020 was approximately $153.9 million, or $4.93 per share of our common stock. Pro forma net tangible book value (deficit) represents the amount of our total tangible assets less our total liabilities. Pro forma net tangible book value (deficit) per share represents pro forma net tangible book value divided by the total number of shares of our common stock outstanding as of June 30, 2020, after giving effect to (i) the conversion of all shares of our convertible preferred stock outstanding as of June 30, 2020 into an aggregate of 22,866,246 shares of our common stock, which will occur immediately prior to the completion of this offering and (ii) the issuance and sale of 5,321,864 shares of our Series D convertible preferred stock in July 2020 for gross proceeds of $ 70.0 million, and the conversion of such shares into 5,321,864 shares of our common stock, which will occur immediately prior to the completion of this offering.</w:t>
      </w:r>
    </w:p>
    <w:p>
      <w:pPr>
        <w:spacing w:after="0" w:line="18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After giving further effect to our sale of 7,350,000 shares of common stock in this offering at the assumed initial public offering price of $17.00 per share, which is the midpoint of the estimated offering price range set forth on the cover page of this prospectus, and after deducting estimated underwriting discounts and commissions and estimated offering expenses payable by us, our pro forma as adjusted net tangible book value as of June 30, 2020 would have been approximately $266.7 million, or $6.91 per share. This represents an immediate increase in pro forma as adjusted net tangible book value per share of $1.98 to our existing stockholders and an immediate dilution in pro forma as adjusted net tangible book value per share of $10.09 to new investors purchasing common stock in this offering.</w:t>
      </w:r>
    </w:p>
    <w:p>
      <w:pPr>
        <w:sectPr>
          <w:pgSz w:w="11900" w:h="16838" w:orient="portrait"/>
          <w:cols w:equalWidth="0" w:num="1">
            <w:col w:w="11080"/>
          </w:cols>
          <w:pgMar w:left="320" w:top="455" w:right="499" w:bottom="1440" w:gutter="0" w:footer="0" w:header="0"/>
        </w:sectPr>
      </w:pP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this dilution on a per share basis: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Assumed initial public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Historical net tangible book value (deficit) per share as of June 30, 2020</w:t>
      </w:r>
    </w:p>
    <w:p>
      <w:pPr>
        <w:ind w:left="480"/>
        <w:spacing w:after="0"/>
        <w:rPr>
          <w:sz w:val="20"/>
          <w:szCs w:val="20"/>
          <w:color w:val="auto"/>
        </w:rPr>
      </w:pPr>
      <w:r>
        <w:rPr>
          <w:rFonts w:ascii="Arial" w:cs="Arial" w:eastAsia="Arial" w:hAnsi="Arial"/>
          <w:sz w:val="18"/>
          <w:szCs w:val="18"/>
          <w:color w:val="auto"/>
        </w:rPr>
        <w:t>Pro forma increase in net tangible book value (deficit) per share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Pro forma net tangible book value (deficit) per share as of June 30, 2020</w:t>
      </w:r>
    </w:p>
    <w:p>
      <w:pPr>
        <w:spacing w:after="0" w:line="18" w:lineRule="exact"/>
        <w:rPr>
          <w:sz w:val="20"/>
          <w:szCs w:val="20"/>
          <w:color w:val="auto"/>
        </w:rPr>
      </w:pPr>
    </w:p>
    <w:p>
      <w:pPr>
        <w:ind w:left="660" w:hanging="179"/>
        <w:spacing w:after="0" w:line="250" w:lineRule="auto"/>
        <w:rPr>
          <w:sz w:val="20"/>
          <w:szCs w:val="20"/>
          <w:color w:val="auto"/>
        </w:rPr>
      </w:pPr>
      <w:r>
        <w:rPr>
          <w:rFonts w:ascii="Arial" w:cs="Arial" w:eastAsia="Arial" w:hAnsi="Arial"/>
          <w:sz w:val="18"/>
          <w:szCs w:val="18"/>
          <w:color w:val="auto"/>
        </w:rPr>
        <w:t>Increase in pro forma net tangible book value per share attributable to new investors purchasing shares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-272415</wp:posOffset>
            </wp:positionV>
            <wp:extent cx="6995160" cy="316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53" w:lineRule="exact"/>
        <w:rPr>
          <w:sz w:val="20"/>
          <w:szCs w:val="20"/>
          <w:color w:val="auto"/>
        </w:rPr>
      </w:pPr>
    </w:p>
    <w:p>
      <w:pPr>
        <w:ind w:left="120" w:right="2900"/>
        <w:spacing w:after="0" w:line="339" w:lineRule="auto"/>
        <w:rPr>
          <w:sz w:val="20"/>
          <w:szCs w:val="20"/>
          <w:color w:val="auto"/>
        </w:rPr>
      </w:pPr>
      <w:r>
        <w:rPr>
          <w:rFonts w:ascii="Arial" w:cs="Arial" w:eastAsia="Arial" w:hAnsi="Arial"/>
          <w:sz w:val="17"/>
          <w:szCs w:val="17"/>
          <w:color w:val="auto"/>
        </w:rPr>
        <w:t>Pro forma as adjusted net tangible book value per share after this offering Dilution per share to new investors purchasing shares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-189865</wp:posOffset>
            </wp:positionV>
            <wp:extent cx="699516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$17.00</w:t>
      </w:r>
    </w:p>
    <w:p>
      <w:pPr>
        <w:spacing w:after="0" w:line="18" w:lineRule="exact"/>
        <w:rPr>
          <w:sz w:val="20"/>
          <w:szCs w:val="20"/>
          <w:color w:val="auto"/>
        </w:rPr>
      </w:pPr>
    </w:p>
    <w:p>
      <w:pPr>
        <w:jc w:val="right"/>
        <w:ind w:left="180" w:right="960" w:hanging="171"/>
        <w:spacing w:after="0" w:line="245" w:lineRule="auto"/>
        <w:rPr>
          <w:sz w:val="20"/>
          <w:szCs w:val="20"/>
          <w:color w:val="auto"/>
        </w:rPr>
      </w:pPr>
      <w:r>
        <w:rPr>
          <w:rFonts w:ascii="Arial" w:cs="Arial" w:eastAsia="Arial" w:hAnsi="Arial"/>
          <w:sz w:val="18"/>
          <w:szCs w:val="18"/>
          <w:color w:val="auto"/>
        </w:rPr>
        <w:t>$(27.90) 32.83</w:t>
      </w:r>
    </w:p>
    <w:p>
      <w:pPr>
        <w:ind w:left="280"/>
        <w:spacing w:after="0"/>
        <w:rPr>
          <w:sz w:val="20"/>
          <w:szCs w:val="20"/>
          <w:color w:val="auto"/>
        </w:rPr>
      </w:pPr>
      <w:r>
        <w:rPr>
          <w:rFonts w:ascii="Arial" w:cs="Arial" w:eastAsia="Arial" w:hAnsi="Arial"/>
          <w:sz w:val="18"/>
          <w:szCs w:val="18"/>
          <w:color w:val="auto"/>
        </w:rPr>
        <w:t>4.93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-142240</wp:posOffset>
            </wp:positionV>
            <wp:extent cx="3943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3943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3175</wp:posOffset>
            </wp:positionV>
            <wp:extent cx="3600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$10.09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20320</wp:posOffset>
            </wp:positionV>
            <wp:extent cx="3600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8880" w:space="560"/>
            <w:col w:w="1640"/>
          </w:cols>
          <w:pgMar w:left="320" w:top="455" w:right="499" w:bottom="1440" w:gutter="0" w:footer="0" w:header="0"/>
          <w:type w:val="continuous"/>
        </w:sectPr>
      </w:pPr>
    </w:p>
    <w:p>
      <w:pPr>
        <w:ind w:left="120" w:right="80" w:firstLine="551"/>
        <w:spacing w:after="0" w:line="255" w:lineRule="auto"/>
        <w:rPr>
          <w:sz w:val="20"/>
          <w:szCs w:val="20"/>
          <w:color w:val="auto"/>
        </w:rPr>
      </w:pPr>
      <w:r>
        <w:rPr>
          <w:rFonts w:ascii="Arial" w:cs="Arial" w:eastAsia="Arial" w:hAnsi="Arial"/>
          <w:sz w:val="18"/>
          <w:szCs w:val="18"/>
          <w:color w:val="auto"/>
        </w:rPr>
        <w:t>Each $1.00 increase or decrease in the assumed initial public offering price of $17.00 per share, which is the midpoint of the estimated offering price range set forth on the cover page of this prospectus, would increase or decrease, as applicable, the pro forma as adjusted net tangible book value per share after this offering by $0.18 per share and the dilution to new investors purchasing</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5" w:right="499" w:bottom="1440" w:gutter="0" w:footer="0" w:header="0"/>
          <w:type w:val="continuous"/>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common stock in this offering by $0.82 per share, assuming the number of shares offered by us, as set forth on the cover page of this prospectus, remains the same, and after deducting estimated underwriting discounts and commissions and estimated offering expenses payable by us. An increase of 1.0 million shares in the number of shares offered by us would increase the pro forma as adjusted net tangible book value per share after this offering by $0.22 and decrease the dilution per share to new investors participating in this offering by $0.22. A decrease of 1.0 million shares in the number of shares offered by us would decrease the pro forma as adjusted net tangible book value per share after this offering by $0.24 and increase the dilution per share to new investors participating in this offering by $ 0.24, assuming the assumed initial public offering price of $17.00 per share, which is the midpoint of the estimated offering price range set forth on the cover page of this prospectus, remains the same, and after deducting estimated underwriting discounts and commissions and estimated offering expenses payable by us.</w:t>
      </w:r>
    </w:p>
    <w:p>
      <w:pPr>
        <w:spacing w:after="0" w:line="176"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If the underwriters exercise their option to purchase 1,102,500 additional shares of common stock in this offering in full at the assumed initial public offering price of $17.00 per share, which is the midpoint of the estimated offering price range set forth on the cover of this prospectus, and assuming the number of shares offered by us, as set forth on the cover page of this prospectus, remains the same, and after deducting estimated underwriting discounts and commissions and estimated offering expenses payable by us, the pro forma as adjusted net tangible book value per share after this offering would be $7.16 per share, and the dilution in pro forma as adjusted net tangible book value per share to new investors purchasing common stock in this offering would be $9.84 per share.</w:t>
      </w:r>
    </w:p>
    <w:p>
      <w:pPr>
        <w:spacing w:after="0" w:line="17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The following table summarizes, on a pro forma as adjusted basis, as of June 30, 2020, the number of shares of common stock purchased from us on an as converted to common stock basis, the total consideration paid and the weighted-average price per share paid by existing stockholders and by new investors in this offering at the assumed initial public offering price of $17.00 per share, which is the midpoint of the estimated offering price range set forth on the cover page of this prospectus, before deducting estimated underwriting discounts and commissions and estimated offering expenses payable by us.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06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Shares Purchased</w:t>
            </w:r>
          </w:p>
        </w:tc>
        <w:tc>
          <w:tcPr>
            <w:tcW w:w="140" w:type="dxa"/>
            <w:vAlign w:val="bottom"/>
          </w:tcPr>
          <w:p>
            <w:pPr>
              <w:spacing w:after="0"/>
              <w:rPr>
                <w:sz w:val="14"/>
                <w:szCs w:val="14"/>
                <w:color w:val="auto"/>
              </w:rPr>
            </w:pPr>
          </w:p>
        </w:tc>
        <w:tc>
          <w:tcPr>
            <w:tcW w:w="23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Total Consideration</w:t>
            </w: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4"/>
            <w:vMerge w:val="continue"/>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0"/>
        </w:trPr>
        <w:tc>
          <w:tcPr>
            <w:tcW w:w="57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77"/>
        </w:trPr>
        <w:tc>
          <w:tcPr>
            <w:tcW w:w="57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Number</w:t>
            </w:r>
          </w:p>
        </w:tc>
        <w:tc>
          <w:tcPr>
            <w:tcW w:w="2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Percent</w:t>
            </w: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Share</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 before this offering</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31,234,310</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80.95%</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$238,750,802</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65.64%</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Investors participating in this offering</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7,350,000</w:t>
            </w:r>
          </w:p>
        </w:tc>
        <w:tc>
          <w:tcPr>
            <w:tcW w:w="260" w:type="dxa"/>
            <w:vAlign w:val="bottom"/>
          </w:tcPr>
          <w:p>
            <w:pPr>
              <w:spacing w:after="0"/>
              <w:rPr>
                <w:sz w:val="17"/>
                <w:szCs w:val="17"/>
                <w:color w:val="auto"/>
              </w:rPr>
            </w:pPr>
          </w:p>
        </w:tc>
        <w:tc>
          <w:tcPr>
            <w:tcW w:w="8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19.05</w:t>
            </w:r>
          </w:p>
        </w:tc>
        <w:tc>
          <w:tcPr>
            <w:tcW w:w="15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124,950,000</w:t>
            </w:r>
          </w:p>
        </w:tc>
        <w:tc>
          <w:tcPr>
            <w:tcW w:w="9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34.36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38,584,310</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100%</w:t>
            </w:r>
          </w:p>
        </w:tc>
        <w:tc>
          <w:tcPr>
            <w:tcW w:w="15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363,700,802</w:t>
            </w: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table above assumes no exercise of the underwriters’ option to purchase 1,102,500 additional shares in this offering. If the underwriters’ option to purchase additional shares is exercised in full, the number of shares of our common stock held by existing stockholders would be reduced to approximately 78.70% of the total number of shares of our common stock outstanding after this offering, and the number of shares of common stock held by new investors participating in the offering would be increased to approximately 21.30% of the total number of shares outstanding after this offering.</w:t>
      </w:r>
    </w:p>
    <w:p>
      <w:pPr>
        <w:spacing w:after="0" w:line="172" w:lineRule="exact"/>
        <w:rPr>
          <w:sz w:val="20"/>
          <w:szCs w:val="20"/>
          <w:color w:val="auto"/>
        </w:rPr>
      </w:pPr>
    </w:p>
    <w:p>
      <w:pPr>
        <w:ind w:left="120" w:right="200" w:firstLine="551"/>
        <w:spacing w:after="0" w:line="245" w:lineRule="auto"/>
        <w:rPr>
          <w:sz w:val="20"/>
          <w:szCs w:val="20"/>
          <w:color w:val="auto"/>
        </w:rPr>
      </w:pPr>
      <w:r>
        <w:rPr>
          <w:rFonts w:ascii="Arial" w:cs="Arial" w:eastAsia="Arial" w:hAnsi="Arial"/>
          <w:sz w:val="18"/>
          <w:szCs w:val="18"/>
          <w:color w:val="auto"/>
        </w:rPr>
        <w:t>Each $1.00 increase or decrease in the assumed initial public offering price of $17.00 per share, which is the midpoint of the estimated offering price range set forth on the cover page of this prospectus, would increase or decrease, as applicable, the total consideration paid by new investors by approximately $7.4 million, assuming that the number of shares offered by us, as set forth on the cover page of this prospectus, remains the same. An increase or decrease of 1.0 million shares in the number of shares offered by us would increase or decrease, as applicable, the total consideration</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76" w:lineRule="auto"/>
        <w:rPr>
          <w:sz w:val="20"/>
          <w:szCs w:val="20"/>
          <w:color w:val="auto"/>
        </w:rPr>
      </w:pPr>
      <w:r>
        <w:rPr>
          <w:rFonts w:ascii="Arial" w:cs="Arial" w:eastAsia="Arial" w:hAnsi="Arial"/>
          <w:sz w:val="18"/>
          <w:szCs w:val="18"/>
          <w:color w:val="auto"/>
        </w:rPr>
        <w:t>paid by new investors by approximately $17.0 million, assuming the assumed initial public offering price of $17.00 per share, which is the midpoint of the estimated offering price range set forth on the cover page of this prospectus, remains the same.</w:t>
      </w:r>
    </w:p>
    <w:p>
      <w:pPr>
        <w:spacing w:after="0" w:line="145"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The number of shares of our common stock to be outstanding after this offering is based on 25,912,446 shares of our common stock outstanding as of June 30, 2020 (including an aggregate of 22,866,246 shares of common stock issuable upon conversion of our outstanding convertible preferred stock as of June 30, 2020), plus 5,321,864 shares of our common stock issuable pursuant to the conversion of our Series D convertible preferred stock issued and sold in July 2020, and excludes the following:</w:t>
      </w:r>
    </w:p>
    <w:p>
      <w:pPr>
        <w:spacing w:after="0" w:line="76" w:lineRule="exact"/>
        <w:rPr>
          <w:sz w:val="20"/>
          <w:szCs w:val="20"/>
          <w:color w:val="auto"/>
        </w:rPr>
      </w:pPr>
    </w:p>
    <w:p>
      <w:pPr>
        <w:ind w:left="880" w:hanging="224"/>
        <w:spacing w:after="0" w:line="27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3,922,612 shares of common stock issuable upon exercise of options to purchase shares of our common stock outstanding as of June 30, 2020, with a weighted-average exercise price of $2.66 per share;</w:t>
      </w:r>
    </w:p>
    <w:p>
      <w:pPr>
        <w:spacing w:after="0" w:line="50" w:lineRule="exact"/>
        <w:rPr>
          <w:rFonts w:ascii="Arial" w:cs="Arial" w:eastAsia="Arial" w:hAnsi="Arial"/>
          <w:sz w:val="18"/>
          <w:szCs w:val="18"/>
          <w:color w:val="auto"/>
        </w:rPr>
      </w:pPr>
    </w:p>
    <w:p>
      <w:pPr>
        <w:ind w:left="880" w:right="280" w:hanging="224"/>
        <w:spacing w:after="0" w:line="276"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149,472 shares of common stock issuable upon exercise of options to purchase shares of our common stock that we granted after June 30, 2020, with a weighted-average exercise price of $8.53 per share;</w:t>
      </w:r>
    </w:p>
    <w:p>
      <w:pPr>
        <w:spacing w:after="0" w:line="50" w:lineRule="exact"/>
        <w:rPr>
          <w:rFonts w:ascii="Arial" w:cs="Arial" w:eastAsia="Arial" w:hAnsi="Arial"/>
          <w:sz w:val="18"/>
          <w:szCs w:val="18"/>
          <w:color w:val="auto"/>
        </w:rPr>
      </w:pPr>
    </w:p>
    <w:p>
      <w:pPr>
        <w:ind w:left="880" w:right="120" w:hanging="224"/>
        <w:spacing w:after="0" w:line="255"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warrant to purchase an aggregate of 10,800 shares of our Series Seed convertible preferred stock outstanding as of June 30, 2020 that will be converted into a warrant to purchase an aggregate of 10,800 shares of our common stock, with an exercise price of $1.8518 per share, upon the completion of this offering;</w:t>
      </w:r>
    </w:p>
    <w:p>
      <w:pPr>
        <w:spacing w:after="0" w:line="69" w:lineRule="exact"/>
        <w:rPr>
          <w:rFonts w:ascii="Arial" w:cs="Arial" w:eastAsia="Arial" w:hAnsi="Arial"/>
          <w:sz w:val="18"/>
          <w:szCs w:val="18"/>
          <w:color w:val="auto"/>
        </w:rPr>
      </w:pPr>
    </w:p>
    <w:p>
      <w:pPr>
        <w:ind w:left="880" w:right="40" w:hanging="224"/>
        <w:spacing w:after="0" w:line="248"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4,406,374 shares of common stock reserved for future issuance under our 2020 Equity Incentive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75" w:lineRule="exact"/>
        <w:rPr>
          <w:rFonts w:ascii="Arial" w:cs="Arial" w:eastAsia="Arial" w:hAnsi="Arial"/>
          <w:sz w:val="18"/>
          <w:szCs w:val="18"/>
          <w:color w:val="auto"/>
        </w:rPr>
      </w:pPr>
    </w:p>
    <w:p>
      <w:pPr>
        <w:ind w:left="880" w:right="40" w:hanging="224"/>
        <w:spacing w:after="0" w:line="248"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400,752 shares of common stock reserved for issuance under our 2020 Employee Stock Purchase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70"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To the extent that any outstanding options or the warrant are exercised or new options are issued under the equity benefit plans, or we issue additional shares of common stock or other securities convertible into or exercisable or exchangeable for shares of our capital stock in the future, in each case at per share prices below the price to the public in this offering, there will be further dilution to investors participating in this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21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following tables summarize our selected financial data for the periods and as of the dates indicated. We have derived our selected statements of operations data for the years ended December 31, 2018 and 2019 and the selected balance sheet data as of December 31, 2018 and 2019 from our audited financial statements and related notes included elsewhere in this prospectus. For interim periods, we have derived our selected statements of operations data for the six months ended June 30, 2019 and 2020 and the selected balance sheet data as of June 30, 2020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and our interim results are not necessarily indicative of our expected results for the year ending December 31, 2020. You should read the selected financial data below in conjunction with the section titled “Management’s Discussion and Analysis of Financial Condition and Results of Operations” and our financial statements and related notes included elsewhere in this prospectus. The selected financial data in this section are not intended to replace the financial statements and are qualified in their entirety by the financial statements and related notes included elsewhere in this prospectus.</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25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32"/>
              <w:spacing w:after="0" w:line="141"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0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Statement of operations data:</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13,853</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20,759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10,165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203"/>
        </w:trPr>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5,039</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5,878</w:t>
            </w:r>
          </w:p>
        </w:tc>
        <w:tc>
          <w:tcPr>
            <w:tcW w:w="10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2,676</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18,892</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26,637</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12,841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15,739</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1,341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1,301</w:t>
            </w:r>
          </w:p>
        </w:tc>
        <w:tc>
          <w:tcPr>
            <w:tcW w:w="10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714</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7"/>
        </w:trPr>
        <w:tc>
          <w:tcPr>
            <w:tcW w:w="508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5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(17,535)</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(25,344)</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(12,127)</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03"/>
        </w:trPr>
        <w:tc>
          <w:tcPr>
            <w:tcW w:w="5080" w:type="dxa"/>
            <w:vAlign w:val="bottom"/>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3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(17,538)</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(25,352)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(12,129)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r>
              <w:rPr>
                <w:rFonts w:ascii="Arial" w:cs="Arial" w:eastAsia="Arial" w:hAnsi="Arial"/>
                <w:sz w:val="15"/>
                <w:szCs w:val="15"/>
                <w:color w:val="auto"/>
              </w:rPr>
              <w:t>(1)</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(5.82)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(8.35)</w:t>
            </w:r>
          </w:p>
        </w:tc>
        <w:tc>
          <w:tcPr>
            <w:tcW w:w="5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(4.01)</w:t>
            </w:r>
          </w:p>
        </w:tc>
        <w:tc>
          <w:tcPr>
            <w:tcW w:w="5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08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rPr>
              <w:t>Weighted-average common shares outstanding — basic and</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3,012,284</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3,035,243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3,024,097</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3,046,200</w:t>
            </w:r>
          </w:p>
        </w:tc>
        <w:tc>
          <w:tcPr>
            <w:tcW w:w="0" w:type="dxa"/>
            <w:vAlign w:val="bottom"/>
          </w:tcPr>
          <w:p>
            <w:pPr>
              <w:spacing w:after="0"/>
              <w:rPr>
                <w:sz w:val="1"/>
                <w:szCs w:val="1"/>
                <w:color w:val="auto"/>
              </w:rPr>
            </w:pPr>
          </w:p>
        </w:tc>
      </w:tr>
      <w:tr>
        <w:trPr>
          <w:trHeight w:val="179"/>
        </w:trPr>
        <w:tc>
          <w:tcPr>
            <w:tcW w:w="5080" w:type="dxa"/>
            <w:vAlign w:val="bottom"/>
          </w:tcPr>
          <w:p>
            <w:pPr>
              <w:spacing w:after="0" w:line="179" w:lineRule="exact"/>
              <w:rPr>
                <w:sz w:val="20"/>
                <w:szCs w:val="20"/>
                <w:color w:val="auto"/>
              </w:rPr>
            </w:pPr>
            <w:r>
              <w:rPr>
                <w:rFonts w:ascii="Arial" w:cs="Arial" w:eastAsia="Arial" w:hAnsi="Arial"/>
                <w:sz w:val="18"/>
                <w:szCs w:val="18"/>
                <w:color w:val="auto"/>
              </w:rPr>
              <w:t>Pro forma net loss per share attributable to common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080" w:type="dxa"/>
            <w:vAlign w:val="bottom"/>
          </w:tcPr>
          <w:p>
            <w:pPr>
              <w:ind w:left="180"/>
              <w:spacing w:after="0"/>
              <w:rPr>
                <w:sz w:val="20"/>
                <w:szCs w:val="20"/>
                <w:color w:val="auto"/>
              </w:rPr>
            </w:pPr>
            <w:r>
              <w:rPr>
                <w:rFonts w:ascii="Arial" w:cs="Arial" w:eastAsia="Arial" w:hAnsi="Arial"/>
                <w:sz w:val="18"/>
                <w:szCs w:val="18"/>
                <w:color w:val="auto"/>
              </w:rPr>
              <w:t>stockholders — basic and diluted (unaudited)</w:t>
            </w: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179"/>
        </w:trPr>
        <w:tc>
          <w:tcPr>
            <w:tcW w:w="508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rPr>
              <w:t>Pro forma weighted-average number of common shares —</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31,223,353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31,234,310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0"/>
          <w:szCs w:val="20"/>
          <w:color w:val="auto"/>
        </w:rPr>
      </w:pPr>
    </w:p>
    <w:p>
      <w:pPr>
        <w:ind w:left="660" w:right="60" w:hanging="544"/>
        <w:spacing w:after="0" w:line="208" w:lineRule="auto"/>
        <w:tabs>
          <w:tab w:leader="none" w:pos="66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See Note 11 to our audited financial statements and Note 10 to our unaudited condensed financial statements included elsewhere in this prospectus for an explanation of the method used to calculate net loss per share, basic and diluted, pro forma net loss per share, basic and diluted, and the weighted-average number of shares used in the computation of the per share amounts.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280" w:type="dxa"/>
            <w:vAlign w:val="bottom"/>
          </w:tcPr>
          <w:p>
            <w:pPr>
              <w:spacing w:after="0"/>
              <w:rPr>
                <w:sz w:val="15"/>
                <w:szCs w:val="15"/>
                <w:color w:val="auto"/>
              </w:rPr>
            </w:pPr>
          </w:p>
        </w:tc>
        <w:tc>
          <w:tcPr>
            <w:tcW w:w="26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56"/>
        </w:trPr>
        <w:tc>
          <w:tcPr>
            <w:tcW w:w="72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900" w:type="dxa"/>
            <w:vAlign w:val="bottom"/>
          </w:tcPr>
          <w:p>
            <w:pPr>
              <w:jc w:val="center"/>
              <w:ind w:right="34"/>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$ 61,907</w:t>
            </w:r>
          </w:p>
        </w:tc>
        <w:tc>
          <w:tcPr>
            <w:tcW w:w="15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$101,486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86,136</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59,912</w:t>
            </w:r>
          </w:p>
        </w:tc>
        <w:tc>
          <w:tcPr>
            <w:tcW w:w="154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97,570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81,704</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63,458</w:t>
            </w:r>
          </w:p>
        </w:tc>
        <w:tc>
          <w:tcPr>
            <w:tcW w:w="15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103,033</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89,102</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2,370</w:t>
            </w:r>
          </w:p>
        </w:tc>
        <w:tc>
          <w:tcPr>
            <w:tcW w:w="154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107,228</w:t>
            </w:r>
          </w:p>
        </w:tc>
        <w:tc>
          <w:tcPr>
            <w:tcW w:w="15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168,933</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(50,088)</w:t>
            </w:r>
          </w:p>
        </w:tc>
        <w:tc>
          <w:tcPr>
            <w:tcW w:w="15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(75,440)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(90,661)</w:t>
            </w:r>
          </w:p>
        </w:tc>
        <w:tc>
          <w:tcPr>
            <w:tcW w:w="0" w:type="dxa"/>
            <w:vAlign w:val="bottom"/>
          </w:tcPr>
          <w:p>
            <w:pPr>
              <w:spacing w:after="0"/>
              <w:rPr>
                <w:sz w:val="1"/>
                <w:szCs w:val="1"/>
                <w:color w:val="auto"/>
              </w:rPr>
            </w:pP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(46,140)</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(70,474)</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660" w:right="200" w:hanging="544"/>
        <w:spacing w:after="0" w:line="195" w:lineRule="auto"/>
        <w:tabs>
          <w:tab w:leader="none" w:pos="66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financial statements included elsewhere in this prospectus and related notes for further details regarding our current assets and current liabilities.</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2" w:lineRule="exact"/>
        <w:rPr>
          <w:sz w:val="20"/>
          <w:szCs w:val="20"/>
          <w:color w:val="auto"/>
        </w:rPr>
      </w:pPr>
    </w:p>
    <w:p>
      <w:pPr>
        <w:ind w:left="120" w:right="240" w:firstLine="551"/>
        <w:spacing w:after="0" w:line="24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“Selected Financial Data” and the financial statements and related notes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“Risk Factors” and in other parts of this prospectus.</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$ 17.5 million and $25.4 million for the years ended December 31, 2018 and 2019, respectively, and $12.1 million and $15.2 million for the six months ended June 30, 2019 and 2020, respectively. As of June 30, 2020, we had an accumulated deficit of $90.7 million. We do not currently have any product candidates in clinical trials or approved for sale, and we continue to incur significant research and development and general administrative expenses related to our operations.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upon the completion of this offering, we expect to incur additional costs associated with operating as a public company. We expect to continue to incur significant losses for the foreseeable future.</w:t>
      </w:r>
    </w:p>
    <w:p>
      <w:pPr>
        <w:spacing w:after="0" w:line="176"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have funded our operations primarily from the issuance and sale of convertible preferred stock. As of June 30, 2020, we had $86.1 million in cash, cash equivalents and short-term marketable securities. We believe that our existing capital resources, including $70.0 million of gross proceeds received from the sale of 5,321,864 shares of our Series D convertible preferred stock in July 2020, will be sufficient to fund our planned operations for at least 12 months following the date of this offering.</w:t>
      </w:r>
    </w:p>
    <w:p>
      <w:pPr>
        <w:spacing w:after="0" w:line="17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depreciation and maintenance of research equipment and an allocation of related facilities costs. We expense research and development costs as they are incurred.</w:t>
      </w:r>
    </w:p>
    <w:p>
      <w:pPr>
        <w:spacing w:after="0" w:line="17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the cost of services provided by outside contractors and the allocable portions of facility costs and general support services,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w:t>
      </w:r>
    </w:p>
    <w:p>
      <w:pPr>
        <w:spacing w:after="0" w:line="17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60" w:lineRule="auto"/>
        <w:rPr>
          <w:sz w:val="20"/>
          <w:szCs w:val="20"/>
          <w:color w:val="auto"/>
        </w:rPr>
      </w:pPr>
      <w:r>
        <w:rPr>
          <w:rFonts w:ascii="Arial" w:cs="Arial" w:eastAsia="Arial" w:hAnsi="Arial"/>
          <w:sz w:val="17"/>
          <w:szCs w:val="17"/>
          <w:color w:val="auto"/>
        </w:rPr>
        <w:t>services and other consulting fees. Allocated expenses consist of rent expense related to our office and research and development facility. We expect to incur additional expenses as a public company, including expenses related to compliance with the rules and regulations of the Securities and Exchange Commission, and those of any national securities exchange on which our securities are traded, additional insurance expenses, investor relations activities and other administrative and professional services. We expect to increase our headcount significantly to operate as a public company. We also expect to increase our general and administrative expenses as we advance our product candidates through preclinical research and development, manufacturing, clinical development and commercialization.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jc w:val="both"/>
        <w:ind w:left="120" w:right="880" w:firstLine="551"/>
        <w:spacing w:after="0" w:line="306"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33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2019 and 2020</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321"/>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restart"/>
          </w:tcPr>
          <w:p>
            <w:pPr>
              <w:jc w:val="right"/>
              <w:ind w:right="1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7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Borders>
              <w:top w:val="single" w:sz="8" w:color="auto"/>
            </w:tcBorders>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(unaudited)</w:t>
            </w:r>
          </w:p>
        </w:tc>
        <w:tc>
          <w:tcPr>
            <w:tcW w:w="440" w:type="dxa"/>
            <w:vAlign w:val="bottom"/>
          </w:tcPr>
          <w:p>
            <w:pPr>
              <w:spacing w:after="0"/>
              <w:rPr>
                <w:sz w:val="14"/>
                <w:szCs w:val="14"/>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1"/>
              <w:spacing w:after="0" w:line="202" w:lineRule="exact"/>
              <w:rPr>
                <w:sz w:val="20"/>
                <w:szCs w:val="20"/>
                <w:color w:val="auto"/>
              </w:rPr>
            </w:pPr>
            <w:r>
              <w:rPr>
                <w:rFonts w:ascii="Arial" w:cs="Arial" w:eastAsia="Arial" w:hAnsi="Arial"/>
                <w:sz w:val="18"/>
                <w:szCs w:val="18"/>
                <w:color w:val="auto"/>
              </w:rPr>
              <w:t>10,165</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11,760</w:t>
            </w:r>
          </w:p>
        </w:tc>
        <w:tc>
          <w:tcPr>
            <w:tcW w:w="940" w:type="dxa"/>
            <w:vAlign w:val="bottom"/>
            <w:gridSpan w:val="3"/>
          </w:tcPr>
          <w:p>
            <w:pPr>
              <w:jc w:val="right"/>
              <w:ind w:right="41"/>
              <w:spacing w:after="0" w:line="202" w:lineRule="exact"/>
              <w:rPr>
                <w:sz w:val="20"/>
                <w:szCs w:val="20"/>
                <w:color w:val="auto"/>
              </w:rPr>
            </w:pPr>
            <w:r>
              <w:rPr>
                <w:rFonts w:ascii="Arial" w:cs="Arial" w:eastAsia="Arial" w:hAnsi="Arial"/>
                <w:sz w:val="18"/>
                <w:szCs w:val="18"/>
                <w:color w:val="auto"/>
              </w:rPr>
              <w:t>$ 1,595</w:t>
            </w: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2,676</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3,979</w:t>
            </w:r>
          </w:p>
        </w:tc>
        <w:tc>
          <w:tcPr>
            <w:tcW w:w="94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7"/>
        </w:trPr>
        <w:tc>
          <w:tcPr>
            <w:tcW w:w="782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1"/>
              <w:spacing w:after="0" w:line="202" w:lineRule="exact"/>
              <w:rPr>
                <w:sz w:val="20"/>
                <w:szCs w:val="20"/>
                <w:color w:val="auto"/>
              </w:rPr>
            </w:pPr>
            <w:r>
              <w:rPr>
                <w:rFonts w:ascii="Arial" w:cs="Arial" w:eastAsia="Arial" w:hAnsi="Arial"/>
                <w:sz w:val="18"/>
                <w:szCs w:val="18"/>
                <w:color w:val="auto"/>
              </w:rPr>
              <w:t>(12,841)</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1"/>
              <w:spacing w:after="0" w:line="202" w:lineRule="exact"/>
              <w:rPr>
                <w:sz w:val="20"/>
                <w:szCs w:val="20"/>
                <w:color w:val="auto"/>
              </w:rPr>
            </w:pPr>
            <w:r>
              <w:rPr>
                <w:rFonts w:ascii="Arial" w:cs="Arial" w:eastAsia="Arial" w:hAnsi="Arial"/>
                <w:sz w:val="18"/>
                <w:szCs w:val="18"/>
                <w:color w:val="auto"/>
              </w:rPr>
              <w:t>(15,739)</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563</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78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(43)</w:t>
            </w: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520</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9"/>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(12,127)</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(15,219)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(15,221</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3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ind w:left="397"/>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3760" w:type="dxa"/>
            <w:vAlign w:val="bottom"/>
            <w:gridSpan w:val="2"/>
            <w:vMerge w:val="continue"/>
          </w:tcPr>
          <w:p>
            <w:pPr>
              <w:spacing w:after="0"/>
              <w:rPr>
                <w:sz w:val="12"/>
                <w:szCs w:val="12"/>
                <w:color w:val="auto"/>
              </w:rPr>
            </w:pPr>
          </w:p>
        </w:tc>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Borders>
              <w:top w:val="single" w:sz="8" w:color="auto"/>
            </w:tcBorders>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(unaudited)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w:t>
            </w:r>
          </w:p>
        </w:tc>
        <w:tc>
          <w:tcPr>
            <w:tcW w:w="4140" w:type="dxa"/>
            <w:vAlign w:val="bottom"/>
            <w:gridSpan w:val="2"/>
            <w:shd w:val="clear" w:color="auto" w:fill="CCEEFF"/>
          </w:tcPr>
          <w:p>
            <w:pPr>
              <w:ind w:left="39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4,720</w:t>
            </w:r>
          </w:p>
        </w:tc>
        <w:tc>
          <w:tcPr>
            <w:tcW w:w="4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3,207</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Pre-clinical development</w:t>
            </w:r>
          </w:p>
        </w:tc>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4,593</w:t>
            </w: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Personnel related</w:t>
            </w:r>
          </w:p>
        </w:tc>
        <w:tc>
          <w:tcPr>
            <w:tcW w:w="3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2,718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3,640</w:t>
            </w:r>
          </w:p>
        </w:tc>
        <w:tc>
          <w:tcPr>
            <w:tcW w:w="9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320</w:t>
            </w: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4140" w:type="dxa"/>
            <w:vAlign w:val="bottom"/>
            <w:gridSpan w:val="2"/>
            <w:shd w:val="clear" w:color="auto" w:fill="CCEEFF"/>
          </w:tcPr>
          <w:p>
            <w:pPr>
              <w:ind w:left="39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10,165</w:t>
            </w:r>
          </w:p>
        </w:tc>
        <w:tc>
          <w:tcPr>
            <w:tcW w:w="4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11,760</w:t>
            </w:r>
          </w:p>
        </w:tc>
        <w:tc>
          <w:tcPr>
            <w:tcW w:w="9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$ 1,595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80" w:type="dxa"/>
            <w:vAlign w:val="bottom"/>
            <w:vMerge w:val="restart"/>
          </w:tcPr>
          <w:p>
            <w:pPr>
              <w:jc w:val="right"/>
              <w:ind w:right="1990"/>
              <w:spacing w:after="0"/>
              <w:rPr>
                <w:sz w:val="20"/>
                <w:szCs w:val="20"/>
                <w:color w:val="auto"/>
              </w:rPr>
            </w:pPr>
            <w:r>
              <w:rPr>
                <w:rFonts w:ascii="Arial" w:cs="Arial" w:eastAsia="Arial" w:hAnsi="Arial"/>
                <w:sz w:val="18"/>
                <w:szCs w:val="18"/>
                <w:color w:val="auto"/>
              </w:rPr>
              <w:t>105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Research and development expenses were $10.2 million for the six months ended June 30, 2019, compared to $11.8 million for the six months ended June 30, 2020. The increase of $1.6 million was primarily due to the following:</w:t>
      </w:r>
    </w:p>
    <w:p>
      <w:pPr>
        <w:spacing w:after="0" w:line="50" w:lineRule="exact"/>
        <w:rPr>
          <w:sz w:val="20"/>
          <w:szCs w:val="20"/>
          <w:color w:val="auto"/>
        </w:rPr>
      </w:pPr>
    </w:p>
    <w:p>
      <w:pPr>
        <w:ind w:left="880" w:right="320" w:hanging="224"/>
        <w:spacing w:after="0" w:line="276"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was a decrease of $1.5 million in research expense which was driven by a decline in costs from certain of our contract manufacturing initiatives.</w:t>
      </w:r>
    </w:p>
    <w:p>
      <w:pPr>
        <w:spacing w:after="0" w:line="50"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was a $2.0 million increase in our preclinical studies which were primarily associated with increased effort in developing our lead compound PC14586 through IND enabling studies.</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was a $0.9 million increase in compensation and employee related expenses, primarily driven by increases in salaries and bonus expense associated with increased headcount for personnel dedicated to developing PC14586.</w:t>
      </w:r>
    </w:p>
    <w:p>
      <w:pPr>
        <w:spacing w:after="0" w:line="50"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was a $0.2 million increase in stock-based compensation expense associated with increased headcount for personnel dedicated to developing PC14586.</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General and administrative expenses were $2.7 million for the six months ended June 30, 2019, compared to $4.0 million for the six months ended June 30, 2020. The increase of $1.3 million was primarily due to the following:</w:t>
      </w:r>
    </w:p>
    <w:p>
      <w:pPr>
        <w:spacing w:after="0" w:line="50" w:lineRule="exact"/>
        <w:rPr>
          <w:sz w:val="20"/>
          <w:szCs w:val="20"/>
          <w:color w:val="auto"/>
        </w:rPr>
      </w:pPr>
    </w:p>
    <w:p>
      <w:pPr>
        <w:ind w:left="880" w:right="80" w:hanging="224"/>
        <w:spacing w:after="0" w:line="255"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was an increase in salary and bonus expense of $0.5 million and an increase in personnel related costs of $0.2 million associated with increased headcount to develop our financial and administrative staff. These increases were partially offset by a decrease in travel and entertainment expense of $0.1 million.</w:t>
      </w:r>
    </w:p>
    <w:p>
      <w:pPr>
        <w:spacing w:after="0" w:line="69"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was a $0.3 million increase in expense for legal services, which is primarily driven by increased legal costs associated with international patent filings in selected countries during the six months ended June 30, 2020.</w:t>
      </w:r>
    </w:p>
    <w:p>
      <w:pPr>
        <w:spacing w:after="0" w:line="50"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was a $0.2 million increase in administrative consulting, primarily associated with increased costs with augmenting our administrative staff.</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ind w:left="120" w:right="240" w:firstLine="551"/>
        <w:spacing w:after="0" w:line="255" w:lineRule="auto"/>
        <w:rPr>
          <w:sz w:val="20"/>
          <w:szCs w:val="20"/>
          <w:color w:val="auto"/>
        </w:rPr>
      </w:pPr>
      <w:r>
        <w:rPr>
          <w:rFonts w:ascii="Arial" w:cs="Arial" w:eastAsia="Arial" w:hAnsi="Arial"/>
          <w:sz w:val="18"/>
          <w:szCs w:val="18"/>
          <w:color w:val="auto"/>
        </w:rPr>
        <w:t>Interest income, net was $0.7 million for the six months ended June 30, 2019, compared to $0.6 million for the six months ended June 30, 2020. The decrease of $0.1 million is driven by decreased income from cash investments in marketable securities and U.S treasuries during the six months ended June 30, 2020.</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4"/>
          </w:tcPr>
          <w:p>
            <w:pPr>
              <w:jc w:val="right"/>
              <w:ind w:right="64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610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1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060" w:type="dxa"/>
            <w:vAlign w:val="bottom"/>
            <w:gridSpan w:val="3"/>
          </w:tcPr>
          <w:p>
            <w:pPr>
              <w:jc w:val="right"/>
              <w:ind w:right="261"/>
              <w:spacing w:after="0" w:line="202" w:lineRule="exact"/>
              <w:rPr>
                <w:sz w:val="20"/>
                <w:szCs w:val="20"/>
                <w:color w:val="auto"/>
              </w:rPr>
            </w:pPr>
            <w:r>
              <w:rPr>
                <w:rFonts w:ascii="Arial" w:cs="Arial" w:eastAsia="Arial" w:hAnsi="Arial"/>
                <w:sz w:val="18"/>
                <w:szCs w:val="18"/>
                <w:color w:val="auto"/>
                <w:w w:val="99"/>
              </w:rPr>
              <w:t>$ 13,853</w:t>
            </w:r>
          </w:p>
        </w:tc>
        <w:tc>
          <w:tcPr>
            <w:tcW w:w="94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$ 20,759</w:t>
            </w:r>
          </w:p>
        </w:tc>
        <w:tc>
          <w:tcPr>
            <w:tcW w:w="880" w:type="dxa"/>
            <w:vAlign w:val="bottom"/>
            <w:gridSpan w:val="3"/>
          </w:tcPr>
          <w:p>
            <w:pPr>
              <w:jc w:val="right"/>
              <w:ind w:right="41"/>
              <w:spacing w:after="0" w:line="202" w:lineRule="exact"/>
              <w:rPr>
                <w:sz w:val="20"/>
                <w:szCs w:val="20"/>
                <w:color w:val="auto"/>
              </w:rPr>
            </w:pPr>
            <w:r>
              <w:rPr>
                <w:rFonts w:ascii="Arial" w:cs="Arial" w:eastAsia="Arial" w:hAnsi="Arial"/>
                <w:sz w:val="18"/>
                <w:szCs w:val="18"/>
                <w:color w:val="auto"/>
              </w:rPr>
              <w:t>$ 6,906</w:t>
            </w: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5,039</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5,878</w:t>
            </w:r>
          </w:p>
        </w:tc>
        <w:tc>
          <w:tcPr>
            <w:tcW w:w="88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814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3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0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(18,892)</w:t>
            </w:r>
          </w:p>
        </w:tc>
        <w:tc>
          <w:tcPr>
            <w:tcW w:w="94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(26,637)</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1,341</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1,301</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8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04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1,357</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1,293</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(17,535)</w:t>
            </w:r>
          </w:p>
        </w:tc>
        <w:tc>
          <w:tcPr>
            <w:tcW w:w="3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(17,538</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(25,352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3280" w:type="dxa"/>
            <w:vAlign w:val="bottom"/>
            <w:vMerge w:val="restart"/>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auto"/>
            </w:tcBorders>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Research</w:t>
            </w:r>
          </w:p>
        </w:tc>
        <w:tc>
          <w:tcPr>
            <w:tcW w:w="3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7,516</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9,364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$1,848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Pre-clinical development</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1,179</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5,811</w:t>
            </w:r>
          </w:p>
        </w:tc>
        <w:tc>
          <w:tcPr>
            <w:tcW w:w="8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Personnel related</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4,844</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5,282</w:t>
            </w: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314</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302</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13,853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20,759</w:t>
            </w: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Research and development expenses were $13.9 million for the year ended December 31, 2018, compared to $20.8 million for the year ended December 31, 2019. The increase of $6.9 million was primarily due to the following:</w:t>
      </w:r>
    </w:p>
    <w:p>
      <w:pPr>
        <w:spacing w:after="0" w:line="50" w:lineRule="exact"/>
        <w:rPr>
          <w:sz w:val="20"/>
          <w:szCs w:val="20"/>
          <w:color w:val="auto"/>
        </w:rPr>
      </w:pPr>
    </w:p>
    <w:p>
      <w:pPr>
        <w:ind w:left="880" w:right="4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was a $1.8 million increase in research expense, driven primarily by a $1.3 million increase in outside laboratory analytics, $0.8 million increase in technical consulting, partially offset by a decrease of $0.4 million in scientific contract expense.</w:t>
      </w:r>
    </w:p>
    <w:p>
      <w:pPr>
        <w:spacing w:after="0" w:line="50" w:lineRule="exact"/>
        <w:rPr>
          <w:rFonts w:ascii="Arial" w:cs="Arial" w:eastAsia="Arial" w:hAnsi="Arial"/>
          <w:sz w:val="18"/>
          <w:szCs w:val="18"/>
          <w:color w:val="auto"/>
        </w:rPr>
      </w:pPr>
    </w:p>
    <w:p>
      <w:pPr>
        <w:ind w:left="880" w:right="140" w:hanging="224"/>
        <w:spacing w:after="0" w:line="248"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was a $4.6 million increase in preclinical development, which was primarily associated with increased effort in developing our lead candidate, PC14586. The $4.6 million increase in preclinical studies is primarily driven by the initiation of an investigational new drug, or IND, enabling study for the Y220C mutation, for which we incurred approximately $2.0 million in expense for the year ended December 31, 2019.</w:t>
      </w:r>
    </w:p>
    <w:p>
      <w:pPr>
        <w:spacing w:after="0" w:line="75"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was an $0.4 million increase in expenses for salaries and bonuses, primarily driven by increased headcount for personnel dedicated to developing PC14586.</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General and administrative expenses were $5.0 million for the year ended December 31, 2018, compared to $5.9 million for the year ended December 31, 2019. The increase of $0.9 million was primarily due to the following:</w:t>
      </w:r>
    </w:p>
    <w:p>
      <w:pPr>
        <w:spacing w:after="0" w:line="50" w:lineRule="exact"/>
        <w:rPr>
          <w:sz w:val="20"/>
          <w:szCs w:val="20"/>
          <w:color w:val="auto"/>
        </w:rPr>
      </w:pPr>
    </w:p>
    <w:p>
      <w:pPr>
        <w:ind w:left="880" w:right="580" w:hanging="224"/>
        <w:spacing w:after="0" w:line="276"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was a $0.4 million increase in expense for employee compensation, driven primarily by increased salary and bonus expense of $0.5 million, partially offset by a decrease in stock-based compensation expense of $0.2 million.</w:t>
      </w:r>
    </w:p>
    <w:p>
      <w:pPr>
        <w:spacing w:after="0" w:line="50" w:lineRule="exact"/>
        <w:rPr>
          <w:rFonts w:ascii="Arial" w:cs="Arial" w:eastAsia="Arial" w:hAnsi="Arial"/>
          <w:sz w:val="18"/>
          <w:szCs w:val="18"/>
          <w:color w:val="auto"/>
        </w:rPr>
      </w:pPr>
    </w:p>
    <w:p>
      <w:pPr>
        <w:ind w:left="880" w:right="860" w:hanging="224"/>
        <w:spacing w:after="0" w:line="255"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was a $0.3 million increase in expense for outside services, which is primarily driven by increased legal costs of $0.2 million associated for patent expenses and reviews of contracts executed with third-party contract research and manufacturing organizations during the year ended December 31, 2019.</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was a $0.2 million increase associated with facility related expenses during the year ended December 31, 2019.</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ind w:left="120" w:right="20" w:firstLine="551"/>
        <w:spacing w:after="0" w:line="260"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short-term marketable securities and interest costs related to amortization of premiums and discounts on short-term marketable securities. Interest income, net was $1.3 million for the year ended December 31, 2018, compared to $1.3 million for the year ended December 31, 2019. There was no change in interest income, net for the year ended December 31, 2019 and December 31, 2018, due to a decrease in interest income of $0.3 million for the year ended December 31, 2019 compared to the year ended December 31, 2018, which was offset by a decrease of $0.3 million of interest expense for the year ended December 31, 2019 compared to the year ended December 31, 2018.</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left="120" w:firstLine="551"/>
        <w:spacing w:after="0" w:line="258" w:lineRule="auto"/>
        <w:rPr>
          <w:sz w:val="20"/>
          <w:szCs w:val="20"/>
          <w:color w:val="auto"/>
        </w:rPr>
      </w:pPr>
      <w:r>
        <w:rPr>
          <w:rFonts w:ascii="Arial" w:cs="Arial" w:eastAsia="Arial" w:hAnsi="Arial"/>
          <w:sz w:val="17"/>
          <w:szCs w:val="17"/>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June 30, 2020, we had cash, cash equivalents and short-term marketable securities of $86.1 million and an accumulated deficit of $90.7 million. We have financed our operations primarily through issuances of our convertible preferred stock. In 2019, we sold an aggregate of 5,469,606 shares of our Series C convertible preferred stock to accredited investors, generating gross proceeds of $ 61.9 million. In July 2020, we sold an aggregate of 5,321,864 shares of our Series D convertible preferred stock to accredited investors, generating gross proceeds of $70.0 million.</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use our capital resources primarily to fund operating expenses, primarily research and development expenditures. We plan to increase our research and development expenses for the foreseeable future as we continue the preclinical development and move into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20"/>
        <w:spacing w:after="0" w:line="245" w:lineRule="auto"/>
        <w:rPr>
          <w:sz w:val="20"/>
          <w:szCs w:val="20"/>
          <w:color w:val="auto"/>
        </w:rPr>
      </w:pPr>
      <w:r>
        <w:rPr>
          <w:rFonts w:ascii="Arial" w:cs="Arial" w:eastAsia="Arial" w:hAnsi="Arial"/>
          <w:sz w:val="18"/>
          <w:szCs w:val="18"/>
          <w:color w:val="auto"/>
        </w:rPr>
        <w:t>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72"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Due to our significant research and development expenditures, we have generated substantial operating losses in each period since inception. We have incurred an accumulated deficit of $90.7 million through June 30, 2020. We expect to incur substantial additional losses in the future as we expand our research and development activities. Based on our research and development plans, we expect that the net proceeds from this offering, together with our existing cash, cash equivalents and short-term marketable securities, which includes the gross proceeds of approximately $70.0 million from our Series D convertible preferred stock financing, will be sufficient to fund our operations at least through 2023. We have based this estimate on assumptions that may prove to be wrong, however, and we could use our capital resources sooner than we expect.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timing and amount of milestone payments we may receive under any future collaboration agreements;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ability to maintain future licenses and research and development programs and to establish new collaboration arrangements;</w:t>
      </w:r>
    </w:p>
    <w:p>
      <w:pPr>
        <w:spacing w:after="0" w:line="128" w:lineRule="exact"/>
        <w:rPr>
          <w:rFonts w:ascii="Arial" w:cs="Arial" w:eastAsia="Arial" w:hAnsi="Arial"/>
          <w:sz w:val="17"/>
          <w:szCs w:val="17"/>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145" w:lineRule="exact"/>
        <w:rPr>
          <w:sz w:val="20"/>
          <w:szCs w:val="20"/>
          <w:color w:val="auto"/>
        </w:rPr>
      </w:pPr>
    </w:p>
    <w:p>
      <w:pPr>
        <w:ind w:left="120" w:right="240" w:firstLine="551"/>
        <w:spacing w:after="0" w:line="239" w:lineRule="auto"/>
        <w:rPr>
          <w:sz w:val="20"/>
          <w:szCs w:val="20"/>
          <w:color w:val="auto"/>
        </w:rPr>
      </w:pPr>
      <w:r>
        <w:rPr>
          <w:rFonts w:ascii="Arial" w:cs="Arial" w:eastAsia="Arial" w:hAnsi="Arial"/>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 indicated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Six Months Ended</w:t>
            </w:r>
          </w:p>
        </w:tc>
      </w:tr>
      <w:tr>
        <w:trPr>
          <w:trHeight w:val="177"/>
        </w:trPr>
        <w:tc>
          <w:tcPr>
            <w:tcW w:w="6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5"/>
                <w:szCs w:val="15"/>
                <w:color w:val="auto"/>
              </w:rPr>
            </w:pPr>
          </w:p>
        </w:tc>
        <w:tc>
          <w:tcPr>
            <w:tcW w:w="112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6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used in operating activities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(15,178)</w:t>
            </w:r>
          </w:p>
        </w:tc>
        <w:tc>
          <w:tcPr>
            <w:tcW w:w="12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$(22,065)</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(11,211)</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(15,034)</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Cash provided by investing activities</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21,693</w:t>
            </w:r>
          </w:p>
        </w:tc>
        <w:tc>
          <w:tcPr>
            <w:tcW w:w="180" w:type="dxa"/>
            <w:vAlign w:val="bottom"/>
          </w:tcPr>
          <w:p>
            <w:pPr>
              <w:spacing w:after="0"/>
              <w:rPr>
                <w:sz w:val="17"/>
                <w:szCs w:val="17"/>
                <w:color w:val="auto"/>
              </w:rPr>
            </w:pPr>
          </w:p>
        </w:tc>
        <w:tc>
          <w:tcPr>
            <w:tcW w:w="12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3,231</w:t>
            </w:r>
          </w:p>
        </w:tc>
        <w:tc>
          <w:tcPr>
            <w:tcW w:w="16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22,774</w:t>
            </w:r>
          </w:p>
        </w:tc>
        <w:tc>
          <w:tcPr>
            <w:tcW w:w="14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19,931</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(used in) financing activities</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61,805</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(124)</w:t>
            </w: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$ 42,971</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11,663</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4,773</w:t>
            </w:r>
          </w:p>
        </w:tc>
        <w:tc>
          <w:tcPr>
            <w:tcW w:w="12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Net cash used in operating activities for the six months ended June 30, 2019, was $11.2 million, which consisted primarily of net loss of $12.1 million decreased by non-cash charges of $0.7 million and by a net change of $0.3 million in our net operating assets. The non-cash charges primarily consisted of stock-based compensation of $0.4 million and depreciation of $0.2 million. The change in our net operating assets and liabilities was primarily due to an increase in accrued compensation and accrued liabilities and outstanding payables in 2019.</w:t>
      </w:r>
    </w:p>
    <w:p>
      <w:pPr>
        <w:spacing w:after="0" w:line="172" w:lineRule="exact"/>
        <w:rPr>
          <w:sz w:val="20"/>
          <w:szCs w:val="20"/>
          <w:color w:val="auto"/>
        </w:rPr>
      </w:pPr>
    </w:p>
    <w:p>
      <w:pPr>
        <w:ind w:left="120" w:right="40" w:firstLine="551"/>
        <w:spacing w:after="0" w:line="268" w:lineRule="auto"/>
        <w:rPr>
          <w:sz w:val="20"/>
          <w:szCs w:val="20"/>
          <w:color w:val="auto"/>
        </w:rPr>
      </w:pPr>
      <w:r>
        <w:rPr>
          <w:rFonts w:ascii="Arial" w:cs="Arial" w:eastAsia="Arial" w:hAnsi="Arial"/>
          <w:sz w:val="17"/>
          <w:szCs w:val="17"/>
          <w:color w:val="auto"/>
        </w:rPr>
        <w:t>Net cash used in operating activities for the six months ended June 30, 2020, was $ 15.0 million, which consisted primarily of net loss of $15.2 million decreased by non-cash charges of $1.1 million partially offset by a net change of $0.9 million in our net operating assets. The non-cash charges primarily consisted of stock-based compensation of $0.7 million and depreciation and amortization expense of $0.3 million. The change in our net operating assets and liabilities was primarily due to a decrease in outstanding payables in 2020.</w:t>
      </w:r>
    </w:p>
    <w:p>
      <w:pPr>
        <w:spacing w:after="0" w:line="153"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Net cash used in operating activities for the year ended December 31, 2018, was $15.2 million, which consisted primarily of net loss of $17.5 million decreased by non-cash charges of $1.7 million and by a net change of $0.6 million in our net operating assets. The non-cash charges primarily consisted of stock-based compensation of $1.1 million, depreciation of $0.3 million and amortization of premiums on marketable securities of $0.3 million. The change in our net operating assets and liabilities was primarily due to an increase in accrued liabilities and outstanding payables in 2018.</w:t>
      </w:r>
    </w:p>
    <w:p>
      <w:pPr>
        <w:spacing w:after="0" w:line="172"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Net cash used in operating activities for the year ended December 31, 2019, was $22.1 million, which consisted primarily of net loss of $25.4 million decreased by non-cash charges of $1.4 million and by a net change of $1.9 million in our net operating assets. The non-cash charges primarily consisted of stock-based compensation of $0.9 million and depreciation and amortization expense of $0.5 million. The change in our net operating assets and liabilities was primarily due to an increase in outstanding payables in 2019.</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$22.7 million of cash during the six months ended June 30, 2019, which consisted primarily of maturities of marketable securities of $33.6 million, partially offset by purchases of marketable securities of $10.7 million and purchases of property and equipment of $0.1 million.</w:t>
      </w:r>
    </w:p>
    <w:p>
      <w:pPr>
        <w:spacing w:after="0" w:line="16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$19.9 million of cash during the six months ended June 30, 2020, which consisted primarily of maturities of marketable securities of $34.6 million, partially offset by purchases of marketable securities of $14.6 million and purchases of property and equipment of $0.1 million.</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$21.7 million of cash during the year ended December 31, 2018, which consisted primarily of maturities of marketable securities of $70.8 million, partially offset by purchases of marketable securities of $48.7 million and purchases of property and equipment of $0.5 million.</w:t>
      </w:r>
    </w:p>
    <w:p>
      <w:pPr>
        <w:spacing w:after="0" w:line="16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$3.2 million of cash during the year ended December 31, 2019, which consisted primarily of maturities of marketable securities of $46.8 million, partially offset by purchases of marketable securities of $43.5 million and purchases of property and equipment of $0.1 million.</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left="120" w:right="540" w:firstLine="551"/>
        <w:spacing w:after="0" w:line="276" w:lineRule="auto"/>
        <w:rPr>
          <w:sz w:val="20"/>
          <w:szCs w:val="20"/>
          <w:color w:val="auto"/>
        </w:rPr>
      </w:pPr>
      <w:r>
        <w:rPr>
          <w:rFonts w:ascii="Arial" w:cs="Arial" w:eastAsia="Arial" w:hAnsi="Arial"/>
          <w:sz w:val="18"/>
          <w:szCs w:val="18"/>
          <w:color w:val="auto"/>
        </w:rPr>
        <w:t>Our financing activities provided $0.1 million of cash during the six months ended June 30, 2019, which consisted primarily of exercises of stock options of $0.1 million.</w:t>
      </w:r>
    </w:p>
    <w:p>
      <w:pPr>
        <w:spacing w:after="0" w:line="145"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Our financing activities used $0.1 million of cash during the six months ended June 30, 2020, which consisted primarily of payments of deferred offering costs associated with incremental legal, professional and other third-party fees directly associated with the planned IPO.</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cash flows from financing activities for the year ended December 31, 2018.</w:t>
      </w:r>
    </w:p>
    <w:p>
      <w:pPr>
        <w:spacing w:after="0" w:line="212"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Our financing activities provided $61.8 million of cash during the year ended December 31, 2019, which consisted primarily of proceeds from the issuance of our Series C convertible preferred stock of $61.9 million, and proceeds from the exercise of stock options of $0.1 million, partially offset by payments of equity issuance costs of $0.2 million.</w:t>
      </w:r>
    </w:p>
    <w:p>
      <w:pPr>
        <w:spacing w:after="0" w:line="27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Off-Balance Sheet Arrangements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December 31, 2019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Less than</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1 to 3</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3 to 5</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8"/>
              </w:rPr>
              <w:t>More than</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6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years</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5 years</w:t>
            </w:r>
          </w:p>
        </w:tc>
        <w:tc>
          <w:tcPr>
            <w:tcW w:w="440" w:type="dxa"/>
            <w:vAlign w:val="bottom"/>
          </w:tcPr>
          <w:p>
            <w:pPr>
              <w:spacing w:after="0"/>
              <w:rPr>
                <w:sz w:val="15"/>
                <w:szCs w:val="15"/>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Total</w:t>
            </w: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obligations:</w:t>
            </w: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479</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730</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1,213</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730</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1,213</w:t>
            </w:r>
          </w:p>
        </w:tc>
        <w:tc>
          <w:tcPr>
            <w:tcW w:w="6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4" w:lineRule="exact"/>
        <w:rPr>
          <w:sz w:val="20"/>
          <w:szCs w:val="20"/>
          <w:color w:val="auto"/>
        </w:rPr>
      </w:pPr>
    </w:p>
    <w:p>
      <w:pPr>
        <w:ind w:left="120" w:right="380" w:firstLine="551"/>
        <w:spacing w:after="0" w:line="255"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76" w:lineRule="auto"/>
        <w:rPr>
          <w:sz w:val="20"/>
          <w:szCs w:val="20"/>
          <w:color w:val="auto"/>
        </w:rPr>
      </w:pPr>
      <w:r>
        <w:rPr>
          <w:rFonts w:ascii="Arial" w:cs="Arial" w:eastAsia="Arial" w:hAnsi="Arial"/>
          <w:sz w:val="18"/>
          <w:szCs w:val="18"/>
          <w:color w:val="auto"/>
        </w:rPr>
        <w:t>estimates we use are reasonable, due to the inherent uncertainty involved in making those estimates, actual results reported in future periods could differ from those estimates.</w:t>
      </w:r>
    </w:p>
    <w:p>
      <w:pPr>
        <w:spacing w:after="0" w:line="145"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 Accrued Research and Development Costs and Related Prepaid Expenses</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allocated facility-related expenses and external costs of outside vendors, and other direct and indirect costs. Non -refundable research and development advance payments are deferred and capitalized. The capitalized amounts are expensed as the related goods are delivered or services are performed.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all stock options and other stock-based awards granted to our employees, directors, consultants and</w:t>
      </w:r>
    </w:p>
    <w:p>
      <w:pPr>
        <w:spacing w:after="0" w:line="18"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other non-employee service providers based on the fair value on the date of the grant.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 recognized based on grant date fair value over the requisite service period using the accelerated attribution method to the extent achievement of the performance condition is probable. Non-employee option awards are measured at the earlier of the commitment date for performance by the counterparty or the date when the performance is complete, and compensation expense is recognized in the same manner as if we had paid cash for goods or services.</w:t>
      </w:r>
    </w:p>
    <w:p>
      <w:pPr>
        <w:spacing w:after="0" w:line="181"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We classify stock-based compensation expense in our statement of operations in the same way the award recipient’s payroll costs are classified or in which the award recipients’ service payments are classified.</w:t>
      </w:r>
    </w:p>
    <w:p>
      <w:pPr>
        <w:spacing w:after="0" w:line="145"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We use the Black-Scholes option pricing model to estimate the fair value of stock options on the date of grant. Using the Black-Scholes option pricing model requires management to make significant assumptions and judgments. We determined these assumptions for the Black-Scholes option-pricing model as discussed below.</w:t>
      </w:r>
    </w:p>
    <w:p>
      <w:pPr>
        <w:spacing w:after="0" w:line="69" w:lineRule="exact"/>
        <w:rPr>
          <w:sz w:val="20"/>
          <w:szCs w:val="20"/>
          <w:color w:val="auto"/>
        </w:rPr>
      </w:pPr>
    </w:p>
    <w:p>
      <w:pPr>
        <w:ind w:left="880" w:right="100" w:hanging="224"/>
        <w:spacing w:after="0" w:line="248"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As 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have sufficient historical experience for determining the expected term of the stock option awards granted, we based our expected term for awards issued to employees and non-employees using the simplified method which is presumed to be the midpoint between the vesting date and the end of the contracted term.</w:t>
      </w:r>
    </w:p>
    <w:p>
      <w:pPr>
        <w:spacing w:after="0" w:line="75" w:lineRule="exact"/>
        <w:rPr>
          <w:rFonts w:ascii="Arial" w:cs="Arial" w:eastAsia="Arial" w:hAnsi="Arial"/>
          <w:sz w:val="18"/>
          <w:szCs w:val="18"/>
          <w:color w:val="auto"/>
        </w:rPr>
      </w:pPr>
    </w:p>
    <w:p>
      <w:pPr>
        <w:ind w:left="880" w:right="60" w:hanging="224"/>
        <w:spacing w:after="0" w:line="255"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Contractual Term</w:t>
      </w:r>
      <w:r>
        <w:rPr>
          <w:rFonts w:ascii="Arial" w:cs="Arial" w:eastAsia="Arial" w:hAnsi="Arial"/>
          <w:sz w:val="18"/>
          <w:szCs w:val="18"/>
          <w:color w:val="auto"/>
        </w:rPr>
        <w:t>—The contractual term represents the nominal period that the stock-based awards are outstanding.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nature of specific terms of our nonemployee share option arrangements, we determined the contractual term is the appropriate expected term to be used in estimating the fair value of the nonemployee share options.</w:t>
      </w:r>
    </w:p>
    <w:p>
      <w:pPr>
        <w:spacing w:after="0" w:line="69" w:lineRule="exact"/>
        <w:rPr>
          <w:rFonts w:ascii="Arial" w:cs="Arial" w:eastAsia="Arial" w:hAnsi="Arial"/>
          <w:sz w:val="18"/>
          <w:szCs w:val="18"/>
          <w:color w:val="auto"/>
        </w:rPr>
      </w:pPr>
    </w:p>
    <w:p>
      <w:pPr>
        <w:ind w:left="880" w:right="380" w:hanging="224"/>
        <w:spacing w:after="0" w:line="255"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zero-coupon U.S. Treasury constant maturity notes with terms approximately equal to the stock-based awards’ expected term.</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5" w:right="49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60" w:hanging="224"/>
        <w:spacing w:after="0" w:line="255"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do not have a trading history of common stock, the expected volatility was derived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historical stock volatilities of the common stock of several public companies within the industry that we consider to be comparable to our business over a period equivalent to the expected term of the stock-based awards.</w:t>
      </w:r>
    </w:p>
    <w:p>
      <w:pPr>
        <w:spacing w:after="0" w:line="69" w:lineRule="exact"/>
        <w:rPr>
          <w:rFonts w:ascii="Arial" w:cs="Arial" w:eastAsia="Arial" w:hAnsi="Arial"/>
          <w:sz w:val="18"/>
          <w:szCs w:val="18"/>
          <w:color w:val="auto"/>
        </w:rPr>
      </w:pPr>
    </w:p>
    <w:p>
      <w:pPr>
        <w:ind w:left="880" w:right="600" w:hanging="224"/>
        <w:spacing w:after="0" w:line="276"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—The expected dividend rate is zero as we have not paid and do not anticipate paying any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50" w:lineRule="exact"/>
        <w:rPr>
          <w:rFonts w:ascii="Arial" w:cs="Arial" w:eastAsia="Arial" w:hAnsi="Arial"/>
          <w:sz w:val="18"/>
          <w:szCs w:val="18"/>
          <w:color w:val="auto"/>
        </w:rPr>
      </w:pPr>
    </w:p>
    <w:p>
      <w:pPr>
        <w:ind w:left="880" w:right="40" w:hanging="224"/>
        <w:spacing w:after="0" w:line="245"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—Prior to this offering, the fair value of the shares of common stock underlying the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awards has been determined by our board of directors with input from management. Because there has been no public market for our common stock, our board of directors has determined the fair value of our common stock at the time of grant of the stock-based award by considering a number of objective and subjective factors, including having valuations of the common stock performed by a third-party valuation specialist, as further described below.</w:t>
      </w:r>
    </w:p>
    <w:p>
      <w:pPr>
        <w:spacing w:after="0" w:line="17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As of June 30, 2020, the total unrecognized compensation expense related to unvested employee and non-employee options was $3.6 million, which we expect to recognize over an estimated weighted-average period of 2.9 years. Based upon the assumed initial public offering price of $17.00 per share, the midpoint of the price range set forth on the cover page of this prospectus, the aggregate intrinsic value of options outstanding as of June 30, 2020 was $56.3 million, of which $32.5 million related to vested options and $23.8 million related to unvested options.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 xml:space="preserve">The fair value of the shares of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w:t>
      </w:r>
      <w:r>
        <w:rPr>
          <w:rFonts w:ascii="Arial" w:cs="Arial" w:eastAsia="Arial" w:hAnsi="Arial"/>
          <w:sz w:val="18"/>
          <w:szCs w:val="18"/>
          <w:i w:val="1"/>
          <w:iCs w:val="1"/>
          <w:color w:val="auto"/>
        </w:rPr>
        <w:t>American Institute of Certified Public Accountants Practice Aid, Valuation of Privately-Held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Equity Securities Issued as Compensation</w:t>
      </w:r>
      <w:r>
        <w:rPr>
          <w:rFonts w:ascii="Arial" w:cs="Arial" w:eastAsia="Arial" w:hAnsi="Arial"/>
          <w:sz w:val="18"/>
          <w:szCs w:val="18"/>
          <w:color w:val="auto"/>
        </w:rPr>
        <w:t>, our board of directors exercised reasonable judgment and considered numerous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subjective factors to determine the best estimate of the fair value of our common stock at each grant date. These factors include:</w:t>
      </w:r>
    </w:p>
    <w:p>
      <w:pPr>
        <w:spacing w:after="0" w:line="79" w:lineRule="exact"/>
        <w:rPr>
          <w:sz w:val="20"/>
          <w:szCs w:val="20"/>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contemporaneous valuations of our common stock performed by independent third-party specialists;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stock relative to those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prices of common or convertible preferred stock sold to third-party investors by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lack of marketability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history of the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merger or acquisition of our company given prevailing market conditions;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21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In valuing our common stock, our board of directors determined the equity value of our business using the hybrid method with input from management and contemporaneous third-party valuations. The hybrid method is based upon the probability-weighted value across two scenarios, being (i) successfully consummating an initial public offering and (ii) alternative scenarios in which an initial public offering is not consummated. The hybrid method can be a useful alternative to explicitly modeling all probability-weighted expected return scenarios in situations when the company has transparency into one or more near term exits but is unsure about what will occur if current plans do not materialize. In the first scenario, the potential exit date, the probability exit value and the likelihood of interim financings were considered. In the second scenario, which was assigned the residual probability, the potential exit date, the equity volatility, the assumed interest rate, the dividend yield and equity inflection points at which the allocation of proceeds changes were considered. The valuation method considers the total number of shares authorized and outstanding, as well as recent issuances of both preferred and common stock.</w:t>
      </w:r>
    </w:p>
    <w:p>
      <w:pPr>
        <w:spacing w:after="0" w:line="180"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the time to the liquidation event and volatility. Changes in these estimates and assumptions or the relationships between these assumptions impact our valuations as of each valuation date and may have a material impact on the valuation of common stock.</w:t>
      </w:r>
    </w:p>
    <w:p>
      <w:pPr>
        <w:spacing w:after="0" w:line="170"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common stock as reported by Nasdaq on the date of grant. Future expense amounts for any particular period could be affected by changes in our assumptions or market conditions.</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Recent Accounting Pronouncements</w:t>
      </w:r>
    </w:p>
    <w:p>
      <w:pPr>
        <w:spacing w:after="0" w:line="21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For a description of recent accounting pronouncements, see Note 2 of the notes to our audited financial statements for the year ended December 31, 2019 included elsewhere in this prospectus.</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JOBS Act Accounting Election</w:t>
      </w:r>
    </w:p>
    <w:p>
      <w:pPr>
        <w:spacing w:after="0" w:line="21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earlier of (1) the last day of the fiscal year (a) following the fifth anniversary of the closing of this offering, (b) in which we have total annual gross revenue of at least $1.07 billion or (c) in which we are deemed to be a large accelerated filer, which requires the market value of our common stock that is held by non-affiliates to exceed $700 million as of the prior June 30th, and (2) the date on which we have issued more than $1 billion in non-convertible debt during the prior three-year period.</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7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w:t>
      </w:r>
    </w:p>
    <w:p>
      <w:pPr>
        <w:spacing w:after="0" w:line="212" w:lineRule="exact"/>
        <w:rPr>
          <w:sz w:val="20"/>
          <w:szCs w:val="20"/>
          <w:color w:val="auto"/>
        </w:rPr>
      </w:pPr>
    </w:p>
    <w:p>
      <w:pPr>
        <w:jc w:val="both"/>
        <w:ind w:left="120" w:right="100" w:firstLine="551"/>
        <w:spacing w:after="0" w:line="255" w:lineRule="auto"/>
        <w:rPr>
          <w:sz w:val="20"/>
          <w:szCs w:val="20"/>
          <w:color w:val="auto"/>
        </w:rPr>
      </w:pPr>
      <w:r>
        <w:rPr>
          <w:rFonts w:ascii="Arial" w:cs="Arial" w:eastAsia="Arial" w:hAnsi="Arial"/>
          <w:sz w:val="18"/>
          <w:szCs w:val="18"/>
          <w:color w:val="auto"/>
        </w:rPr>
        <w:t>We had cash and cash equivalents of $78.1 million and short-term marketable securities of $8.1 million as of June 30, 2020, which consists of interest-bearing U.S. treasury securities, money market funds and corporate debt securities. Our exposure due to changes in interest rates is not material due to the nature and amount of our money-market funds and short-term marketable securities.</w:t>
      </w:r>
    </w:p>
    <w:p>
      <w:pPr>
        <w:spacing w:after="0" w:line="164"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lead product candidate, PC14586, is an orally available small molecule designed to potently and selectively correct p53 misfolding caused by a specific p53 mutation, Y220C, while sparing wild-type p53. The Y220C mutation is associated with 1.0-1.5% of all cancers, including breast, non-small cell lung cancer, or NSCLC, colorectal, pancreatic and ovarian cancers. PC14586 is designed to restore the wild-type conformation by occupying the crevice created by the tyrosine to cysteine mutation in amino acid position 220. While we are in the early stages of discovery and development of our product candidates and our novel approach is unproven, we are initially pursuing a tumor-agnostic development strategy and received authorization to proceed under an investigational new drug application, or IND, for PC14586 on September 4, 2020 and plan to start a Phase 1/2 clinical trial in the second half of 2020. Our strategy is to seek approval under an accelerated pathway, and we believe our Phase 1/2 clinical trial has the potential to serve as a pivotal study. We cannot guarantee that the U.S. Food and Drug Administration, or FDA, will agree with this strategy of utilizing the Phase 1/2 clinical trial as a pivotal study, which could require us to conduct additional clinical trials prior to seeking FDA approval. In addition, we are leveraging our precision oncology platform to develop a pipeline of oral small molecule product candidates that structurally correct other p53 hotspot mutations to restore their wild-type function.</w:t>
      </w:r>
    </w:p>
    <w:p>
      <w:pPr>
        <w:spacing w:after="0" w:line="18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to our knowledge, in NGS panels. We believe that our precision oncology platform offers a substantial opportunity to expand the number of patients who will benefit from targeted therapies.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innovation engine consists of three complementary drivers:</w:t>
      </w:r>
    </w:p>
    <w:p>
      <w:pPr>
        <w:spacing w:after="0" w:line="117" w:lineRule="exact"/>
        <w:rPr>
          <w:sz w:val="20"/>
          <w:szCs w:val="20"/>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deep understanding of, and leadership in, p53 biology that enable unique insights into targeting individual mutations;</w:t>
      </w:r>
    </w:p>
    <w:p>
      <w:pPr>
        <w:spacing w:after="0" w:line="117"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ability to design structure-based oral small molecule product candidates that selectively target and correct specific p53 mutants; and</w:t>
      </w:r>
    </w:p>
    <w:p>
      <w:pPr>
        <w:spacing w:after="0" w:line="50"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assays, screens, preclinical model systems and biomarkers that enable us to assess and optimize selective small molecule product candidates for specific p53 mutants.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and Pipeline</w:t>
      </w:r>
    </w:p>
    <w:p>
      <w:pPr>
        <w:spacing w:after="0" w:line="214"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We are leveraging our precision oncology platform to develop a pipeline of orally available, potent and highly selective small molecule product candidates that are designed to structurally correct specific mutant p53 proteins to restore their wild-type function.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15087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8604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hanging="544"/>
        <w:spacing w:after="0"/>
        <w:tabs>
          <w:tab w:leader="none" w:pos="66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660" w:right="440" w:hanging="544"/>
        <w:spacing w:after="0" w:line="182" w:lineRule="auto"/>
        <w:tabs>
          <w:tab w:leader="none" w:pos="660" w:val="left"/>
        </w:tabs>
        <w:numPr>
          <w:ilvl w:val="0"/>
          <w:numId w:val="72"/>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660" w:hanging="544"/>
        <w:spacing w:after="0" w:line="183" w:lineRule="auto"/>
        <w:tabs>
          <w:tab w:leader="none" w:pos="660" w:val="left"/>
        </w:tabs>
        <w:numPr>
          <w:ilvl w:val="0"/>
          <w:numId w:val="72"/>
        </w:numPr>
        <w:rPr>
          <w:rFonts w:ascii="Arial" w:cs="Arial" w:eastAsia="Arial" w:hAnsi="Arial"/>
          <w:sz w:val="20"/>
          <w:szCs w:val="20"/>
          <w:color w:val="auto"/>
          <w:vertAlign w:val="superscript"/>
        </w:rPr>
      </w:pPr>
      <w:r>
        <w:rPr>
          <w:rFonts w:ascii="Arial" w:cs="Arial" w:eastAsia="Arial" w:hAnsi="Arial"/>
          <w:sz w:val="12"/>
          <w:szCs w:val="12"/>
          <w:color w:val="auto"/>
        </w:rPr>
        <w:t>In IND-Enabling Studies, we conduct preclinical studies, in accordance with Good Laboratory Practice, or GLP, required for an IND submission to the FDA.</w:t>
      </w:r>
    </w:p>
    <w:p>
      <w:pPr>
        <w:spacing w:after="0" w:line="175"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lead product candidate, PC14586, is designed to be an orally available small molecule that structurally corrects the mutant p53 protein with the Y220C mutation. The Y220C mutation results from tyrosine being substituted by a cysteine at amino acid position 220 and is associated with 1.0-1.5% of all cancers, including breast, NSCLC, colorectal, pancreatic and ovarian cancers. There are currently no products approved by the FDA, and we are not aware of any other products in clinical development, that selectively target the p53 Y220C mutation.</w:t>
      </w:r>
    </w:p>
    <w:p>
      <w:pPr>
        <w:spacing w:after="0" w:line="172"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PC14586 is designed to bind to the mutation site and structurally correct the misfolded p53 protein, while sparing wild-type p53. Our approach has yielded a highly selective product candidate, which we believe can maximize the potential therapeutic potency and minimize risk to normal functioning cells. In preclinical studies, PC14586 has shown selective on-target activity (</w:t>
      </w:r>
      <w:r>
        <w:rPr>
          <w:rFonts w:ascii="Arial" w:cs="Arial" w:eastAsia="Arial" w:hAnsi="Arial"/>
          <w:sz w:val="18"/>
          <w:szCs w:val="18"/>
          <w:i w:val="1"/>
          <w:iCs w:val="1"/>
          <w:color w:val="auto"/>
        </w:rPr>
        <w:t>i.e.</w:t>
      </w:r>
      <w:r>
        <w:rPr>
          <w:rFonts w:ascii="Arial" w:cs="Arial" w:eastAsia="Arial" w:hAnsi="Arial"/>
          <w:sz w:val="18"/>
          <w:szCs w:val="18"/>
          <w:color w:val="auto"/>
        </w:rPr>
        <w:t>, primarily functions in cells with the p53 Y220C mutation) and exhibited robust anti-tumor activity evidenced by potent tumor growth inhibition, or TGI, and strong tumor regression as a single agent. In these studies, PC14586 also induced the expression of Macrophage Inhibitory Cytokine-1, or MIC-1, which is an established biomarker for wild-type p53 activity that can be measured non-invasively in the blood in animal models as well as in humans. Further, preclinical studies have demonstrated significant synergistic effects in combination with anti-PD-1 therapy.</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received authorization to proceed under an IND for PC14586 on September 4, 2020 and plan to start a Phase 1/2 clinical trial in the second half of 2020. The Phase 1 portion of the trial is designed to evaluate escalating doses of PC14586 to determine the maximum tolerated dose, or MTD, and recommended Phase 2 dose of PC14586 when administered orally to patients on a once daily dosing schedule. Safety, tolerability and effects on biomarkers such as MIC-1 will also be assessed. The Phase 1 portion is also designed to assess preliminary anti-tumor efficacy in patients with advanced solid tumors that have the p53 Y220C mutation. In the Phase 2 portion, we plan to evaluate the objective response rate, or ORR, and duration of response, or DoR, in patients with advanced solid tumors that have the p53 Y220C mutation. We initially intend to pursue an accelerated approval on the basis of this Phase 1/2 clinical trial for a tumor-agnostic indication for PC14586, subject to discussions with FDA and other health authorities.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believe the mechanism of action employed by PC14586 to structurally correct a specific p53 mutant and restore wild-type p53 activity could offer a unique value proposition in oncology, and is a strategy that can be pursued broadly across other p53 mutations. To that point, we are developing a pipeline of candidates targeting other p53 hotspot mutations. We have other preclinical programs that have demonstrated biochemical validation, for which we are leveraging knowledge from our PC14586 Y220C program. We believe we can scale our discovery and development principles across all p53 hotspot mutations to streamline the process of further developing our pipeline.</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Strategy</w:t>
      </w:r>
    </w:p>
    <w:p>
      <w:pPr>
        <w:spacing w:after="0" w:line="21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Our vision is to become a leading precision oncology company by designing, developing and commercializing novel precision medicines for every patient with a tumor containing a p53 mutation. We believe we are well positioned to leverage our deep experience in p53 biology, precision oncology platform and foundational knowledge acquired through our lead program to bring these therapies to patients. The critical components of our strategy include:</w:t>
      </w:r>
    </w:p>
    <w:p>
      <w:pPr>
        <w:spacing w:after="0" w:line="74" w:lineRule="exact"/>
        <w:rPr>
          <w:sz w:val="20"/>
          <w:szCs w:val="20"/>
          <w:color w:val="auto"/>
        </w:rPr>
      </w:pPr>
    </w:p>
    <w:p>
      <w:pPr>
        <w:ind w:left="880" w:hanging="224"/>
        <w:spacing w:after="0" w:line="239"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Advancing our lead product candidate, PC14586, as a tumor-agnostic, oral small molecule single-agent therapy for cancer patients</w:t>
      </w:r>
      <w:r>
        <w:rPr>
          <w:rFonts w:ascii="Arial" w:cs="Arial" w:eastAsia="Arial" w:hAnsi="Arial"/>
          <w:sz w:val="18"/>
          <w:szCs w:val="18"/>
          <w:color w:val="auto"/>
        </w:rPr>
        <w:t>. We have designed PC14586 to be an orally available, tumor-agnostic therapeutic and, if approved, 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it could become the first agent to address the p53 Y220C mutation-defined patient population. We intend to advance PC14586 into a Phase 1/2 clinical trial in multiple solid tumors with the p53 Y220C mutation in the second half of 2020. We plan to conduct our clinical trials in this genetically-defined patient population and leverage learnings from recently approved tumor-agnostic drugs to inform the clinical and regulatory pathways for PC14586. If successful in achieving clinically meaningful anti-tumor efficacy in patients with p53 Y220C mutations across a range of solid tumor types, we plan to meet with regulatory authorities to discuss the potential to pursue approval for a tumor-agnostic label under the FDA’s accelerated approval pathway. We also plan to explore pursuing certain expedited regulatory pathways, such as fast track or breakthrough therapy designation, as well as orphan drug designation.</w:t>
      </w:r>
    </w:p>
    <w:p>
      <w:pPr>
        <w:spacing w:after="0" w:line="85" w:lineRule="exact"/>
        <w:rPr>
          <w:rFonts w:ascii="Arial" w:cs="Arial" w:eastAsia="Arial" w:hAnsi="Arial"/>
          <w:sz w:val="18"/>
          <w:szCs w:val="18"/>
          <w:color w:val="auto"/>
        </w:rPr>
      </w:pPr>
    </w:p>
    <w:p>
      <w:pPr>
        <w:ind w:left="880" w:right="2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Harnessing the power of our precision oncology platform to discover and develop additional differentiated product candidates that are designed to precisely target p53 mutations in cancer</w:t>
      </w:r>
      <w:r>
        <w:rPr>
          <w:rFonts w:ascii="Arial" w:cs="Arial" w:eastAsia="Arial" w:hAnsi="Arial"/>
          <w:sz w:val="18"/>
          <w:szCs w:val="18"/>
          <w:color w:val="auto"/>
        </w:rPr>
        <w:t>. We believe that the general principles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PC14586 Y220C program can be applied to other p53 hotspot mutations. Using our extensive in-house expertise, deep understanding of chemistry and decades of experience researching the p53 protein, we believe that we will be able to leverage and apply foundational knowledge from the advancement of PC14586 to the discovery and development of small molecules targeting other p53 mutations. We are advancing several early-stage programs focused on targeting the p53 hotspot mutations, including our R273H program. In an ongoing effort to bring forward new product candidates, we plan to continue to invest in our precision oncology platform, including our high-throughput screens that allow for quantitative visualization of the conversion from mutant to wild-type p53 in a dose-dependent manner.</w:t>
      </w:r>
    </w:p>
    <w:p>
      <w:pPr>
        <w:spacing w:after="0" w:line="81" w:lineRule="exact"/>
        <w:rPr>
          <w:rFonts w:ascii="Arial" w:cs="Arial" w:eastAsia="Arial" w:hAnsi="Arial"/>
          <w:sz w:val="18"/>
          <w:szCs w:val="18"/>
          <w:color w:val="auto"/>
        </w:rPr>
      </w:pPr>
    </w:p>
    <w:p>
      <w:pPr>
        <w:ind w:left="880" w:right="40" w:hanging="224"/>
        <w:spacing w:after="0" w:line="241"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Leveraging the advantages of precision medicine and our expertise in p53 biology to pursue accelerated approval of our product candidates</w:t>
      </w:r>
      <w:r>
        <w:rPr>
          <w:rFonts w:ascii="Arial" w:cs="Arial" w:eastAsia="Arial" w:hAnsi="Arial"/>
          <w:sz w:val="18"/>
          <w:szCs w:val="18"/>
          <w:color w:val="auto"/>
        </w:rPr>
        <w:t>. For our lead product candidate, PC14586, we plan to work with physicians and leading academic</w:t>
      </w:r>
      <w:r>
        <w:rPr>
          <w:rFonts w:ascii="Arial" w:cs="Arial" w:eastAsia="Arial" w:hAnsi="Arial"/>
          <w:sz w:val="18"/>
          <w:szCs w:val="18"/>
          <w:b w:val="1"/>
          <w:bCs w:val="1"/>
          <w:color w:val="auto"/>
        </w:rPr>
        <w:t xml:space="preserve"> </w:t>
      </w:r>
      <w:r>
        <w:rPr>
          <w:rFonts w:ascii="Arial" w:cs="Arial" w:eastAsia="Arial" w:hAnsi="Arial"/>
          <w:sz w:val="18"/>
          <w:szCs w:val="18"/>
          <w:color w:val="auto"/>
        </w:rPr>
        <w:t>centers to enroll patients with the p53 Y220C mutation identified through NGS in our Phase 1/2 clinical trial. In order to rapidly confirm mechanistic and clinical proof of concept, we plan to utilize assays to measure target engagement and biomarkers, as well as assess clinical responses in patients. We expect this strategy, which we also plan to replicate for our other future product candidates, will enable a rapid determination of target engagement and has potential to serve as a predictive marker of efficacy, thereby providing clear decision points for clinical development and efficient advancement of our product candidates towards approval. If we obtain early and encouraging clinical results, we may</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660"/>
        <w:spacing w:after="0" w:line="306" w:lineRule="auto"/>
        <w:rPr>
          <w:sz w:val="20"/>
          <w:szCs w:val="20"/>
          <w:color w:val="auto"/>
        </w:rPr>
      </w:pPr>
      <w:r>
        <w:rPr>
          <w:rFonts w:ascii="Arial" w:cs="Arial" w:eastAsia="Arial" w:hAnsi="Arial"/>
          <w:sz w:val="17"/>
          <w:szCs w:val="17"/>
          <w:color w:val="auto"/>
        </w:rPr>
        <w:t>seek breakthrough therapy designation from the FDA, which, if granted, is intended to expedite clinical development and regulatory review. We intend to maximize the benefit of our product candidates by pursuing a tumor-agnostic approach.</w:t>
      </w:r>
    </w:p>
    <w:p>
      <w:pPr>
        <w:spacing w:after="0" w:line="26" w:lineRule="exact"/>
        <w:rPr>
          <w:sz w:val="20"/>
          <w:szCs w:val="20"/>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Identifying and exploring combination therapy approaches for our product candidates</w:t>
      </w:r>
      <w:r>
        <w:rPr>
          <w:rFonts w:ascii="Arial" w:cs="Arial" w:eastAsia="Arial" w:hAnsi="Arial"/>
          <w:sz w:val="18"/>
          <w:szCs w:val="18"/>
          <w:color w:val="auto"/>
        </w:rPr>
        <w:t>. Though PC14586 has</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demonstrated clear and robust tumor regression as a single agent in preclinical animal models, we believe that the mechanism of correcting the structure of mutant p53 can be complementary to other oncology therapies. Leveraging our expertise in p53 biology, chemistry and cancer pharmacology, we plan to identify and explore combination strategies with multiple cancer therapies. For example, chemotherapy and radiation therapy, approaches that result in DNA damage, upregulate p53 and are natural candidates for combining with our product candidates. In addition, we believe that p53 plays a role in influencing the tumor microenvironment. Therefore, immune checkpoint inhibitors, such as anti-PD-1 and anti-CTLA-4 agents, could also be considered as potential combination agents for use with our product candidates. We believe that our unique expertise will enable us to prioritize therapeutic strategies and optimize outcomes for clinical studies.</w:t>
      </w: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Our History and Team</w:t>
      </w:r>
    </w:p>
    <w:p>
      <w:pPr>
        <w:spacing w:after="0" w:line="214" w:lineRule="exact"/>
        <w:rPr>
          <w:sz w:val="20"/>
          <w:szCs w:val="20"/>
          <w:color w:val="auto"/>
        </w:rPr>
      </w:pPr>
    </w:p>
    <w:p>
      <w:pPr>
        <w:jc w:val="both"/>
        <w:ind w:left="120" w:right="60" w:firstLine="551"/>
        <w:spacing w:after="0" w:line="241" w:lineRule="auto"/>
        <w:rPr>
          <w:sz w:val="20"/>
          <w:szCs w:val="20"/>
          <w:color w:val="auto"/>
        </w:rPr>
      </w:pPr>
      <w:r>
        <w:rPr>
          <w:rFonts w:ascii="Arial" w:cs="Arial" w:eastAsia="Arial" w:hAnsi="Arial"/>
          <w:sz w:val="18"/>
          <w:szCs w:val="18"/>
          <w:color w:val="auto"/>
        </w:rPr>
        <w:t>We believe we have established a leadership position in the discovery and development of oral small molecule therapies targeting mutant p53. Founded in 2013 by David Mack, Ph.D., Arnold Levine, Ph.D. and Thomas Shenk, Ph.D., we have built a precision oncology platform and chemistry discovery engine that leverages more than four decades of research experience and unique insights into the p53 protein. Dr. Levine is widely recognized for his seminal contributions to the field of p53 biology, having discovered p53 in 1979. Our vision has been supported by leading investors, including InterWest Partners, OrbiMed Advisors, Topspin Partners, Euclidean Capital, Nextech Invest, Viking Global Investors, Boxer Capital of Tavistock Group, Osage University Partners, Avoro Capital, RA Capital Management and Wellington Management.</w:t>
      </w:r>
    </w:p>
    <w:p>
      <w:pPr>
        <w:spacing w:after="0" w:line="179"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have assembled a team with significant experience in drug discovery and development, with particular expertise in the discovery of small molecule oncology programs. Dr. Mack, our President and Chief Executive Officer, was previously General Partner at Alta Partners and co-founder and Vice President of Genomic Research at Eos Biotechnology, where he led the advancement of multiple product candidates prior to the company’s sale to Protein Design Labs. Winston Kung, our Chief Operating Officer and Chief Financial Officer, was previously Vice President of Business Development and Global Alliances at Celgene and Chief Business Officer of Celgene Cellular Therapeutics. Leila Alland, M.D., our Chief Medical Officer, is an oncologist with 20 years of experience developing oncology products in the biopharmaceutical industry, most recently as Chief Medical Officer of Affimed. Deepika Jalota, Pharm.D., our Senior Vice President, Regulatory Affairs and Quality Assurance, was previously Vice President in Oncology Regulatory Affairs at Bayer and led the tumor-agnostic regulatory strategy for larotrectinib (Vitrakvi) in collaboration with Loxo Oncology.</w:t>
      </w:r>
    </w:p>
    <w:p>
      <w:pPr>
        <w:spacing w:after="0" w:line="176"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Our company was founded and continues to be supported by world-class scientific advisors, including our scientific advisory board, or SAB:</w:t>
      </w:r>
    </w:p>
    <w:p>
      <w:pPr>
        <w:spacing w:after="0" w:line="50" w:lineRule="exact"/>
        <w:rPr>
          <w:sz w:val="20"/>
          <w:szCs w:val="20"/>
          <w:color w:val="auto"/>
        </w:rPr>
      </w:pPr>
    </w:p>
    <w:p>
      <w:pPr>
        <w:ind w:left="880" w:right="500" w:hanging="224"/>
        <w:spacing w:after="0" w:line="276"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Scott Lowe, Ph.D.—Chair, Cancer Biology and Genetics Program, Sloan Kettering Institute, Chair, Geoffrey Beene Cancer Research Center, Memorial Sloan Kettering and co-founder of ORIC Pharmaceuticals (NASDAQ: ORIC);</w:t>
      </w:r>
    </w:p>
    <w:p>
      <w:pPr>
        <w:spacing w:after="0" w:line="50" w:lineRule="exact"/>
        <w:rPr>
          <w:rFonts w:ascii="Arial" w:cs="Arial" w:eastAsia="Arial" w:hAnsi="Arial"/>
          <w:sz w:val="18"/>
          <w:szCs w:val="18"/>
          <w:color w:val="auto"/>
        </w:rPr>
      </w:pPr>
    </w:p>
    <w:p>
      <w:pPr>
        <w:ind w:left="880" w:right="420" w:hanging="224"/>
        <w:spacing w:after="0" w:line="248"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Richard Heyman, Ph.D.—Vice Chair of the Board of Trustees at the Salk Institute, former Chief Executive Officer of Aragon Pharmaceuticals (acquired by Johnson &amp; Johnson (NYSE: JNJ)), co-founder and former Chief Executive Officer of Seragon Pharmaceuticals (acquired by Roche Genentech), and co-founder, Chairman and former Chief Executive Officer of ORIC Pharmaceuticals (NASDAQ: ORIC);</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120" w:hanging="224"/>
        <w:spacing w:after="0" w:line="245"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Michael Jung, Ph.D.—Distinguished Professor of Chemistry and Biochemistry at University of California, Los Angeles, and co-founder of Aragon Pharmaceuticals (acquired by Johnson &amp; Johnson (NYSE: JNJ)) and Seragon Pharmaceuticals (acquired by Roche Genentech), and co-discovered Xtandi, an FDA-approved prostate cancer drug licensed to Medivation (acquired by Pfizer (NYSE: PFE)), and Erleada, an FDA-approved prostate cancer drug developed by Aragon Pharmaceuticals and acquired by Johnson &amp; Johnson;</w:t>
      </w:r>
    </w:p>
    <w:p>
      <w:pPr>
        <w:spacing w:after="0" w:line="77" w:lineRule="exact"/>
        <w:rPr>
          <w:rFonts w:ascii="Arial" w:cs="Arial" w:eastAsia="Arial" w:hAnsi="Arial"/>
          <w:sz w:val="18"/>
          <w:szCs w:val="18"/>
          <w:color w:val="auto"/>
        </w:rPr>
      </w:pPr>
    </w:p>
    <w:p>
      <w:pPr>
        <w:ind w:left="88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Arnold Levine, Ph.D.—Professor Emeritus, School of Natural Sciences Biology, Institute of Advanced Studies;</w:t>
      </w:r>
    </w:p>
    <w:p>
      <w:pPr>
        <w:spacing w:after="0" w:line="117"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Frank McCormick, Ph.D., F.R.S.—Professor at the UCSF Helen Diller Comprehensive Cancer Center, co-founder of Bridge Bio and Onyx Pharmaceuticals and initiated and led drug discovery efforts that led to approval of Nexavar, an FDA-approved drug for liver, thyroid and kidney cancer;</w:t>
      </w:r>
    </w:p>
    <w:p>
      <w:pPr>
        <w:spacing w:after="0" w:line="69" w:lineRule="exact"/>
        <w:rPr>
          <w:rFonts w:ascii="Arial" w:cs="Arial" w:eastAsia="Arial" w:hAnsi="Arial"/>
          <w:sz w:val="18"/>
          <w:szCs w:val="18"/>
          <w:color w:val="auto"/>
        </w:rPr>
      </w:pPr>
    </w:p>
    <w:p>
      <w:pPr>
        <w:ind w:left="880" w:right="220" w:hanging="224"/>
        <w:spacing w:after="0" w:line="245"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Charles Sawyers, M.D.—Marie-Josee and Henry R. Kravis Chair in Human Oncology and Pathogenesis, Memorial Sloan Kettering, co-founder of Aragon Pharmaceuticals (acquired by Johnson &amp; Johnson (NYSE: JNJ)), Seragon Pharmaceuticals (acquired by Roche Genentech), and ORIC Pharmaceuticals (NASDAQ: ORIC), and member of the board of directors of Novartis (NYSE: NVS), and co-discovered Xtandi, an FDA-approved prostate cancer drug licensed to Medivation and Erleada, an FDA-approved prostate cancer drug developed by Aragon Pharmaceuticals and acquired by Johnson &amp; Johnson;</w:t>
      </w:r>
    </w:p>
    <w:p>
      <w:pPr>
        <w:spacing w:after="0" w:line="7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Thomas Shenk, Ph.D.—James A. Elkins Professor of Life Sciences in the Department of Molecular Biology at Princeton University; and</w:t>
      </w:r>
    </w:p>
    <w:p>
      <w:pPr>
        <w:spacing w:after="0" w:line="50" w:lineRule="exact"/>
        <w:rPr>
          <w:rFonts w:ascii="Arial" w:cs="Arial" w:eastAsia="Arial" w:hAnsi="Arial"/>
          <w:sz w:val="18"/>
          <w:szCs w:val="18"/>
          <w:color w:val="auto"/>
        </w:rPr>
      </w:pPr>
    </w:p>
    <w:p>
      <w:pPr>
        <w:ind w:left="880" w:right="680" w:hanging="224"/>
        <w:spacing w:after="0" w:line="276"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Karen Vousden, Ph.D.—Chief Scientist at Cancer Research UK (CRUK), Group Leader at the Francis Crick Institute and member of the board of directors of Bristol-Myers Squibb (NYSE: BMY).</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Background on Targeted Therapies</w:t>
      </w:r>
    </w:p>
    <w:p>
      <w:pPr>
        <w:spacing w:after="0" w:line="214" w:lineRule="exact"/>
        <w:rPr>
          <w:sz w:val="20"/>
          <w:szCs w:val="20"/>
          <w:color w:val="auto"/>
        </w:rPr>
      </w:pPr>
    </w:p>
    <w:p>
      <w:pPr>
        <w:ind w:left="120" w:right="20" w:firstLine="551"/>
        <w:spacing w:after="0" w:line="268" w:lineRule="auto"/>
        <w:rPr>
          <w:sz w:val="20"/>
          <w:szCs w:val="20"/>
          <w:color w:val="auto"/>
        </w:rPr>
      </w:pPr>
      <w:r>
        <w:rPr>
          <w:rFonts w:ascii="Arial" w:cs="Arial" w:eastAsia="Arial" w:hAnsi="Arial"/>
          <w:sz w:val="17"/>
          <w:szCs w:val="17"/>
          <w:color w:val="auto"/>
        </w:rPr>
        <w:t>Cancer is a genetic disease that results from changes in a person’s DNA that causes cells to grow and divide uncontrollably. Genes are the distinct segments in a cell’s DNA that can encode proteins with structural or functional roles in the body. Alterations in some genes can lead to the expression of mutant proteins with impaired or abnormal functions that can cause cancer. Cancer has historically been both diagnosed and treated based on a tumor’s organ site, such as the breast, lung, ovary, brain, pancreas, skin, bone or blood.</w:t>
      </w:r>
    </w:p>
    <w:p>
      <w:pPr>
        <w:spacing w:after="0" w:line="153"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Recent advances in genetic sequencing and a better understanding of the genetic alterations that drive tumor development and growth have facilitated precise, gene and protein-specific drug development, known as targeted therapies. Targeted therapies have the potential to transform treatment of some cancers by providing robust clinical benefit to patients. In notable cases, the clinical outcomes have been dramatic enough to support expedited regulatory approval of these therapies. For example, Retevmo in RET-altered NSCLC and thyroid cancers (Lilly/Loxo); Ayvakit, in platelet-derived growth factor receptor alpha exon 18 mutated advanced gastrointestinal stromal tumor, or GIST (Blueprint); Rozlytrek, in solid tumors with a neurotrophic tropomyosin receptor kinase, or NTRK, gene fusion (Roche); Vitrakvi, in solid tumors with an NTRK gene fusion (Loxo/Bayer); Zykadia, in anaplastic lymphoma kinase-positive, or ALK+, advanced NSCLC (Novartis); Zelboraf, in advanced melanoma with a BRAF V600E mutation (Roche Genentech); Xalkori, in ALK+ advanced NSCLC (Pfizer); Tagrisso, in epidermal growth factor receptor mutation-positive, or EGFR+, advanced NSCLC (AstraZeneca); and Qinlock, in GIST (Deciphera), all received approvals within five years of first dosing in humans. This time period is significantly reduced compared to conventional drug development timelines. Despite this progress, a recent analysis found that only 8% of patients with metastatic cancer</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76" w:lineRule="auto"/>
        <w:rPr>
          <w:sz w:val="20"/>
          <w:szCs w:val="20"/>
          <w:color w:val="auto"/>
        </w:rPr>
      </w:pPr>
      <w:r>
        <w:rPr>
          <w:rFonts w:ascii="Arial" w:cs="Arial" w:eastAsia="Arial" w:hAnsi="Arial"/>
          <w:sz w:val="18"/>
          <w:szCs w:val="18"/>
          <w:color w:val="auto"/>
        </w:rPr>
        <w:t>have tumors with genetic profiles eligible for treatment with an approved targeted agent, which leaves a large opportunity for precision oncology.</w:t>
      </w:r>
    </w:p>
    <w:p>
      <w:pPr>
        <w:spacing w:after="0" w:line="145"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There is an emerging change in the development of targeted therapies, in that cancer is increasingly being targeted through a tumor-agnostic approach with a focus on selectively targeting a genetic or protein mutation irrespective of tumor type. For example, there are now multiple tumor-agnostic product approvals that are based on a genetic mutation that defines the disease, as opposed to the tumor type. These include the aforementioned Vitrakvi and Rozlytrek approvals as well as the pembrolizumab, or Keytruda, approval in metastatic microsatellite instability-high, or MSI-high, or deficient mismatch repair, or dMMR, solid tumors. We believe that these approvals represent a fundamental shift in the development of targeted therapies and will increasingly lead to cancer being characterized for treatment in a genetic, rather than in a tumor-specific, manner.</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widespread recognition that cancer is a genetic disease, as much as it is a disease defined by histology or anatomical location, has driven the increased use of genetic sequencing, which is now employed by 75% of oncologists in the United States. As technology advances in DNA sequencing, the availability of well-defined genetic sequencing tests increases. With the increasing number of approved targeted therapies, we believe that physicians will seek a better understanding of the underlying genetic and protein abnormalities associated with a specific type of cancer in order to determine the optimal course of treatment. Advances in genetic sequencing are leading to transformations in the discovery and development of new targeted oncology drugs.</w:t>
      </w:r>
    </w:p>
    <w:p>
      <w:pPr>
        <w:spacing w:after="0" w:line="174" w:lineRule="exact"/>
        <w:rPr>
          <w:sz w:val="20"/>
          <w:szCs w:val="20"/>
          <w:color w:val="auto"/>
        </w:rPr>
      </w:pPr>
    </w:p>
    <w:p>
      <w:pPr>
        <w:jc w:val="both"/>
        <w:ind w:left="120" w:firstLine="551"/>
        <w:spacing w:after="0" w:line="257" w:lineRule="auto"/>
        <w:rPr>
          <w:sz w:val="20"/>
          <w:szCs w:val="20"/>
          <w:color w:val="auto"/>
        </w:rPr>
      </w:pPr>
      <w:r>
        <w:rPr>
          <w:rFonts w:ascii="Arial" w:cs="Arial" w:eastAsia="Arial" w:hAnsi="Arial"/>
          <w:sz w:val="17"/>
          <w:szCs w:val="17"/>
          <w:color w:val="auto"/>
        </w:rPr>
        <w:t>We believe p53 mutations are prime targets for precision oncology, as more than 50% of all human cancers contain a p53 mutation. Identifying the specific p53 gene mutation and structurally correcting the corresponding mutant p53 protein can potentially serve as a basis of treatment for these cancers. Diagnostic tests are currently used by physicians in their practice to identify patients with p53 mutations.</w:t>
      </w:r>
    </w:p>
    <w:p>
      <w:pPr>
        <w:spacing w:after="0" w:line="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Given the high prevalence of p53 mutations in cancers, we believe that the best way to address p53-driven cancers is by targeting individual p53 mutations using a precision oncology approach and significantly expand the scope of patients who can benefit from targeted therapies.</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Background on p53, the Most Frequently Mutated Gene in Human Cancer</w:t>
      </w:r>
    </w:p>
    <w:p>
      <w:pPr>
        <w:spacing w:after="0" w:line="21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p53 gene provides instructions for the production of tumor suppression protein p53 and is the most widely mutated gene in human cancers. Since its discovery in 1979 by our co-founder Dr. Arnold Levine, p53 has been extensively studied by researchers and the pharmaceutical industry due to its central role in preventing the initiation and proliferation of liquid and solid tumors. p53 has long been referred to as the “guardian of the genome” because it regulates expression of a number of genes that comprise the body’s first line of cellular defense against cancers. Among its multiple biologic functions, p53 regulates a variety of tumor suppressive responses including cell cycle arrest, DNA repair, senescence and apoptosis.</w:t>
      </w:r>
    </w:p>
    <w:p>
      <w:pPr>
        <w:spacing w:after="0" w:line="174" w:lineRule="exact"/>
        <w:rPr>
          <w:sz w:val="20"/>
          <w:szCs w:val="20"/>
          <w:color w:val="auto"/>
        </w:rPr>
      </w:pPr>
    </w:p>
    <w:p>
      <w:pPr>
        <w:ind w:left="120" w:right="180" w:firstLine="551"/>
        <w:spacing w:after="0" w:line="245" w:lineRule="auto"/>
        <w:rPr>
          <w:sz w:val="20"/>
          <w:szCs w:val="20"/>
          <w:color w:val="auto"/>
        </w:rPr>
      </w:pPr>
      <w:r>
        <w:rPr>
          <w:rFonts w:ascii="Arial" w:cs="Arial" w:eastAsia="Arial" w:hAnsi="Arial"/>
          <w:sz w:val="18"/>
          <w:szCs w:val="18"/>
          <w:color w:val="auto"/>
        </w:rPr>
        <w:t>p53 is a transcriptional factor, which binds to the promoters of its target genes in a sequence-specific manner and regulates their expression, thereby controlling cell cycle and cell death. p53 is activated when DNA damage is detected and when oxidative or other cellular stresses exceed thresholds for normal cellular function. p53 activation facilitates the repair of the cell’s damaged DNA or triggers the killing of the damaged cell through a process known as programmed cell death, or apoptosis, before the cell can become cancerous and proliferate.</w:t>
      </w:r>
    </w:p>
    <w:p>
      <w:pPr>
        <w:spacing w:after="0" w:line="172"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Under normal cellular conditions, p53 is kept at low levels by expression of murine double minute 2, or MDM2, a ubiquitin ligase that promotes the degradation of p53. Upon p53 activation by damaged DNA, and other types of stresses, p53 is upregulated and blocks the proliferation of pre-malignant and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malignant cells or eliminates them by inducing apoptosis. Mutant p53 loses the ability to eliminate the proliferation of pre-malignant and malignant cells. Given that the mutational status of p53 in a tumor has a strong impact on sensitivity to commonly used anti-cancer drugs and radiotherapy, p53 is important both as a biomarker and as a novel therapeutic target.</w:t>
      </w:r>
    </w:p>
    <w:p>
      <w:pPr>
        <w:spacing w:after="0" w:line="16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A key challenge in the development of p53-targeted therapies is the vast number of p53 mutants that lose tumor suppression activity. To date, more than 25,000 unique p53 mutations have been discovered. The p53 hotspot mutations occur as a result of site-specific substitution of one amino acid for another and lead to loss of tumor suppression function for the p53 protein. Strategies that attempt to restore wild-type p53 activity in a non-selective manner (</w:t>
      </w:r>
      <w:r>
        <w:rPr>
          <w:rFonts w:ascii="Arial" w:cs="Arial" w:eastAsia="Arial" w:hAnsi="Arial"/>
          <w:sz w:val="18"/>
          <w:szCs w:val="18"/>
          <w:i w:val="1"/>
          <w:iCs w:val="1"/>
          <w:color w:val="auto"/>
        </w:rPr>
        <w:t>i.e.</w:t>
      </w:r>
      <w:r>
        <w:rPr>
          <w:rFonts w:ascii="Arial" w:cs="Arial" w:eastAsia="Arial" w:hAnsi="Arial"/>
          <w:sz w:val="18"/>
          <w:szCs w:val="18"/>
          <w:color w:val="auto"/>
        </w:rPr>
        <w:t>, regardless of which p53 mutation the tumor is harboring) are likely to face significant challenges, as a “one size fits all” drug is unlikely to address all p53 mutants and could have the potential for off-target toxicities. We are initially focusing on targeting the p53 hotspot mutations.</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Focus: Top Ten Most Frequent p53 Mutations</w:t>
      </w:r>
    </w:p>
    <w:p>
      <w:pPr>
        <w:spacing w:after="0" w:line="243" w:lineRule="exact"/>
        <w:rPr>
          <w:sz w:val="20"/>
          <w:szCs w:val="20"/>
          <w:color w:val="auto"/>
        </w:rPr>
      </w:pPr>
    </w:p>
    <w:tbl>
      <w:tblPr>
        <w:tblLayout w:type="fixed"/>
        <w:tblInd w:w="570" w:type="dxa"/>
        <w:tblCellMar>
          <w:top w:w="0" w:type="dxa"/>
          <w:left w:w="0" w:type="dxa"/>
          <w:bottom w:w="0" w:type="dxa"/>
          <w:right w:w="0" w:type="dxa"/>
        </w:tblCellMar>
      </w:tblPr>
      <w:tr>
        <w:trPr>
          <w:trHeight w:val="250"/>
        </w:trPr>
        <w:tc>
          <w:tcPr>
            <w:tcW w:w="5180" w:type="dxa"/>
            <w:vAlign w:val="bottom"/>
            <w:tcBorders>
              <w:top w:val="single" w:sz="8" w:color="auto"/>
              <w:left w:val="single" w:sz="8" w:color="auto"/>
              <w:bottom w:val="single" w:sz="8" w:color="0C0C0C"/>
            </w:tcBorders>
            <w:shd w:val="clear" w:color="auto" w:fill="0C0C0C"/>
          </w:tcPr>
          <w:p>
            <w:pPr>
              <w:ind w:left="1940"/>
              <w:spacing w:after="0"/>
              <w:rPr>
                <w:sz w:val="20"/>
                <w:szCs w:val="20"/>
                <w:color w:val="auto"/>
              </w:rPr>
            </w:pPr>
            <w:r>
              <w:rPr>
                <w:rFonts w:ascii="Arial" w:cs="Arial" w:eastAsia="Arial" w:hAnsi="Arial"/>
                <w:sz w:val="14"/>
                <w:szCs w:val="14"/>
                <w:b w:val="1"/>
                <w:bCs w:val="1"/>
                <w:color w:val="FFFFFF"/>
              </w:rPr>
              <w:t>p53 Hotspot Mutation</w:t>
            </w:r>
          </w:p>
        </w:tc>
        <w:tc>
          <w:tcPr>
            <w:tcW w:w="4960" w:type="dxa"/>
            <w:vAlign w:val="bottom"/>
            <w:tcBorders>
              <w:top w:val="single" w:sz="8" w:color="auto"/>
              <w:bottom w:val="single" w:sz="8" w:color="0C0C0C"/>
              <w:right w:val="single" w:sz="8" w:color="auto"/>
            </w:tcBorders>
            <w:shd w:val="clear" w:color="auto" w:fill="0C0C0C"/>
          </w:tcPr>
          <w:p>
            <w:pPr>
              <w:jc w:val="center"/>
              <w:ind w:left="152"/>
              <w:spacing w:after="0"/>
              <w:rPr>
                <w:sz w:val="20"/>
                <w:szCs w:val="20"/>
                <w:color w:val="auto"/>
              </w:rPr>
            </w:pPr>
            <w:r>
              <w:rPr>
                <w:rFonts w:ascii="Arial" w:cs="Arial" w:eastAsia="Arial" w:hAnsi="Arial"/>
                <w:sz w:val="14"/>
                <w:szCs w:val="14"/>
                <w:b w:val="1"/>
                <w:bCs w:val="1"/>
                <w:color w:val="FFFFFF"/>
              </w:rPr>
              <w:t>Frequency Among p53 Mutations</w:t>
            </w:r>
          </w:p>
        </w:tc>
      </w:tr>
      <w:tr>
        <w:trPr>
          <w:trHeight w:val="295"/>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R175H</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5.6%</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rPr>
              <w:t>R248Q</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4.4%</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R273H</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4.0%</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R248W</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3.5%</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R273C</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3.3%</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R282W</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2.8%</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G245S</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2.1%</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8"/>
              </w:rPr>
              <w:t>R249S</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2.0%</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8"/>
              </w:rPr>
              <w:t>Y220C</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1.8%</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rPr>
              <w:t>V157F</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1.0%</w:t>
            </w:r>
          </w:p>
        </w:tc>
      </w:tr>
      <w:tr>
        <w:trPr>
          <w:trHeight w:val="69"/>
        </w:trPr>
        <w:tc>
          <w:tcPr>
            <w:tcW w:w="5180" w:type="dxa"/>
            <w:vAlign w:val="bottom"/>
            <w:tcBorders>
              <w:left w:val="single" w:sz="8" w:color="auto"/>
              <w:bottom w:val="single" w:sz="8" w:color="auto"/>
            </w:tcBorders>
          </w:tcPr>
          <w:p>
            <w:pPr>
              <w:spacing w:after="0"/>
              <w:rPr>
                <w:sz w:val="6"/>
                <w:szCs w:val="6"/>
                <w:color w:val="auto"/>
              </w:rPr>
            </w:pPr>
          </w:p>
        </w:tc>
        <w:tc>
          <w:tcPr>
            <w:tcW w:w="4960" w:type="dxa"/>
            <w:vAlign w:val="bottom"/>
            <w:tcBorders>
              <w:bottom w:val="single" w:sz="8" w:color="auto"/>
              <w:right w:val="single" w:sz="8" w:color="auto"/>
            </w:tcBorders>
          </w:tcPr>
          <w:p>
            <w:pPr>
              <w:spacing w:after="0"/>
              <w:rPr>
                <w:sz w:val="6"/>
                <w:szCs w:val="6"/>
                <w:color w:val="auto"/>
              </w:rPr>
            </w:pPr>
          </w:p>
        </w:tc>
      </w:tr>
    </w:tbl>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Approach to Targeting p53</w:t>
      </w:r>
    </w:p>
    <w:p>
      <w:pPr>
        <w:spacing w:after="0" w:line="214"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Our goal is to bring precision oncology therapies to a greater number of patients. Decades of research on p53 has unveiled its potential as a precision oncology target, but prior drug development efforts have been unsuccessful. Mutant p53 historically has been classified as “undruggable” due to the difficulty of restoring wild-type p53 function. Mutations in p53 can give rise to mutant p53 proteins with different conformational structures. As a result, we are designing oral small molecule therapies that selectively target a specific p53 mutation while not binding to wild-type p53. We believe our novel approach designed to reactivate p53 function through the structural correction of mutant p53 protein to wild-type p53 represents a therapeutic strategy to target p53.</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drug development efforts leverage our understanding that:</w:t>
      </w:r>
    </w:p>
    <w:p>
      <w:pPr>
        <w:spacing w:after="0" w:line="117" w:lineRule="exact"/>
        <w:rPr>
          <w:sz w:val="20"/>
          <w:szCs w:val="20"/>
          <w:color w:val="auto"/>
        </w:rPr>
      </w:pPr>
    </w:p>
    <w:p>
      <w:pPr>
        <w:ind w:left="88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mutations throughout the p53 protein can drive tumor formation and growth;</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mutant p53 protein resulting from a specific mutation can potentially be structurally corrected by a selective small molecule, thereby reactivating wild-type p53 activity; and</w:t>
      </w:r>
    </w:p>
    <w:p>
      <w:pPr>
        <w:spacing w:after="0" w:line="50"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p53 hotspot mutations comprise approximately 30% of all p53 mutations and each p53 hotspot mutation represents an individual therapeutic target for drug discovery and development.</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5" w:right="51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believe we can address certain key limitations of current-generation precision oncology therapies by applying our platform to identify and generate therapies that address functional deficiencies associated with specific p53 mutations. We believe this will allow us to design and develop potential therapies for patients for whom there are currently no targeted treatment options.</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Innovation Engine</w:t>
      </w:r>
    </w:p>
    <w:p>
      <w:pPr>
        <w:spacing w:after="0" w:line="214"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We have built an innovation engine that allows us to discover and develop potential targeted therapies for mutant p53-driven cancers. This engine consists of three complementary drivers:</w:t>
      </w:r>
    </w:p>
    <w:p>
      <w:pPr>
        <w:spacing w:after="0" w:line="48" w:lineRule="exact"/>
        <w:rPr>
          <w:sz w:val="20"/>
          <w:szCs w:val="20"/>
          <w:color w:val="auto"/>
        </w:rPr>
      </w:pPr>
    </w:p>
    <w:p>
      <w:pPr>
        <w:ind w:left="880" w:right="160" w:hanging="224"/>
        <w:spacing w:after="0" w:line="242"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Deep understanding of, and leadership in, p53 biology that enable unique insights into targeting individual mutations. </w:t>
      </w:r>
      <w:r>
        <w:rPr>
          <w:rFonts w:ascii="Arial" w:cs="Arial" w:eastAsia="Arial" w:hAnsi="Arial"/>
          <w:sz w:val="18"/>
          <w:szCs w:val="18"/>
          <w:color w:val="auto"/>
        </w:rPr>
        <w:t>We have leveraged more than four decades of research experience and developed unique insights into p53 biology, a field that was discovered and established by our co-founder Dr. Arnold Levine</w:t>
      </w:r>
      <w:r>
        <w:rPr>
          <w:rFonts w:ascii="Arial" w:cs="Arial" w:eastAsia="Arial" w:hAnsi="Arial"/>
          <w:sz w:val="18"/>
          <w:szCs w:val="18"/>
          <w:b w:val="1"/>
          <w:bCs w:val="1"/>
          <w:color w:val="auto"/>
        </w:rPr>
        <w:t>.</w:t>
      </w:r>
      <w:r>
        <w:rPr>
          <w:rFonts w:ascii="Arial" w:cs="Arial" w:eastAsia="Arial" w:hAnsi="Arial"/>
          <w:sz w:val="18"/>
          <w:szCs w:val="18"/>
          <w:color w:val="auto"/>
        </w:rPr>
        <w:t xml:space="preserve"> Additionally, our SAB consists of some of the most prominent thought leaders in p53 biology. p53 is a highly complex gene, and thousands of distinct p53 mutations have been identified. A blanket approach to targeting mutant p53 has significant challenges, as a “one size fits all” drug is unlikely to address all p53 mutants. Based on our experience and expertise, we are developing oral small molecules that each selectively target a specific p53 hotspot mutation.</w:t>
      </w:r>
    </w:p>
    <w:p>
      <w:pPr>
        <w:spacing w:after="0" w:line="78" w:lineRule="exact"/>
        <w:rPr>
          <w:rFonts w:ascii="Arial" w:cs="Arial" w:eastAsia="Arial" w:hAnsi="Arial"/>
          <w:sz w:val="18"/>
          <w:szCs w:val="18"/>
          <w:color w:val="auto"/>
        </w:rPr>
      </w:pPr>
    </w:p>
    <w:p>
      <w:pPr>
        <w:ind w:left="880" w:hanging="224"/>
        <w:spacing w:after="0" w:line="242"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Ability to design structure-based oral small molecule product candidates that selectively target and correct specific p53 mutants</w:t>
      </w:r>
      <w:r>
        <w:rPr>
          <w:rFonts w:ascii="Arial" w:cs="Arial" w:eastAsia="Arial" w:hAnsi="Arial"/>
          <w:sz w:val="18"/>
          <w:szCs w:val="18"/>
          <w:color w:val="auto"/>
        </w:rPr>
        <w:t>. Designing molecules for p53 mutants requires an intricate understanding of the p53 protein structure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biology. We leverage structure-based technologies to give our oral small molecule product candidates access to challenging binding sites that are generally not accessible using conventional small molecule drug discovery approaches. For each target, we take detailed data from structural and functional studies of mutated p53 proteins to design development candidates against the challenging binding sites. Our design techniques help us to identify potential product candidates that can selectively target a single p53 mutant, while sparing wild-type p53.</w:t>
      </w:r>
    </w:p>
    <w:p>
      <w:pPr>
        <w:spacing w:after="0" w:line="78" w:lineRule="exact"/>
        <w:rPr>
          <w:rFonts w:ascii="Arial" w:cs="Arial" w:eastAsia="Arial" w:hAnsi="Arial"/>
          <w:sz w:val="18"/>
          <w:szCs w:val="18"/>
          <w:color w:val="auto"/>
        </w:rPr>
      </w:pPr>
    </w:p>
    <w:p>
      <w:pPr>
        <w:ind w:left="880" w:right="20" w:hanging="224"/>
        <w:spacing w:after="0" w:line="242"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Assays, screens, preclinical model systems and biomarkers that enable us to assess and optimize selective small molecule product candidates for specific p53 mutants. </w:t>
      </w:r>
      <w:r>
        <w:rPr>
          <w:rFonts w:ascii="Arial" w:cs="Arial" w:eastAsia="Arial" w:hAnsi="Arial"/>
          <w:sz w:val="18"/>
          <w:szCs w:val="18"/>
          <w:color w:val="auto"/>
        </w:rPr>
        <w:t>We test our product candidates across a diverse set of human cancer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cells based on research and understanding of bioinformatics and functional genomics. We also identify and monitor pharmacodynamic biomarkers and surrogates of clinical activity to help measure target engagement, including MIC-1, a serum-based biomarker. The biological insights we generate help us to better target various p53 mutants based on their structure and biology. We develop innovative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to advance potential therapeutic programs for translation to the clinic.</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Product Candidate and Development Programs</w:t>
      </w:r>
    </w:p>
    <w:p>
      <w:pPr>
        <w:spacing w:after="0" w:line="214"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We are leveraging our precision oncology platform to develop a pipeline of oral small molecule product candidates that structurally correct other p53 hotspot mutations to restore their wild-type function. We expect to advance our next program, targeting the p53 R273H hotspot mutation, into lead optimization in the first half of 2021. We own worldwide commercial rights to all of our programs.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139700</wp:posOffset>
            </wp:positionV>
            <wp:extent cx="5186045" cy="15087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8604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hanging="544"/>
        <w:spacing w:after="0"/>
        <w:tabs>
          <w:tab w:leader="none" w:pos="6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In Discovery, we screen compounds against biological assays to identify lead compounds with selective activity to our specific mutant p53 target of interest.</w:t>
      </w:r>
    </w:p>
    <w:p>
      <w:pPr>
        <w:spacing w:after="0" w:line="20" w:lineRule="exact"/>
        <w:rPr>
          <w:rFonts w:ascii="Arial" w:cs="Arial" w:eastAsia="Arial" w:hAnsi="Arial"/>
          <w:sz w:val="12"/>
          <w:szCs w:val="12"/>
          <w:color w:val="auto"/>
        </w:rPr>
      </w:pPr>
    </w:p>
    <w:p>
      <w:pPr>
        <w:ind w:left="660" w:right="320" w:hanging="544"/>
        <w:spacing w:after="0" w:line="182" w:lineRule="auto"/>
        <w:tabs>
          <w:tab w:leader="none" w:pos="660" w:val="left"/>
        </w:tabs>
        <w:numPr>
          <w:ilvl w:val="0"/>
          <w:numId w:val="79"/>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660" w:hanging="544"/>
        <w:spacing w:after="0"/>
        <w:tabs>
          <w:tab w:leader="none" w:pos="660" w:val="left"/>
        </w:tabs>
        <w:numPr>
          <w:ilvl w:val="0"/>
          <w:numId w:val="79"/>
        </w:numPr>
        <w:rPr>
          <w:rFonts w:ascii="Arial" w:cs="Arial" w:eastAsia="Arial" w:hAnsi="Arial"/>
          <w:sz w:val="24"/>
          <w:szCs w:val="24"/>
          <w:color w:val="auto"/>
          <w:vertAlign w:val="superscript"/>
        </w:rPr>
      </w:pPr>
      <w:r>
        <w:rPr>
          <w:rFonts w:ascii="Arial" w:cs="Arial" w:eastAsia="Arial" w:hAnsi="Arial"/>
          <w:sz w:val="24"/>
          <w:szCs w:val="24"/>
          <w:color w:val="auto"/>
          <w:vertAlign w:val="superscript"/>
        </w:rPr>
        <w:t>I</w:t>
      </w:r>
      <w:r>
        <w:rPr>
          <w:rFonts w:ascii="Arial" w:cs="Arial" w:eastAsia="Arial" w:hAnsi="Arial"/>
          <w:sz w:val="14"/>
          <w:szCs w:val="14"/>
          <w:color w:val="auto"/>
        </w:rPr>
        <w:t>n IND-Enabling Studies, we conduct preclinical studies, in accordance with Good Laboratory Practice, or GLP, required for an IND submission to the FDA.</w:t>
      </w:r>
    </w:p>
    <w:p>
      <w:pPr>
        <w:spacing w:after="0" w:line="7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expect to initially seek approval of our product candidates in most instances, including with PC14586, at least as a second line therapy or for the patients with no satisfactory alternative treatments or where the cancer has progressed following other treatment. Subsequently, depending on the nature of the clinical data and experience with any approved products or product candidates, if any, we may pursue approval as an earlier line therapy and potentially as a first line therapy. Cancer therapies are sometimes characterized as first line, second line or third line, and the FDA customarily approves new therapies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therapies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PC14586: A Selective Structural Corrector of p53 Y220C Mutations</w:t>
      </w:r>
    </w:p>
    <w:p>
      <w:pPr>
        <w:spacing w:after="0" w:line="104"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p53 is the most widely mutated gene in human cancers. The vast majority of these mutations occur as a result of missense mutations that are found in the DNA binding domain. p53 Y220C mutations are found in approximately 1.0-1.5% of all cancers. This particular mutation is expressed in a large variety of solid tumors, including breast, NSCLC, colorectal, pancreatic and ovarian cancers. Our lead product candidate, PC14586, is designed to be an orally available small molecule that structurally corrects a p53 protein containing the Y220C mutation and restores wild-type p53 function.</w:t>
      </w:r>
    </w:p>
    <w:p>
      <w:pPr>
        <w:spacing w:after="0" w:line="172" w:lineRule="exact"/>
        <w:rPr>
          <w:sz w:val="20"/>
          <w:szCs w:val="20"/>
          <w:color w:val="auto"/>
        </w:rPr>
      </w:pPr>
    </w:p>
    <w:p>
      <w:pPr>
        <w:ind w:left="120" w:right="660" w:firstLine="551"/>
        <w:spacing w:after="0" w:line="276" w:lineRule="auto"/>
        <w:rPr>
          <w:sz w:val="20"/>
          <w:szCs w:val="20"/>
          <w:color w:val="auto"/>
        </w:rPr>
      </w:pPr>
      <w:r>
        <w:rPr>
          <w:rFonts w:ascii="Arial" w:cs="Arial" w:eastAsia="Arial" w:hAnsi="Arial"/>
          <w:sz w:val="18"/>
          <w:szCs w:val="18"/>
          <w:color w:val="auto"/>
        </w:rPr>
        <w:t>Wild-type p53 in a normal cell is at low to undetectable levels, but an external insult such as UV radiation or exposure to a carcinogen results in activation and upregulation of the protein. In these</w:t>
      </w:r>
    </w:p>
    <w:p>
      <w:pPr>
        <w:spacing w:after="0" w:line="7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320" w:top="455" w:right="57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8"/>
          <w:szCs w:val="18"/>
          <w:color w:val="auto"/>
        </w:rPr>
        <w:t>instances, wild-type p53 pauses the cell-cycle to survey the integrity of the genome, and if the damage to the genome cannot be repaired, wild-type p53 induces a potent program of cell suicide or programed cell death. Given wild-type p53’s profound ability to induce cell death, it is tightly regulated in normal biology by an auto-regulatory loop with MDM2, a downstream induced target of wild-type p53 transcriptional activation. MDM2 production results in degradation of the wild-type p53 protein and re-sets the cell to normal function.</w:t>
      </w:r>
    </w:p>
    <w:p>
      <w:pPr>
        <w:spacing w:after="0" w:line="170"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In the case of a mutant p53, there is a loss of p53 wild-type tumor suppression function due to a loss of downstream wild-type p53 transcriptional activation, including MDM2 induction. A consequence of this dysregulation is the inability of the cancer cell to degrade mutant forms of p53, resulting in a profound accumulation of mutant p53 protein in the cancer cell as shown below for the Y220C mutation.</w:t>
      </w:r>
    </w:p>
    <w:p>
      <w:pPr>
        <w:spacing w:after="0" w:line="276" w:lineRule="exact"/>
        <w:rPr>
          <w:sz w:val="20"/>
          <w:szCs w:val="20"/>
          <w:color w:val="auto"/>
        </w:rPr>
      </w:pPr>
    </w:p>
    <w:p>
      <w:pPr>
        <w:jc w:val="center"/>
        <w:ind w:left="460"/>
        <w:spacing w:after="0" w:line="287" w:lineRule="auto"/>
        <w:rPr>
          <w:sz w:val="20"/>
          <w:szCs w:val="20"/>
          <w:color w:val="auto"/>
        </w:rPr>
      </w:pPr>
      <w:r>
        <w:rPr>
          <w:rFonts w:ascii="Arial" w:cs="Arial" w:eastAsia="Arial" w:hAnsi="Arial"/>
          <w:sz w:val="18"/>
          <w:szCs w:val="18"/>
          <w:b w:val="1"/>
          <w:bCs w:val="1"/>
          <w:color w:val="auto"/>
        </w:rPr>
        <w:t>Y220C Mutant Cancer Cell Lines Contain Large Pools of Mutant p53 Y220C Target Protein Relative to Normal (Wild-type p53)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113030</wp:posOffset>
            </wp:positionV>
            <wp:extent cx="5194935" cy="383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9493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While treatment options such as surgery, chemotherapy, radiotherapy and immuno-therapy are available for breast, NSCLC, colorectal, pancreatic and ovarian cancer, there are no approved precision oncology therapies for the subset of patients with the p53 Y220C mutation. The availability of an oral small molecule selective for the p53 Y220C mutation may offer a novel precision therapy for this population, which we believe could potentially change the treatment paradigm for such patients.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PC14586 is an orally available small molecule candidate that is designed to selectively bind to the crevice created by the p53 Y220C mutation, and thereby restore the wild-type p53 protein structure and tumor suppressing function. In the diagram below, wild-type p53 protein is compared with a mutant p53 Y220C protein and a mutant p53 Y220C protein with PC14586 bound in the crevice created by the Y220C mutation. By docking into the crevice created by the Y220C mutation, PC14586 is designed to restore the wild-type p53 conformation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948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8604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 xml:space="preserve">In preclinical studies, we have demonstrated that PC14586 rapidly converts the large protein pool of mutant p53 Y220C protein to wild-type structure. As seen in the graphic below,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study, PC14586 induced conversion of p53 protein from mutant to wild-type conformation in a dose-dependent manner as evidenced by a decrease in mutant p53 and an increase in wild-type p53, while total p53 remains relatively unchanged.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5" w:right="49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 xml:space="preserve">PC14586 Demonstrated Structural Conversion from Mutant p53 to Wild-type p53 </w:t>
      </w:r>
      <w:r>
        <w:rPr>
          <w:rFonts w:ascii="Arial" w:cs="Arial" w:eastAsia="Arial" w:hAnsi="Arial"/>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167005</wp:posOffset>
            </wp:positionV>
            <wp:extent cx="2511425" cy="1954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1142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PC14586 selectively binds to the crevice created by the Y220C mutation as this molecule does not bind to wild-type p53 or other p53 mutations, including R273H, R273C, R175H, G245S, R248Q and R282W, as demonstrated by the lack of activity (as measured by p21 and MDM2 gene expression seen in the below diagrams). PC14586 only binds to the crevice created by the Y220C mutation, and none of the other tested p53 hotspot mutations, as illustrated by gene expression changes in the Y220C cell line when PC14586 is added in increasing concentrations.</w:t>
      </w:r>
    </w:p>
    <w:p>
      <w:pPr>
        <w:spacing w:after="0" w:line="172"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Additionally, structural correction from a mutant p53 Y220C conformation to a wild-type p53 conformation by PC14586 restored p53-dependent transcription of downstream targets, which is indicative of wild-type p53 biological activity. For example, as shown in the figures below, p21 and MDM2, two of the downstream targets of p53, were selectively upregulated by PC14586 in a dose-dependent manner in cells where the p53 Y220C mutation was present. Since PC14586 is highly selective for the p53 Y220C mutation, it did not affect expression levels of p21 and MDM2 in tumor cell lines containing wild-type p53, p53 knock-out or other p53 hotspot mutations as noted in the figures below.</w:t>
      </w:r>
    </w:p>
    <w:p>
      <w:pPr>
        <w:spacing w:after="0" w:line="280"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PC14586 Induced Transcription of p21 and MDM2 Only in Cell Lines with the p53 Y220C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1911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8604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40"/>
          </w:cols>
          <w:pgMar w:left="320" w:top="455" w:right="5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In Vivo Data</w:t>
      </w:r>
    </w:p>
    <w:p>
      <w:pPr>
        <w:spacing w:after="0" w:line="104"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PC14586 exhibited single-agent anti-tumor activity in a dose-dependent manner against mutant p53 Y220C tumors, evidenced by both potent TGI and tumor regression. Oral once-daily dosing over 21 days of PC14586 was well tolerated in nude mice (ten mice per dosing group) bearing p53 Y220C NUGC3 xenograft tumors up to 100 mg/kg, as evidenced by the lack of body weight loss, which is the generally accepted surrogate for toxicity in mice. PC14586 demonstrated dose-dependent TGI at daily doses ranging from 25 mg/kg to 50 mg/kg and robust tumor regression at 100 mg/kg daily.</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PC14586 Single-Agent Administration in NUGC3 Xenograft Model Resulted in Tumor Regression and was Well Tolerated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254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8604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In preclinical animal studies, PC14586 exhibited fast absorption and a durable plasma exposure, which resulted in robust target engagement that correlated with compound exposure levels. Target engagement was demonstrated by the decrease in mutant p53 Y220C and the increase in the wild-type conformation.</w:t>
      </w:r>
    </w:p>
    <w:p>
      <w:pPr>
        <w:spacing w:after="0" w:line="164"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Along with tumor regression, in acute dose pharmacokinetic/pharmacodynamic, or PK/PD, studies, oral administration of PC14586 to xenograft mice bearing the NUGC3 (p53 Y220C) tumors resulted in conversion of mutant p53 protein to a wild-type p53 structure as illustrated in the figure below.</w:t>
      </w:r>
    </w:p>
    <w:p>
      <w:pPr>
        <w:spacing w:after="0" w:line="16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In the mutant p53 structure chart below, the amount of mutant p53 decreased at 8 hours after PC14586 administration on day 1 (QDx1), and the amount of mutant p53 rose by the 24 hour time point compared to the 8 hour time point in the QDx1 portion of the x-axis. When another dose of PC14586 was administered on day 2 (QDx2), the amount of mutant p53 decreased at the 8 hour time point and rose again by the 24 hour time point. The pattern was repeated on the fourth (QDx4) and sixth day (QDx6) of dosing. In all the PC14586 datapoints, the amount of mutant p53 was less than in the vehicle dosing.</w:t>
      </w:r>
    </w:p>
    <w:p>
      <w:pPr>
        <w:spacing w:after="0" w:line="172"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In the wild-type p53 structure chart below, the amount of wild-type p53 increased at 8 hours after PC14586 administration on day 1 (QDx1) and the amount of wild-type p53 decreased by the 24 hour</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time point compared to the 8 hour time point in the QDx1 portion of the x-axis. The pattern was repeated over the second (QDx2), fourth (QDx4) and sixth (QDx6) days of dosing. In all the PC14586 datapoints, the amount of wild-type p53 was greater than in the vehicle dosing.</w:t>
      </w:r>
    </w:p>
    <w:p>
      <w:pPr>
        <w:spacing w:after="0" w:line="16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When viewed together, the two charts below show an increase in wild-type p53 corresponding to a decrease in mutant p53 at each of the PC14586 administration time points, which indicate the conversion of mutant p53 to wild-type p53 with the administration of PC14586.</w:t>
      </w: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In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Studies, PC14586 Converted Mutant p53 Protein to a Wild-type p53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1945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8604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Additionally, functional p53 activity in the tumor tissue was also demonstrated (</w:t>
      </w:r>
      <w:r>
        <w:rPr>
          <w:rFonts w:ascii="Arial" w:cs="Arial" w:eastAsia="Arial" w:hAnsi="Arial"/>
          <w:sz w:val="18"/>
          <w:szCs w:val="18"/>
          <w:i w:val="1"/>
          <w:iCs w:val="1"/>
          <w:color w:val="auto"/>
        </w:rPr>
        <w:t>i.e.</w:t>
      </w:r>
      <w:r>
        <w:rPr>
          <w:rFonts w:ascii="Arial" w:cs="Arial" w:eastAsia="Arial" w:hAnsi="Arial"/>
          <w:sz w:val="18"/>
          <w:szCs w:val="18"/>
          <w:color w:val="auto"/>
        </w:rPr>
        <w:t>, the induction of wild-type p53 downstream targets). As illustrated in the figure below, PC14586 was observed to induce the expression of the p53 downstream target MIC-1, a clinically validated secreted biomarker of wild-type p53 activity. The administration of PC14586 was associated with an increase in MIC-1 plasma concentration in comparison to the vehicle dosing.</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PC14586 Increased Plasma Concentration of MIC-1, a Clinically Validated Secreted Biomarker of Wild-type p53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167005</wp:posOffset>
            </wp:positionV>
            <wp:extent cx="1817370" cy="2194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81737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40"/>
          </w:cols>
          <w:pgMar w:left="320" w:top="455" w:right="5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We also created a human p53 knock-in, or HUPKI, mouse that expresses a p53 protein with the human p53 DNA binding domain and the p53 Y220C mutation. The HUPKI mouse presents spontaneously with sarcomas at six to eight months of age, which we can harvest and re-implant in a wild-type mouse to create a mouse tumor model that has an intact immune system harboring a human p53 Y220C mutation. We believe this syngeneic mouse model better represents the patient population that we expect to see in the clinic, as compared to mouse xenograft models that incorporate human tumors in mice with no immune system. While some patients with cancer may have weakened immune systems, we believe that few patients have severely or fully dysfunctional immunocompromised systems, and therefore a syngeneic model may better represent the patient population than an immunocompromised mouse model. In addition, with an intact immune system, this model allows us to test anti-tumor activity of PC14586 in combination with immune checkpoint inhibitors.</w:t>
      </w:r>
    </w:p>
    <w:p>
      <w:pPr>
        <w:spacing w:after="0" w:line="168"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As illustrated by the table below, PC14586, administered as a single-agent at a daily oral dose of 100 mg/kg for 70 days, demonstrated regression in tumors that express the p53 Y220C mutation in the syngeneic mouse model. The durability of the response was measured by median survival, where median survival for a 100 mg/kg dose of PC14586 exceeded 156 days, even though drug treatment was discontinued on day 70. This compared with median survival of only 17 days for the vehicle.</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Tumor Regression and Durable Responses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167005</wp:posOffset>
            </wp:positionV>
            <wp:extent cx="4774565" cy="18084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7456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Each line represents each mouse where each group has 10 mice</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01"/>
        </w:trPr>
        <w:tc>
          <w:tcPr>
            <w:tcW w:w="1240" w:type="dxa"/>
            <w:vAlign w:val="bottom"/>
            <w:tcBorders>
              <w:right w:val="single" w:sz="8" w:color="auto"/>
            </w:tcBorders>
          </w:tcPr>
          <w:p>
            <w:pPr>
              <w:spacing w:after="0"/>
              <w:rPr>
                <w:sz w:val="17"/>
                <w:szCs w:val="17"/>
                <w:color w:val="auto"/>
              </w:rPr>
            </w:pPr>
          </w:p>
        </w:tc>
        <w:tc>
          <w:tcPr>
            <w:tcW w:w="3800" w:type="dxa"/>
            <w:vAlign w:val="bottom"/>
            <w:tcBorders>
              <w:top w:val="single" w:sz="8" w:color="auto"/>
            </w:tcBorders>
            <w:shd w:val="clear" w:color="auto" w:fill="0C0C0C"/>
          </w:tcPr>
          <w:p>
            <w:pPr>
              <w:spacing w:after="0"/>
              <w:rPr>
                <w:sz w:val="17"/>
                <w:szCs w:val="17"/>
                <w:color w:val="auto"/>
              </w:rPr>
            </w:pPr>
          </w:p>
        </w:tc>
        <w:tc>
          <w:tcPr>
            <w:tcW w:w="3680" w:type="dxa"/>
            <w:vAlign w:val="bottom"/>
            <w:tcBorders>
              <w:top w:val="single" w:sz="8" w:color="auto"/>
              <w:right w:val="single" w:sz="8" w:color="auto"/>
            </w:tcBorders>
            <w:shd w:val="clear" w:color="auto" w:fill="0C0C0C"/>
          </w:tcPr>
          <w:p>
            <w:pPr>
              <w:jc w:val="center"/>
              <w:ind w:left="179"/>
              <w:spacing w:after="0"/>
              <w:rPr>
                <w:sz w:val="20"/>
                <w:szCs w:val="20"/>
                <w:color w:val="auto"/>
              </w:rPr>
            </w:pPr>
            <w:r>
              <w:rPr>
                <w:rFonts w:ascii="Arial" w:cs="Arial" w:eastAsia="Arial" w:hAnsi="Arial"/>
                <w:sz w:val="14"/>
                <w:szCs w:val="14"/>
                <w:b w:val="1"/>
                <w:bCs w:val="1"/>
                <w:color w:val="FFFFFF"/>
              </w:rPr>
              <w:t>Median Survival Time</w:t>
            </w:r>
          </w:p>
        </w:tc>
      </w:tr>
      <w:tr>
        <w:trPr>
          <w:trHeight w:val="211"/>
        </w:trPr>
        <w:tc>
          <w:tcPr>
            <w:tcW w:w="1240" w:type="dxa"/>
            <w:vAlign w:val="bottom"/>
            <w:tcBorders>
              <w:right w:val="single" w:sz="8" w:color="auto"/>
            </w:tcBorders>
          </w:tcPr>
          <w:p>
            <w:pPr>
              <w:spacing w:after="0"/>
              <w:rPr>
                <w:sz w:val="18"/>
                <w:szCs w:val="18"/>
                <w:color w:val="auto"/>
              </w:rPr>
            </w:pPr>
          </w:p>
        </w:tc>
        <w:tc>
          <w:tcPr>
            <w:tcW w:w="3800" w:type="dxa"/>
            <w:vAlign w:val="bottom"/>
            <w:tcBorders>
              <w:bottom w:val="single" w:sz="8" w:color="0C0C0C"/>
            </w:tcBorders>
            <w:shd w:val="clear" w:color="auto" w:fill="0C0C0C"/>
          </w:tcPr>
          <w:p>
            <w:pPr>
              <w:jc w:val="center"/>
              <w:ind w:left="56"/>
              <w:spacing w:after="0"/>
              <w:rPr>
                <w:sz w:val="20"/>
                <w:szCs w:val="20"/>
                <w:color w:val="auto"/>
              </w:rPr>
            </w:pPr>
            <w:r>
              <w:rPr>
                <w:rFonts w:ascii="Arial" w:cs="Arial" w:eastAsia="Arial" w:hAnsi="Arial"/>
                <w:sz w:val="14"/>
                <w:szCs w:val="14"/>
                <w:b w:val="1"/>
                <w:bCs w:val="1"/>
                <w:color w:val="FFFFFF"/>
                <w:w w:val="99"/>
              </w:rPr>
              <w:t>Group</w:t>
            </w:r>
          </w:p>
        </w:tc>
        <w:tc>
          <w:tcPr>
            <w:tcW w:w="3680" w:type="dxa"/>
            <w:vAlign w:val="bottom"/>
            <w:tcBorders>
              <w:bottom w:val="single" w:sz="8" w:color="0C0C0C"/>
              <w:right w:val="single" w:sz="8" w:color="auto"/>
            </w:tcBorders>
            <w:shd w:val="clear" w:color="auto" w:fill="0C0C0C"/>
          </w:tcPr>
          <w:p>
            <w:pPr>
              <w:jc w:val="center"/>
              <w:ind w:left="159"/>
              <w:spacing w:after="0"/>
              <w:rPr>
                <w:sz w:val="20"/>
                <w:szCs w:val="20"/>
                <w:color w:val="auto"/>
              </w:rPr>
            </w:pPr>
            <w:r>
              <w:rPr>
                <w:rFonts w:ascii="Arial" w:cs="Arial" w:eastAsia="Arial" w:hAnsi="Arial"/>
                <w:sz w:val="14"/>
                <w:szCs w:val="14"/>
                <w:b w:val="1"/>
                <w:bCs w:val="1"/>
                <w:color w:val="FFFFFF"/>
              </w:rPr>
              <w:t>(Days)</w:t>
            </w:r>
          </w:p>
        </w:tc>
      </w:tr>
      <w:tr>
        <w:trPr>
          <w:trHeight w:val="274"/>
        </w:trPr>
        <w:tc>
          <w:tcPr>
            <w:tcW w:w="1240" w:type="dxa"/>
            <w:vAlign w:val="bottom"/>
            <w:tcBorders>
              <w:right w:val="single" w:sz="8" w:color="auto"/>
            </w:tcBorders>
          </w:tcPr>
          <w:p>
            <w:pPr>
              <w:spacing w:after="0"/>
              <w:rPr>
                <w:sz w:val="23"/>
                <w:szCs w:val="23"/>
                <w:color w:val="auto"/>
              </w:rPr>
            </w:pPr>
          </w:p>
        </w:tc>
        <w:tc>
          <w:tcPr>
            <w:tcW w:w="3800" w:type="dxa"/>
            <w:vAlign w:val="bottom"/>
          </w:tcPr>
          <w:p>
            <w:pPr>
              <w:jc w:val="center"/>
              <w:ind w:left="56"/>
              <w:spacing w:after="0"/>
              <w:rPr>
                <w:sz w:val="20"/>
                <w:szCs w:val="20"/>
                <w:color w:val="auto"/>
              </w:rPr>
            </w:pPr>
            <w:r>
              <w:rPr>
                <w:rFonts w:ascii="Arial" w:cs="Arial" w:eastAsia="Arial" w:hAnsi="Arial"/>
                <w:sz w:val="18"/>
                <w:szCs w:val="18"/>
                <w:color w:val="auto"/>
                <w:w w:val="98"/>
              </w:rPr>
              <w:t>Vehicle</w:t>
            </w:r>
          </w:p>
        </w:tc>
        <w:tc>
          <w:tcPr>
            <w:tcW w:w="3680" w:type="dxa"/>
            <w:vAlign w:val="bottom"/>
            <w:tcBorders>
              <w:right w:val="single" w:sz="8" w:color="auto"/>
            </w:tcBorders>
          </w:tcPr>
          <w:p>
            <w:pPr>
              <w:jc w:val="right"/>
              <w:ind w:right="1539"/>
              <w:spacing w:after="0"/>
              <w:rPr>
                <w:sz w:val="20"/>
                <w:szCs w:val="20"/>
                <w:color w:val="auto"/>
              </w:rPr>
            </w:pPr>
            <w:r>
              <w:rPr>
                <w:rFonts w:ascii="Arial" w:cs="Arial" w:eastAsia="Arial" w:hAnsi="Arial"/>
                <w:sz w:val="18"/>
                <w:szCs w:val="18"/>
                <w:color w:val="auto"/>
              </w:rPr>
              <w:t>17</w:t>
            </w:r>
          </w:p>
        </w:tc>
      </w:tr>
      <w:tr>
        <w:trPr>
          <w:trHeight w:val="37"/>
        </w:trPr>
        <w:tc>
          <w:tcPr>
            <w:tcW w:w="1240" w:type="dxa"/>
            <w:vAlign w:val="bottom"/>
            <w:tcBorders>
              <w:right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r>
        <w:trPr>
          <w:trHeight w:val="254"/>
        </w:trPr>
        <w:tc>
          <w:tcPr>
            <w:tcW w:w="1240" w:type="dxa"/>
            <w:vAlign w:val="bottom"/>
            <w:tcBorders>
              <w:right w:val="single" w:sz="8" w:color="auto"/>
            </w:tcBorders>
          </w:tcPr>
          <w:p>
            <w:pPr>
              <w:spacing w:after="0"/>
              <w:rPr>
                <w:sz w:val="22"/>
                <w:szCs w:val="22"/>
                <w:color w:val="auto"/>
              </w:rPr>
            </w:pPr>
          </w:p>
        </w:tc>
        <w:tc>
          <w:tcPr>
            <w:tcW w:w="3800" w:type="dxa"/>
            <w:vAlign w:val="bottom"/>
          </w:tcPr>
          <w:p>
            <w:pPr>
              <w:jc w:val="center"/>
              <w:ind w:left="76"/>
              <w:spacing w:after="0"/>
              <w:rPr>
                <w:sz w:val="20"/>
                <w:szCs w:val="20"/>
                <w:color w:val="auto"/>
              </w:rPr>
            </w:pPr>
            <w:r>
              <w:rPr>
                <w:rFonts w:ascii="Arial" w:cs="Arial" w:eastAsia="Arial" w:hAnsi="Arial"/>
                <w:sz w:val="18"/>
                <w:szCs w:val="18"/>
                <w:color w:val="auto"/>
                <w:w w:val="99"/>
              </w:rPr>
              <w:t>PC14586 100 mg/kg</w:t>
            </w:r>
          </w:p>
        </w:tc>
        <w:tc>
          <w:tcPr>
            <w:tcW w:w="3680" w:type="dxa"/>
            <w:vAlign w:val="bottom"/>
            <w:tcBorders>
              <w:right w:val="single" w:sz="8" w:color="auto"/>
            </w:tcBorders>
          </w:tcPr>
          <w:p>
            <w:pPr>
              <w:jc w:val="right"/>
              <w:ind w:right="1439"/>
              <w:spacing w:after="0"/>
              <w:rPr>
                <w:sz w:val="20"/>
                <w:szCs w:val="20"/>
                <w:color w:val="auto"/>
              </w:rPr>
            </w:pPr>
            <w:r>
              <w:rPr>
                <w:rFonts w:ascii="Arial" w:cs="Arial" w:eastAsia="Arial" w:hAnsi="Arial"/>
                <w:sz w:val="18"/>
                <w:szCs w:val="18"/>
                <w:color w:val="auto"/>
              </w:rPr>
              <w:t>&gt;156</w:t>
            </w:r>
          </w:p>
        </w:tc>
      </w:tr>
      <w:tr>
        <w:trPr>
          <w:trHeight w:val="37"/>
        </w:trPr>
        <w:tc>
          <w:tcPr>
            <w:tcW w:w="1240" w:type="dxa"/>
            <w:vAlign w:val="bottom"/>
            <w:tcBorders>
              <w:right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r>
        <w:trPr>
          <w:trHeight w:val="429"/>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Note: Dosing ceased on day 70 in the PC14586 arm.</w:t>
            </w:r>
          </w:p>
        </w:tc>
        <w:tc>
          <w:tcPr>
            <w:tcW w:w="3680" w:type="dxa"/>
            <w:vAlign w:val="bottom"/>
          </w:tcPr>
          <w:p>
            <w:pPr>
              <w:spacing w:after="0"/>
              <w:rPr>
                <w:sz w:val="24"/>
                <w:szCs w:val="24"/>
                <w:color w:val="auto"/>
              </w:rPr>
            </w:pPr>
          </w:p>
        </w:tc>
      </w:tr>
    </w:tbl>
    <w:p>
      <w:pPr>
        <w:spacing w:after="0" w:line="176"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PC14586 also exhibited anti-tumor activity in combination with anti-PD-1 therapy in syngeneic mouse models with the human p53 Y220C mutation. The scientific rationale for such a combination comes from the emerging literature suggesting an interplay between p53 and the immune system, which is the key mechanism of action of cancer immunotherapies such as anti-PD-1 antibodies. When PC14586 was administered at a sub-therapeutic daily oral dose of 50 mg/kg for 70 days in combination with a therapeutic dose of a PD-1 antibody, regression of tumors that express the p53 Y220C mutation was observed. As illustrated by the table below, median survival for a sub-therapeutic dose of</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40"/>
        <w:spacing w:after="0" w:line="276" w:lineRule="auto"/>
        <w:rPr>
          <w:sz w:val="20"/>
          <w:szCs w:val="20"/>
          <w:color w:val="auto"/>
        </w:rPr>
      </w:pPr>
      <w:r>
        <w:rPr>
          <w:rFonts w:ascii="Arial" w:cs="Arial" w:eastAsia="Arial" w:hAnsi="Arial"/>
          <w:sz w:val="18"/>
          <w:szCs w:val="18"/>
          <w:color w:val="auto"/>
        </w:rPr>
        <w:t>PC14586 combined with anti-PD-1 treatment exceeded 156 days, even though drug treatment was discontinued on day 70, compared with median survival of only 24 days for anti-PD-1 treatment alone.</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 Anti-PD-1 Combination Showed Regression of Tumor Growth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167005</wp:posOffset>
            </wp:positionV>
            <wp:extent cx="4749165" cy="29317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4916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Each line represents each mouse where each group has 10 mice</w:t>
      </w:r>
    </w:p>
    <w:p>
      <w:pPr>
        <w:spacing w:after="0" w:line="239" w:lineRule="exact"/>
        <w:rPr>
          <w:sz w:val="20"/>
          <w:szCs w:val="20"/>
          <w:color w:val="auto"/>
        </w:rPr>
      </w:pPr>
    </w:p>
    <w:tbl>
      <w:tblPr>
        <w:tblLayout w:type="fixed"/>
        <w:tblInd w:w="670" w:type="dxa"/>
        <w:tblCellMar>
          <w:top w:w="0" w:type="dxa"/>
          <w:left w:w="0" w:type="dxa"/>
          <w:bottom w:w="0" w:type="dxa"/>
          <w:right w:w="0" w:type="dxa"/>
        </w:tblCellMar>
      </w:tblPr>
      <w:tr>
        <w:trPr>
          <w:trHeight w:val="250"/>
        </w:trPr>
        <w:tc>
          <w:tcPr>
            <w:tcW w:w="5740" w:type="dxa"/>
            <w:vAlign w:val="bottom"/>
            <w:tcBorders>
              <w:top w:val="single" w:sz="8" w:color="auto"/>
              <w:left w:val="single" w:sz="8" w:color="auto"/>
              <w:bottom w:val="single" w:sz="8" w:color="0C0C0C"/>
            </w:tcBorders>
            <w:shd w:val="clear" w:color="auto" w:fill="0C0C0C"/>
          </w:tcPr>
          <w:p>
            <w:pPr>
              <w:jc w:val="center"/>
              <w:ind w:left="74"/>
              <w:spacing w:after="0"/>
              <w:rPr>
                <w:sz w:val="20"/>
                <w:szCs w:val="20"/>
                <w:color w:val="auto"/>
              </w:rPr>
            </w:pPr>
            <w:r>
              <w:rPr>
                <w:rFonts w:ascii="Arial" w:cs="Arial" w:eastAsia="Arial" w:hAnsi="Arial"/>
                <w:sz w:val="14"/>
                <w:szCs w:val="14"/>
                <w:b w:val="1"/>
                <w:bCs w:val="1"/>
                <w:color w:val="FFFFFF"/>
                <w:w w:val="99"/>
              </w:rPr>
              <w:t>Group</w:t>
            </w:r>
          </w:p>
        </w:tc>
        <w:tc>
          <w:tcPr>
            <w:tcW w:w="4200" w:type="dxa"/>
            <w:vAlign w:val="bottom"/>
            <w:tcBorders>
              <w:top w:val="single" w:sz="8" w:color="auto"/>
              <w:bottom w:val="single" w:sz="8" w:color="0C0C0C"/>
              <w:right w:val="single" w:sz="8" w:color="auto"/>
            </w:tcBorders>
            <w:shd w:val="clear" w:color="auto" w:fill="0C0C0C"/>
          </w:tcPr>
          <w:p>
            <w:pPr>
              <w:ind w:left="2040"/>
              <w:spacing w:after="0"/>
              <w:rPr>
                <w:sz w:val="20"/>
                <w:szCs w:val="20"/>
                <w:color w:val="auto"/>
              </w:rPr>
            </w:pPr>
            <w:r>
              <w:rPr>
                <w:rFonts w:ascii="Arial" w:cs="Arial" w:eastAsia="Arial" w:hAnsi="Arial"/>
                <w:sz w:val="14"/>
                <w:szCs w:val="14"/>
                <w:b w:val="1"/>
                <w:bCs w:val="1"/>
                <w:color w:val="FFFFFF"/>
              </w:rPr>
              <w:t>Median Survival Time (Days)</w:t>
            </w:r>
          </w:p>
        </w:tc>
      </w:tr>
      <w:tr>
        <w:trPr>
          <w:trHeight w:val="230"/>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8"/>
              </w:rPr>
              <w:t>Vehicle</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17</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9"/>
              </w:rPr>
              <w:t>Anti-PD-1 200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24</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9"/>
              </w:rPr>
              <w:t>PC14586 50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28</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rPr>
              <w:t>PC14586 50 mg/kg + Anti-PD-1 200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8"/>
              </w:rPr>
              <w:t>&gt;156</w:t>
            </w: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Dosing ceased on day 70 in the PC14586 + Anti-PD-1 arm.</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received authorization to proceed under an IND for PC14586 on September 4, 2020 and plan to start a Phase 1/2 clinical trial in the second half of 2020. While we are in the early stages of discovery and development of our product candidates and our novel approach is unproven, we are initially pursuing a tumor-agnostic development strategy. Our strategy is to seek approval under an accelerated pathway, and we believe our Phase 1/2 clinical trial has the potential to serve as a pivotal study. We cannot guarantee that the FDA will agree with this strategy of utilizing the Phase 1/2 clinical trial as a pivotal study, which could require us to conduct additional clinical trials prior to seeking FDA approval. However, based on the pivotal studies conducted by other companies to support the approval of other products, such as studies conducted by Agios (Idhifa) and Blueprint Medicines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 xml:space="preserve">(Ayvakit), as well as the pivotal studies announced by other companies for their product candidates, including Amgen (AMG 510), Mirati (MRTX849) and Black Diamond Therapeutics (BDTX-189), we believe our Phase 1/2 clinical trial has the potential to serve as a pivotal study. In our Phase 1/2 clinical trial, we plan to enroll patients with advanced solid tumors that harbor the p53 Y220C mutation, characterized by NGS of either a solid or blood-based (circulating tumor DNA) biopsy. The study employs an accelerated titration design, with the potential to expedite development of this product candidate by allowing dose escalation in single patients at each dose cohort until a </w:t>
      </w:r>
      <w:r>
        <w:rPr>
          <w:rFonts w:ascii="Times New Roman" w:cs="Times New Roman" w:eastAsia="Times New Roman" w:hAnsi="Times New Roman"/>
          <w:sz w:val="18"/>
          <w:szCs w:val="18"/>
          <w:color w:val="auto"/>
        </w:rPr>
        <w:t>³</w:t>
      </w:r>
      <w:r>
        <w:rPr>
          <w:rFonts w:ascii="Arial" w:cs="Arial" w:eastAsia="Arial" w:hAnsi="Arial"/>
          <w:sz w:val="18"/>
          <w:szCs w:val="18"/>
          <w:color w:val="auto"/>
        </w:rPr>
        <w:t xml:space="preserve"> Grade 2 adverse event is observed. Subsequently in the Phase 1 portion of the trial, we plan to employ a modified toxicity probability interval, or mTPI, approach to identify the MTD.</w:t>
      </w:r>
    </w:p>
    <w:p>
      <w:pPr>
        <w:spacing w:after="0" w:line="17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The Phase 1 portion is designed to evaluate escalating oral doses of PC14586 to determine the MTD and recommended Phase 2 dose of PC14586 when administered orally to patients on a once daily dosing schedule, as well as to assess safety, tolerability and effects on biomarkers such as MIC-1. The Phase 1 portion is also designed to assess preliminary anti-tumor efficacy in patients with advanced solid tumors that have the p53 Y220C mutation. The Phase 1 portion involves dose escalation allowing single patient cohorts until </w:t>
      </w:r>
      <w:r>
        <w:rPr>
          <w:rFonts w:ascii="Times New Roman" w:cs="Times New Roman" w:eastAsia="Times New Roman" w:hAnsi="Times New Roman"/>
          <w:sz w:val="18"/>
          <w:szCs w:val="18"/>
          <w:color w:val="auto"/>
        </w:rPr>
        <w:t>³</w:t>
      </w:r>
      <w:r>
        <w:rPr>
          <w:rFonts w:ascii="Arial" w:cs="Arial" w:eastAsia="Arial" w:hAnsi="Arial"/>
          <w:sz w:val="18"/>
          <w:szCs w:val="18"/>
          <w:color w:val="auto"/>
        </w:rPr>
        <w:t xml:space="preserve"> grade 2 drug-related adverse events are observed. The study utilizes a mTPI approach to enroll three or more patients per cohort until the MTD is reached and the Phase 2 dose is selected. The trial is planned to primarily evaluate once daily dosing, but may also assess more frequent dosing schedules, such as twice daily, if the drug pharmacology or patient tolerability suggest this could be a more efficacious approach. In the Phase 1 portion, we plan to enroll up to 30 patients with locally advanced or metastatic solid tumors that have the p53 Y220C mutation determined using NGS, whose disease has progressed during or after prior standard of care therapy. Multiple biomarker assays will be used in the trial to assess on target and on mechanism activity, and preliminary clinical efficacy in patients will also be assessed.</w:t>
      </w:r>
    </w:p>
    <w:p>
      <w:pPr>
        <w:spacing w:after="0" w:line="179"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Phase 2 portion of the Phase 1/2 clinical trial is expected to enroll up to 100 patients. We expect to enroll a population with a variety of locally advanced or metastatic cancers including breast, NSCLC, colorectal, pancreatic and ovarian cancer. The planned primary objective of the Phase 2 portion is to evaluate the anti-tumor efficacy of PC14586 in patients with the p53 Y220C mutation, as shown by objective response rate. Other secondary endpoints planned to be assessed include the duration of response, progression free survival, overall survival and endpoints to evaluate the safety and tolerability of PC14586.</w:t>
      </w:r>
    </w:p>
    <w:p>
      <w:pPr>
        <w:spacing w:after="0" w:line="172"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Patient blood and tumor samples will be collected prior to the start of study treatment for retrospective, confirmatory mutation testing using a central clinical trial assay. In addition, blood and tumor samples will be collected and stored to facilitate future development of a companion diagnostic test.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Phase 1/2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3454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8604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If the data from our Phase 1/2 clinical trial show robust activity across the tumor types, we initially intend to pursue an approval from the FDA under the accelerated approval pathway for a tumor-agnostic indication. This strategy is based on approval pathways utilized by pembrolizumab (Keytruda) in MSI-high/dMMR cancers and larotrectinib (Vitrakvi) and entrectinib (Rozlytrek) in NTRK gene fusion cancers. If we observe clinical benefit in certain tumor or cancer types but do not have sufficient data or powering to support a tumor-agnostic indication from the Phase 1/2 clinical trial, we may seek a tumor or cancer specific label and evaluate additional trials to pursue a broader labeling for PC14586. We believe that the results of the Phase 1/2 clinical trial in PC14586 with respect to the endpoints of ORR and DoR, along with the safety data from the clinical trial, have the potential to support approval of a new drug application, or NDA, subject to discussions with FDA and provided we can obtain data from a sufficient sample size across the tumor types. While accelerated approval cannot be guaranteed, if we obtain accelerated approval, we anticipate that the FDA will require the conduct of a post-approval commitment to confirm clinical benefit.</w:t>
      </w:r>
    </w:p>
    <w:p>
      <w:pPr>
        <w:spacing w:after="0" w:line="180"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may also seek fast track, orphan drug or breakthrough therapy designation from the FDA. In addition, we may engage in health authority interactions with agencies outside the United States such as in Europe and Japan, for example. We plan to collaborate with a partner to develop a companion diagnostic test. Further, we expect to initially seek approval of our product candidates, in most instances, including with PC14586, at least as a second line therapy. Subsequently, depending on the nature of the clinical data and experience with any approved products or product candidates, if any, we may pursue approval as an earlier line therapy and potentially as a first line therapy.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R273H: Our Second Program</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expect to advance our next program, targeting the p53 R273H hotspot mutation, into lead optimization in the first half of 2021. R273H is the third most frequent p53 mutation and is found in approximately 4% of all p53 mutations. The R273H mutation results from arginine being substituted by a histidine at amino acid position 273 and is considered a DNA contact mutation. DNA contact mutations affect residues involved directly in DNA-p53 binding but do not alter the p53 protein structure. R273 is one of the most frequently altered residues in human cancer (6.4% of all somatic mutations), with the alteration to a histidine (R273H) being the most common of the R273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141605</wp:posOffset>
            </wp:positionV>
            <wp:extent cx="5143500" cy="42176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R273H mutation causes a decrease in binding between the p53 protein and DNA, resulting in its inability to activate transcription of p53 target genes. We are generating molecules designed to enhance and restore the binding of the p53 protein and DNA. Our R273H program continues to progress towards lead optimization, as we have identified potential candidates from our screening campaigns.</w:t>
      </w: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Pipeline Programs</w:t>
      </w:r>
    </w:p>
    <w:p>
      <w:pPr>
        <w:spacing w:after="0" w:line="214" w:lineRule="exact"/>
        <w:rPr>
          <w:sz w:val="20"/>
          <w:szCs w:val="20"/>
          <w:color w:val="auto"/>
        </w:rPr>
      </w:pPr>
    </w:p>
    <w:p>
      <w:pPr>
        <w:ind w:left="120" w:right="20" w:firstLine="551"/>
        <w:spacing w:after="0" w:line="306" w:lineRule="auto"/>
        <w:rPr>
          <w:sz w:val="20"/>
          <w:szCs w:val="20"/>
          <w:color w:val="auto"/>
        </w:rPr>
      </w:pPr>
      <w:r>
        <w:rPr>
          <w:rFonts w:ascii="Arial" w:cs="Arial" w:eastAsia="Arial" w:hAnsi="Arial"/>
          <w:sz w:val="17"/>
          <w:szCs w:val="17"/>
          <w:color w:val="auto"/>
        </w:rPr>
        <w:t>In addition to our PC14586 Y220C and R273H programs, we are focused on developing a pipeline of product candidates targeting other p53 hotspot mutations. These programs have been developed internally using our precision oncology platform and expertise.</w:t>
      </w:r>
    </w:p>
    <w:p>
      <w:pPr>
        <w:spacing w:after="0" w:line="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20"/>
          </w:cols>
          <w:pgMar w:left="320" w:top="455" w:right="5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We are able to utilize the same general principles and similar drug discovery methods developed from our PC14586 Y220C program across other p53 hotspot mutations to facilitate the discovery of additional new product candidates. We study the structural and functional properties of the target. We use assays, screens, preclinical model systems and biomarkers to assess and optimize selective small molecules for specific p53 mutants. Specifically, many of the efficiencies from assays and model systems developed for our PC14586 Y220C program are being applied to other p53 hotspot mutations. In addition, the key insights gained from the medicinal chemistry campaigns are being leveraged across other p53 hotspot mutations. By leveraging our team’s depth of expertise around p53, we are positioned to accelerate our efforts to expand the pipeline of therapies that selectively target p53 hotspot mutations.</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Competition</w:t>
      </w:r>
    </w:p>
    <w:p>
      <w:pPr>
        <w:spacing w:after="0" w:line="21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7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7"/>
          <w:szCs w:val="17"/>
          <w:color w:val="auto"/>
        </w:rPr>
        <w:t>We are a precision oncology company pioneering the discovery and development of small molecule therapies targeting p53 mutations. We are aware of other product candidates that are in clinical development as potential treatments of various cancers through the modulation of p53. There are many product candidates that may affect the p53 pathway, such as through MDM2 inhibition. We are aware of molecules in development that also are being explored for p53 upregulation/activation in various stages of preclinical or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p53-MDM2 interaction, which are in various stages of clinical development being tested by Aileron Therapeutics, Ascentage Pharma, Boehringer Ingelheim, Daiichi Sankyo (out-licensed worldwide rights to Rain Therapeutics), Kartos Therapeutics, Novartis and Roche, including testing MDM2 inhibitors in combination with a variety of other anti-cancer agents.</w:t>
      </w:r>
    </w:p>
    <w:p>
      <w:pPr>
        <w:spacing w:after="0" w:line="16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7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70"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In addition, we will likely need to develop our product candidates in collaboration with companion diagnostic companies, and we will face competition from other companies in establishing these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6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Manufacturing</w:t>
      </w:r>
    </w:p>
    <w:p>
      <w:pPr>
        <w:spacing w:after="0" w:line="21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We do not have any manufacturing facilities or personnel. We currently rely, and expect to continue to rely, on third parties for the manufacture of our product candidates undergoing preclinical testing, as well as for clinical testing and commercial manufacture if our product candidates receive marketing approval.</w:t>
      </w:r>
    </w:p>
    <w:p>
      <w:pPr>
        <w:spacing w:after="0" w:line="16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All of our product candidates are small molecules and are manufactured in synthetic processes from available starting materials. The chemistry appears amenable to scale up and does not currently require unusual equipment in the manufacturing process. We expect to continue to develop product candidates that can be produced cost-effectively at contract manufacturing facilities.</w:t>
      </w:r>
    </w:p>
    <w:p>
      <w:pPr>
        <w:spacing w:after="0" w:line="16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w:t>
      </w:r>
    </w:p>
    <w:p>
      <w:pPr>
        <w:spacing w:after="0" w:line="16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Drug manufacturers and their subcontractors are required to register their establishments with the FDA and certain state agencies and are subject to periodic unannounced inspections by the FDA and certain state agencies for compliance with current Good Manufacturing Practice, or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requirements upon us and any third-party manufacturers that we may decide to use. Accordingly, manufacturers must continue to expend time, money and effort in the area of production and quality control to maintain compliance with cGMP requirements and other aspects of regulatory compliance.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Commercialization</w:t>
      </w:r>
    </w:p>
    <w:p>
      <w:pPr>
        <w:spacing w:after="0" w:line="214" w:lineRule="exact"/>
        <w:rPr>
          <w:sz w:val="20"/>
          <w:szCs w:val="20"/>
          <w:color w:val="auto"/>
        </w:rPr>
      </w:pPr>
    </w:p>
    <w:p>
      <w:pPr>
        <w:jc w:val="both"/>
        <w:ind w:left="120" w:right="360" w:firstLine="551"/>
        <w:spacing w:after="0" w:line="255" w:lineRule="auto"/>
        <w:rPr>
          <w:sz w:val="20"/>
          <w:szCs w:val="20"/>
          <w:color w:val="auto"/>
        </w:rPr>
      </w:pPr>
      <w:r>
        <w:rPr>
          <w:rFonts w:ascii="Arial" w:cs="Arial" w:eastAsia="Arial" w:hAnsi="Arial"/>
          <w:sz w:val="18"/>
          <w:szCs w:val="18"/>
          <w:color w:val="auto"/>
        </w:rPr>
        <w:t>Subject to receiving marketing approvals, we expect to commence commercialization activities by building a focused sales and marketing organization to sell our products. We believe that such an organization will be able to address the community of oncologists who are the key specialists in treating the patient populations for which our product candidates are being developed.</w:t>
      </w:r>
    </w:p>
    <w:p>
      <w:pPr>
        <w:spacing w:after="0" w:line="16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strive to protect the proprietary technology, inventions and improvements that are commercially important to our business, including seeking, maintaining and defending patent rights. We also rely on know-how relating to our proprietary technology and product candidates and continuing innovation to develop, strengthen and maintain our proprietary position. We also plan to rely on data exclusivity, market exclusivity and patent term extensions when available. Our commercial success will depend in part on our ability to obtain and maintain patent and other proprietary protection for our technology, inventions and improvements; to defend and enforce our proprietary rights, including any patents that we may own in the future; and to operate without infringing the valid and enforceable patents and other proprietary rights of third parties. Intellectual property rights may not address all potential threats to our competitive advantage.</w:t>
      </w:r>
    </w:p>
    <w:p>
      <w:pPr>
        <w:spacing w:after="0" w:line="17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With respect to our existing and future product candidates and processes we intend to develop and commercialize in the normal course of business, we intend to pursue further patent protection covering, when possible, compositions, methods of use, dosing and formulations. We also may pursue patent protection with respect 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is directed to or claims an FDA-approved product can be extended to recapture a portion of the term effectively lost as a result of the FDA regulatory review period. This process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184"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No consistent policy regarding the scope of claims allowable in patents in the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field of biopharmaceuticals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or may obtain, blocking patents of which we are currently unaware that could be used to prevent us from developing or commercializing our product candidates and practicing our proprietary technology. 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Doing so may be impossible or require substantial time and monetary expenditure. We may also elect to enter into a license agreement to settle litigation or to resolve disputes prior to litigation. Furthermore, even in the absence of litigation, we may need to obtain licenses from third parties to advance our research or allow commercialization of our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This scenario could materially adversely affect our business. Even if we obtain a license to third party intellectual property, we may later decide, or it may later become necessary, to terminate the license. If we do so, we may no longer be free to use the technology protected by the patents no longer under license. Also, if a competitor developed the technology protected by the patents no longer under license, we would not be able to block the competitor’s progress. If the competitor’s product was competitive with ours, then we may suffer economic harm from the competitive product.</w:t>
      </w:r>
    </w:p>
    <w:p>
      <w:pPr>
        <w:spacing w:after="0" w:line="190"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issuance of a patent is not conclusive as to its scope, validity or enforceability and our issued patents may be challenged, invalidated, deemed unenforceable or circumvented. These scenarios could limit our ability to stop competitors from marketing-related products or could limit the term of patent protection that otherwise may exist for our product candidates.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Moreover, any efforts to enforce our intellectual property rights are likely to be costly and may divert the efforts of our scientific and management personnel. We may also be subject to claims that former employees, collaborators or other third parties have an ownership interest in our patents or other intellectual property. We may also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76" w:lineRule="auto"/>
        <w:rPr>
          <w:sz w:val="20"/>
          <w:szCs w:val="20"/>
          <w:color w:val="auto"/>
        </w:rPr>
      </w:pPr>
      <w:r>
        <w:rPr>
          <w:rFonts w:ascii="Arial" w:cs="Arial" w:eastAsia="Arial" w:hAnsi="Arial"/>
          <w:sz w:val="18"/>
          <w:szCs w:val="18"/>
          <w:color w:val="auto"/>
        </w:rPr>
        <w:t>material adverse effect on our business. Even if we are successful in defending against these claims, litigation could result in substantial cost and be a distraction to our management and employees.</w:t>
      </w:r>
    </w:p>
    <w:p>
      <w:pPr>
        <w:spacing w:after="0" w:line="145"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directed to such product may expire or remain in force for only a short period following commercialization, thereby reducing the commercial advantage the patent provides.</w:t>
      </w:r>
    </w:p>
    <w:p>
      <w:pPr>
        <w:spacing w:after="0" w:line="17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generally file a provisional patent application with the U.S. Patent and Trademark Office, or USPTO, first and then subsequently file a corresponding non-provisional patent application. This process enables us to establish an earlier effective filing date in the subsequently filed non-provisional patent application. To benefit from the earlier effective filing date, we must file a corresponding non-provisional patent application, such as a utility application in the United States or an international application under the Patent Cooperation Treaty, or PCT, within 12 months of the date of the provisional patent application filing. Based on a PCT filing, we may file national and regional patent applications in the United States or foreign jurisdictions, such as the European Union, China, Japan and possibly others. To date, we have not filed for patent protection in all national and regional jurisdictions where such protection may be available, and we may decide to abandon national and regional patent applications before a patent is granted. In addition, the patent grant proceeding for each national or regional patent application that we file is an independent proceeding. As a result, it is possible for a patent application to be granted in one jurisdiction and denied in another jurisdiction, and depending on the jurisdiction, the scope of patent protection may vary. As of June 1, 2020, we owned two issued US patents relating to methods of use and composition of matter of PMV compounds, including PC14586, and two pending US patent applications and ten pending foreign patent applications, each of which relates to methods of use and composition of matter of PMV compounds, including PC14586. The two issued US patents are expected to expire in 2037, without taking into account any possible patent term adjustment or extensions. As of June 1, 2020, we owned one pending US patent application relating to methods of use and composition of matter of other PMV compounds.</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14"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preclinical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demonstrates the drug’s quality, safety and efficacy. Such data must then be organized into a format specific for each regulatory authority, submitted for review and approved by the regulatory authority.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United States, the FDA regulates drugs under the Food, Drug and Cosmetic Act, or FDCA, and its implementing regulations.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95" w:lineRule="exact"/>
        <w:rPr>
          <w:sz w:val="20"/>
          <w:szCs w:val="20"/>
          <w:color w:val="auto"/>
        </w:rPr>
      </w:pPr>
    </w:p>
    <w:p>
      <w:pPr>
        <w:ind w:left="880" w:right="520" w:hanging="224"/>
        <w:spacing w:after="0" w:line="276"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FDA’s good laboratory practice requirements and other applicable regulations;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each trial may be initiated;</w:t>
      </w:r>
    </w:p>
    <w:p>
      <w:pPr>
        <w:spacing w:after="0" w:line="50" w:lineRule="exact"/>
        <w:rPr>
          <w:rFonts w:ascii="Arial" w:cs="Arial" w:eastAsia="Arial" w:hAnsi="Arial"/>
          <w:sz w:val="18"/>
          <w:szCs w:val="18"/>
          <w:color w:val="auto"/>
        </w:rPr>
      </w:pPr>
    </w:p>
    <w:p>
      <w:pPr>
        <w:ind w:left="880" w:right="1040" w:hanging="224"/>
        <w:spacing w:after="0" w:line="276"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for its intended use;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selected clinical investigation sites to assess compliance with GCP requirements; and</w:t>
      </w:r>
    </w:p>
    <w:p>
      <w:pPr>
        <w:spacing w:after="0" w:line="52" w:lineRule="exact"/>
        <w:rPr>
          <w:rFonts w:ascii="Arial" w:cs="Arial" w:eastAsia="Arial" w:hAnsi="Arial"/>
          <w:sz w:val="17"/>
          <w:szCs w:val="17"/>
          <w:color w:val="auto"/>
        </w:rPr>
      </w:pPr>
    </w:p>
    <w:p>
      <w:pPr>
        <w:ind w:left="880" w:right="500" w:hanging="224"/>
        <w:spacing w:after="0" w:line="276"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45"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studies assessing the toxicology, pharmacokinetics, pharmacology and pharmacodynamic characteristics of the product; chemistry,</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 requirements,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5" w:right="49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880" w:right="60" w:hanging="224"/>
        <w:spacing w:after="0" w:line="263" w:lineRule="auto"/>
        <w:tabs>
          <w:tab w:leader="none" w:pos="8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62" w:lineRule="exact"/>
        <w:rPr>
          <w:rFonts w:ascii="Arial" w:cs="Arial" w:eastAsia="Arial" w:hAnsi="Arial"/>
          <w:sz w:val="17"/>
          <w:szCs w:val="17"/>
          <w:color w:val="auto"/>
        </w:rPr>
      </w:pPr>
    </w:p>
    <w:p>
      <w:pPr>
        <w:ind w:left="880" w:right="140" w:hanging="224"/>
        <w:spacing w:after="0" w:line="248"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75" w:lineRule="exact"/>
        <w:rPr>
          <w:rFonts w:ascii="Arial" w:cs="Arial" w:eastAsia="Arial" w:hAnsi="Arial"/>
          <w:sz w:val="18"/>
          <w:szCs w:val="18"/>
          <w:color w:val="auto"/>
        </w:rPr>
      </w:pPr>
    </w:p>
    <w:p>
      <w:pPr>
        <w:ind w:left="880" w:right="180" w:hanging="224"/>
        <w:spacing w:after="0" w:line="248"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0"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In some cases, FDA may require, or sponsors may voluntarily pursue, post-approval trials, sometimes referred to as Phase 4 studies, that are conducted after initial marketing approval. These trials are used to gain additional experience from the treatment of patients in the intended therapeutic indication. In certain instances, such as with accelerated approval drugs, the FDA may mandate the performance of post-approval clinical trials as a condition of approval of an NDA.</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7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1 and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74"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5" w:right="49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45" w:lineRule="auto"/>
        <w:rPr>
          <w:sz w:val="20"/>
          <w:szCs w:val="20"/>
          <w:color w:val="auto"/>
        </w:rPr>
      </w:pPr>
      <w:r>
        <w:rPr>
          <w:rFonts w:ascii="Arial" w:cs="Arial" w:eastAsia="Arial" w:hAnsi="Arial"/>
          <w:sz w:val="18"/>
          <w:szCs w:val="18"/>
          <w:color w:val="auto"/>
        </w:rPr>
        <w:t>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72"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74"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If the coronavirus disease 2019, or COVID-19, pandemic continues, our clinical trial plans and future planned clinical trials may be adversely affected, delayed or interrupted. We may be required to develop and implement additional clinical trial policies and procedures designed to help protect subjects participating in clinical trials during the COVID-19 pandemic. For example, in March 2020, as amended and updated from time to time, the FDA issued a guidance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 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8"/>
          <w:szCs w:val="18"/>
          <w:i w:val="1"/>
          <w:iCs w:val="1"/>
          <w:color w:val="auto"/>
        </w:rPr>
        <w:t>e.g.</w:t>
      </w:r>
      <w:r>
        <w:rPr>
          <w:rFonts w:ascii="Arial" w:cs="Arial" w:eastAsia="Arial" w:hAnsi="Arial"/>
          <w:sz w:val="18"/>
          <w:szCs w:val="18"/>
          <w:color w:val="auto"/>
        </w:rPr>
        <w:t>, participant discontinuation from investigational product and/or study, alternative procedures used to collect critical safety and/or efficacy data) on the safety and efficacy results reported for the trial.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FDA reviews an NDA to determine, among other things, whether a product is safe and effective for its intended use and whether its manufacturing complies with cGMP requirements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to address all of the deficiencies identified in the letter, or withdraw the application. Even if such data and information are submitted, the FDA may decide that the NDA does not satisfy the criteria for approval.</w:t>
      </w:r>
    </w:p>
    <w:p>
      <w:pPr>
        <w:spacing w:after="0" w:line="180"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83"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color w:val="auto"/>
        </w:rPr>
        <w:t>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that are intended to expedite the process for the development and FDA review of drugs that are intended for the treatment of serious or life-threatening diseases or conditions. For example, new drugs are eligible for fast track designation if they are intended to treat a serious or life- threatening disease or condition and demonstrate the potential to address unmet medical needs for the disease or condition. The sponsor of a fast track product has opportunities for frequent interactions with the review team during product development and, once a NDA is submitted, the product may be eligible for priority review.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6"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accelerated approval and breakthrough therapy designation.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79"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0"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40"/>
        <w:spacing w:after="0" w:line="276" w:lineRule="auto"/>
        <w:rPr>
          <w:sz w:val="20"/>
          <w:szCs w:val="20"/>
          <w:color w:val="auto"/>
        </w:rPr>
      </w:pPr>
      <w:r>
        <w:rPr>
          <w:rFonts w:ascii="Arial" w:cs="Arial" w:eastAsia="Arial" w:hAnsi="Arial"/>
          <w:sz w:val="18"/>
          <w:szCs w:val="18"/>
          <w:color w:val="auto"/>
        </w:rPr>
        <w:t>approval and priority review, which can also be granted to the same drug if relevant criteria are met. If a product is designated as breakthrough therapy, the FDA will work to expedite the development and review of such drug.</w:t>
      </w:r>
    </w:p>
    <w:p>
      <w:pPr>
        <w:spacing w:after="0" w:line="145"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3"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9" w:lineRule="exact"/>
        <w:rPr>
          <w:sz w:val="20"/>
          <w:szCs w:val="20"/>
          <w:color w:val="auto"/>
        </w:rPr>
      </w:pPr>
    </w:p>
    <w:p>
      <w:pPr>
        <w:ind w:left="880" w:right="320" w:hanging="224"/>
        <w:spacing w:after="0" w:line="27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17" w:lineRule="exact"/>
        <w:rPr>
          <w:rFonts w:ascii="Arial" w:cs="Arial" w:eastAsia="Arial" w:hAnsi="Arial"/>
          <w:sz w:val="18"/>
          <w:szCs w:val="18"/>
          <w:color w:val="auto"/>
        </w:rPr>
      </w:pPr>
    </w:p>
    <w:p>
      <w:pPr>
        <w:ind w:left="880" w:right="360" w:hanging="224"/>
        <w:spacing w:after="0" w:line="276"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60"/>
          </w:cols>
          <w:pgMar w:left="320" w:top="455" w:right="51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60" w:hanging="224"/>
        <w:spacing w:after="0" w:line="276"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83" w:lineRule="exact"/>
        <w:rPr>
          <w:sz w:val="20"/>
          <w:szCs w:val="20"/>
          <w:color w:val="auto"/>
        </w:rPr>
      </w:pPr>
    </w:p>
    <w:p>
      <w:pPr>
        <w:ind w:left="120" w:right="380" w:firstLine="551"/>
        <w:spacing w:after="0" w:line="248"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Drugs</w:t>
      </w:r>
    </w:p>
    <w:p>
      <w:pPr>
        <w:spacing w:after="0" w:line="104"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an NDA. After the FDA grants ODD, the generic identity of the therapeutic agent and its potential orphan use are disclosed publicly by the FDA.</w:t>
      </w:r>
    </w:p>
    <w:p>
      <w:pPr>
        <w:spacing w:after="0" w:line="174"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biologic for the same indication for seven years from the approval of the NDA,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NDA application user fee.</w:t>
      </w:r>
    </w:p>
    <w:p>
      <w:pPr>
        <w:spacing w:after="0" w:line="168"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ODD. In addition, orphan drug exclusive marketing</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00"/>
        <w:spacing w:after="0" w:line="306" w:lineRule="auto"/>
        <w:rPr>
          <w:sz w:val="20"/>
          <w:szCs w:val="20"/>
          <w:color w:val="auto"/>
        </w:rPr>
      </w:pPr>
      <w:r>
        <w:rPr>
          <w:rFonts w:ascii="Arial" w:cs="Arial" w:eastAsia="Arial" w:hAnsi="Arial"/>
          <w:sz w:val="17"/>
          <w:szCs w:val="17"/>
          <w:color w:val="auto"/>
        </w:rPr>
        <w:t>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0" w:lineRule="exact"/>
        <w:rPr>
          <w:sz w:val="20"/>
          <w:szCs w:val="20"/>
          <w:color w:val="auto"/>
        </w:rPr>
      </w:pPr>
    </w:p>
    <w:p>
      <w:pPr>
        <w:jc w:val="both"/>
        <w:ind w:left="120" w:right="260" w:firstLine="551"/>
        <w:spacing w:after="0" w:line="245"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Pharmaceutical manufacturers are subject to additional healthcare fraud and abuse laws, regulation and enforcement by the federal government and by authorities in the states and foreign jurisdictions in which they conduct their business. Such laws include, without limitation, U.S. federal anti-kickback, false claims, civil monetary penalty, consumer fraud, pricing reporting, data privacy and security and physician payment transparency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5" w:right="49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3" w:lineRule="auto"/>
        <w:rPr>
          <w:sz w:val="20"/>
          <w:szCs w:val="20"/>
          <w:color w:val="auto"/>
        </w:rPr>
      </w:pPr>
      <w:r>
        <w:rPr>
          <w:rFonts w:ascii="Arial" w:cs="Arial" w:eastAsia="Arial" w:hAnsi="Arial"/>
          <w:sz w:val="18"/>
          <w:szCs w:val="18"/>
          <w:color w:val="auto"/>
        </w:rPr>
        <w:t>restrict payments that may be made to healthcare providers and other potential referral sources; state laws and regulations that require drug manufacturers to file reports relating to pricing and marketing information; state and local laws which require tracking gifts and other remuneration and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spacing w:after="0" w:line="17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cost-effectiveness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that are used with applicable pharmaceutical products require coverage and reimbursement separate and apart from the coverage and reimbursement for their companion pharmaceutical products. Similar challenges to obtaining coverage and reimbursement, applicable to pharmaceutical products, will apply to companion diagnostics.</w:t>
      </w:r>
    </w:p>
    <w:p>
      <w:pPr>
        <w:spacing w:after="0" w:line="177"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Moreover, third-party payors are increasingly reducing coverage and reimbursement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5" w:right="47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60"/>
        <w:spacing w:after="0" w:line="243" w:lineRule="auto"/>
        <w:rPr>
          <w:sz w:val="20"/>
          <w:szCs w:val="20"/>
          <w:color w:val="auto"/>
        </w:rPr>
      </w:pPr>
      <w:r>
        <w:rPr>
          <w:rFonts w:ascii="Arial" w:cs="Arial" w:eastAsia="Arial" w:hAnsi="Arial"/>
          <w:sz w:val="18"/>
          <w:szCs w:val="18"/>
          <w:color w:val="auto"/>
        </w:rPr>
        <w:t>jurisdictions with existing controls and measures, could further limit sales of any product.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Decreases in third-party reimbursement for any product or a decision by a third-party payor not to cover a product could reduce physician usage and patient demand for the product.</w:t>
      </w:r>
    </w:p>
    <w:p>
      <w:pPr>
        <w:spacing w:after="0" w:line="17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Affordable Care Act, or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Centers for Medicare &amp; Medicaid Services to test innovative payment and service delivery models to lower Medicare and Medicaid spending, potentially including prescription drug spending.</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For example, in 2017, Congress enacted the Tax Cut and JOBS Act, or Tax Act, which eliminated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ACA-mandated “Cadillac” tax on high-cost employer-sponsored health coverage and medical device tax and, effective January 1, 2021, also eliminates the health insurer tax. On December 14, 2018, a Texas U.S. District Court Judge ruled that the individual mandate is a critical and inseverable feature of the ACA, and therefore, because it was repealed as part of the Tax Act,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2% per fiscal year, effective April 1, 2013. The CARES Act, which was signed into law on March 27, 2020, and designed to provide financial support and resources to individuals and businesses affected by COVID-19 pandemic, suspended the 2% Medicare sequester from May 1, 2020, through December 31, 2020, and extended the sequester by one year, through 2030, in order to offset the 2020 suspension.</w:t>
      </w:r>
    </w:p>
    <w:p>
      <w:pPr>
        <w:spacing w:after="0" w:line="17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For example,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other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2021 includes a $135 billion allowance to support legislative proposals seeking to reduce drug prices, increase competition, lower out-of-pocket drug costs for patients, and increase patient access to lower-cost generic drugs. Although a number of these and other measures may require additional authorization to become effective, Congress and the Trump administration have each indicated that it will continue to seek new legislative and/or administrative measures to control drug costs.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FDA Approval and Regulation of Companion Diagnostics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expect that our product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developed for our product candidates will utilize the PMA pathway.</w:t>
      </w:r>
    </w:p>
    <w:p>
      <w:pPr>
        <w:spacing w:after="0" w:line="176"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color w:val="auto"/>
        </w:rPr>
        <w:t>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7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 -consuming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77"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 xml:space="preserve">In August 2014, the FDA issued final guidance clarifying the requirements that will apply to approval of therapeutic products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companion diagnostics. According to the guidance, if FDA determines that a companion diagnostic device is essential to the safe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effective use of a novel therapeutic product or indication, FDA generally will not approve the therapeutic product or new therapeutic product indication if the companion diagnostic device is not approved or cleared for that indication at the same time. The review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in conjunction with the review of our therapeutic treatments for cancer will, therefore, likely involve coordination of review by the FDA’s Center for Drug Evaluation and Research and the FDA’s Center for Devices and Radiological Health Office of In Vitro Diagnostics.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Employees</w:t>
      </w:r>
    </w:p>
    <w:p>
      <w:pPr>
        <w:spacing w:after="0" w:line="214"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As of September 18, 2020, we had 39 full-time employees, including 15 employees with Ph.D., M.D. or Pharm.D. degrees. Of these full-time employees, 32 employees are engaged in research and development activities.</w:t>
      </w:r>
    </w:p>
    <w:p>
      <w:pPr>
        <w:spacing w:after="0" w:line="145" w:lineRule="exact"/>
        <w:rPr>
          <w:sz w:val="20"/>
          <w:szCs w:val="20"/>
          <w:color w:val="auto"/>
        </w:rPr>
      </w:pPr>
    </w:p>
    <w:p>
      <w:pPr>
        <w:ind w:left="120" w:right="780" w:firstLine="551"/>
        <w:spacing w:after="0" w:line="276" w:lineRule="auto"/>
        <w:rPr>
          <w:sz w:val="20"/>
          <w:szCs w:val="20"/>
          <w:color w:val="auto"/>
        </w:rPr>
      </w:pPr>
      <w:r>
        <w:rPr>
          <w:rFonts w:ascii="Arial" w:cs="Arial" w:eastAsia="Arial" w:hAnsi="Arial"/>
          <w:sz w:val="18"/>
          <w:szCs w:val="18"/>
          <w:color w:val="auto"/>
        </w:rPr>
        <w:t>None of our employees are represented by labor unions or covered by collective bargaining agreements. We consider our relationship with our employees to be good.</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Facilities</w:t>
      </w:r>
    </w:p>
    <w:p>
      <w:pPr>
        <w:spacing w:after="0" w:line="214"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Our corporate headquarters is located at 8 Clarke Drive, Cranbury, New Jersey 08512, where we lease a facility containing 18,446 square feet of office and laboratory space pursuant to a lease agreement that expires in June 2022. We also lease 6,297 square feet of laboratory space at 3000 Eastpark, South Brunswick, New Jersey 08512 pursuant to a that expires in July 2022. Finally, we lease 3,292 square feet of office space at 420 Bedford Drive, Lexington, Massachusetts 02420 pursuant to a lease that expires in August 2023, with an option to extend for an additional three years.</w:t>
      </w:r>
    </w:p>
    <w:p>
      <w:pPr>
        <w:spacing w:after="0" w:line="172" w:lineRule="exact"/>
        <w:rPr>
          <w:sz w:val="20"/>
          <w:szCs w:val="20"/>
          <w:color w:val="auto"/>
        </w:rPr>
      </w:pPr>
    </w:p>
    <w:p>
      <w:pPr>
        <w:ind w:left="120" w:right="820" w:firstLine="551"/>
        <w:spacing w:after="0" w:line="276" w:lineRule="auto"/>
        <w:rPr>
          <w:sz w:val="20"/>
          <w:szCs w:val="20"/>
          <w:color w:val="auto"/>
        </w:rPr>
      </w:pPr>
      <w:r>
        <w:rPr>
          <w:rFonts w:ascii="Arial" w:cs="Arial" w:eastAsia="Arial" w:hAnsi="Arial"/>
          <w:sz w:val="18"/>
          <w:szCs w:val="18"/>
          <w:color w:val="auto"/>
        </w:rPr>
        <w:t>We believe that our current facilities are adequate for our current needs and that suitable additional or substitute space at commercially reasonable terms will be available as needed to accommodate any future expansion of our operations.</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Proceedings</w:t>
      </w:r>
    </w:p>
    <w:p>
      <w:pPr>
        <w:spacing w:after="0" w:line="214" w:lineRule="exact"/>
        <w:rPr>
          <w:sz w:val="20"/>
          <w:szCs w:val="20"/>
          <w:color w:val="auto"/>
        </w:rPr>
      </w:pPr>
    </w:p>
    <w:p>
      <w:pPr>
        <w:ind w:left="120" w:right="240" w:firstLine="551"/>
        <w:spacing w:after="0" w:line="248"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As of the date of this prospectus, we were not a party to any material legal matters or claims. In the future, we may become party to legal matters and claims in the ordinary course of business, the resolution of which we do not anticipate would have a material adverse impact on our financial position, results of operations or cash flows.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Officers, Directors and Key Employees</w:t>
      </w:r>
    </w:p>
    <w:p>
      <w:pPr>
        <w:spacing w:after="0" w:line="214"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The following table sets forth the names, ages and positions of our executive officers, directors and key employees as of the date of this prospectus: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34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Age</w:t>
            </w:r>
          </w:p>
        </w:tc>
        <w:tc>
          <w:tcPr>
            <w:tcW w:w="140" w:type="dxa"/>
            <w:vAlign w:val="bottom"/>
          </w:tcPr>
          <w:p>
            <w:pPr>
              <w:spacing w:after="0"/>
              <w:rPr>
                <w:sz w:val="17"/>
                <w:szCs w:val="17"/>
                <w:color w:val="auto"/>
              </w:rPr>
            </w:pPr>
          </w:p>
        </w:tc>
        <w:tc>
          <w:tcPr>
            <w:tcW w:w="6660" w:type="dxa"/>
            <w:vAlign w:val="bottom"/>
          </w:tcPr>
          <w:p>
            <w:pPr>
              <w:ind w:left="3040"/>
              <w:spacing w:after="0"/>
              <w:rPr>
                <w:sz w:val="20"/>
                <w:szCs w:val="20"/>
                <w:color w:val="auto"/>
              </w:rPr>
            </w:pPr>
            <w:r>
              <w:rPr>
                <w:rFonts w:ascii="Arial" w:cs="Arial" w:eastAsia="Arial" w:hAnsi="Arial"/>
                <w:sz w:val="14"/>
                <w:szCs w:val="14"/>
                <w:b w:val="1"/>
                <w:bCs w:val="1"/>
                <w:color w:val="auto"/>
              </w:rPr>
              <w:t>Position</w:t>
            </w:r>
          </w:p>
        </w:tc>
      </w:tr>
      <w:tr>
        <w:trPr>
          <w:trHeight w:val="176"/>
        </w:trPr>
        <w:tc>
          <w:tcPr>
            <w:tcW w:w="38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60" w:type="dxa"/>
            <w:vAlign w:val="bottom"/>
            <w:tcBorders>
              <w:top w:val="single" w:sz="8" w:color="auto"/>
            </w:tcBorders>
            <w:shd w:val="clear" w:color="auto" w:fill="CCEEFF"/>
          </w:tcPr>
          <w:p>
            <w:pPr>
              <w:spacing w:after="0"/>
              <w:rPr>
                <w:sz w:val="15"/>
                <w:szCs w:val="15"/>
                <w:color w:val="auto"/>
              </w:rPr>
            </w:pP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David H. Mack, Ph.D.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Winston Kung</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Chief Operating Officer and Chief Financial Officer</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Leila Alland, M.D.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Chief Medical Officer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Deepika Jalota, Pharm.D.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Senior Vice President, Regulatory Affairs and Quality Assurance</w:t>
            </w:r>
          </w:p>
        </w:tc>
      </w:tr>
      <w:tr>
        <w:trPr>
          <w:trHeight w:val="310"/>
        </w:trPr>
        <w:tc>
          <w:tcPr>
            <w:tcW w:w="3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Heyman, Ph.D</w:t>
            </w:r>
            <w:r>
              <w:rPr>
                <w:rFonts w:ascii="Arial" w:cs="Arial" w:eastAsia="Arial" w:hAnsi="Arial"/>
                <w:sz w:val="15"/>
                <w:szCs w:val="15"/>
                <w:color w:val="auto"/>
              </w:rPr>
              <w:t>(1)(2)(3)</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 and Chairman of the Board of Directors</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Arnold Levine, Ph.D.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81</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Arnold Oronsky, Ph.D.</w:t>
            </w:r>
            <w:r>
              <w:rPr>
                <w:rFonts w:ascii="Arial" w:cs="Arial" w:eastAsia="Arial" w:hAnsi="Arial"/>
                <w:sz w:val="15"/>
                <w:szCs w:val="15"/>
                <w:color w:val="auto"/>
              </w:rPr>
              <w:t>(2)</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Thilo Schroeder, Ph.D.</w:t>
            </w:r>
            <w:r>
              <w:rPr>
                <w:rFonts w:ascii="Arial" w:cs="Arial" w:eastAsia="Arial" w:hAnsi="Arial"/>
                <w:sz w:val="15"/>
                <w:szCs w:val="15"/>
                <w:color w:val="auto"/>
              </w:rPr>
              <w:t>(1)(3)</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Laurie Stelzer</w:t>
            </w:r>
            <w:r>
              <w:rPr>
                <w:rFonts w:ascii="Arial" w:cs="Arial" w:eastAsia="Arial" w:hAnsi="Arial"/>
                <w:sz w:val="15"/>
                <w:szCs w:val="15"/>
                <w:color w:val="auto"/>
              </w:rPr>
              <w:t>(1)</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53</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43"/>
        </w:trPr>
        <w:tc>
          <w:tcPr>
            <w:tcW w:w="3800" w:type="dxa"/>
            <w:vAlign w:val="bottom"/>
            <w:gridSpan w:val="2"/>
          </w:tcPr>
          <w:p>
            <w:pPr>
              <w:spacing w:after="0"/>
              <w:rPr>
                <w:sz w:val="20"/>
                <w:szCs w:val="20"/>
                <w:color w:val="auto"/>
              </w:rPr>
            </w:pPr>
            <w:r>
              <w:rPr>
                <w:rFonts w:ascii="Arial" w:cs="Arial" w:eastAsia="Arial" w:hAnsi="Arial"/>
                <w:sz w:val="18"/>
                <w:szCs w:val="18"/>
                <w:color w:val="auto"/>
              </w:rPr>
              <w:t>Peter Thompson, M.D.</w:t>
            </w:r>
            <w:r>
              <w:rPr>
                <w:rFonts w:ascii="Arial" w:cs="Arial" w:eastAsia="Arial" w:hAnsi="Arial"/>
                <w:sz w:val="15"/>
                <w:szCs w:val="15"/>
                <w:color w:val="auto"/>
              </w:rPr>
              <w:t>(2)(3)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68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68"/>
        </w:trPr>
        <w:tc>
          <w:tcPr>
            <w:tcW w:w="40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60" w:type="dxa"/>
            <w:vAlign w:val="bottom"/>
          </w:tcPr>
          <w:p>
            <w:pPr>
              <w:spacing w:after="0"/>
              <w:rPr>
                <w:sz w:val="5"/>
                <w:szCs w:val="5"/>
                <w:color w:val="auto"/>
              </w:rPr>
            </w:pP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Key Employees: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60" w:type="dxa"/>
            <w:vAlign w:val="bottom"/>
            <w:shd w:val="clear" w:color="auto" w:fill="CCEEFF"/>
          </w:tcPr>
          <w:p>
            <w:pPr>
              <w:spacing w:after="0"/>
              <w:rPr>
                <w:sz w:val="17"/>
                <w:szCs w:val="17"/>
                <w:color w:val="auto"/>
              </w:rPr>
            </w:pP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Michael Carulli</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Vice President, Finance</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Melissa Dumble, Ph.D.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Vice President, Preclinical Development and Translational Science</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Robert Ticktin</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59</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General Counsel</w:t>
            </w:r>
          </w:p>
        </w:tc>
      </w:tr>
      <w:tr>
        <w:trPr>
          <w:trHeight w:val="202"/>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Binh Vu, Ph.D.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52</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Vice President, Drug Discovery and Chemistry, Manufacturing and Controls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0"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Member of the audit committee</w:t>
      </w:r>
    </w:p>
    <w:p>
      <w:pPr>
        <w:ind w:left="540" w:hanging="424"/>
        <w:spacing w:after="0" w:line="187" w:lineRule="auto"/>
        <w:tabs>
          <w:tab w:leader="none" w:pos="540" w:val="left"/>
        </w:tabs>
        <w:numPr>
          <w:ilvl w:val="0"/>
          <w:numId w:val="85"/>
        </w:numPr>
        <w:rPr>
          <w:rFonts w:ascii="Arial" w:cs="Arial" w:eastAsia="Arial" w:hAnsi="Arial"/>
          <w:sz w:val="18"/>
          <w:szCs w:val="18"/>
          <w:color w:val="auto"/>
          <w:vertAlign w:val="superscript"/>
        </w:rPr>
      </w:pPr>
      <w:r>
        <w:rPr>
          <w:rFonts w:ascii="Arial" w:cs="Arial" w:eastAsia="Arial" w:hAnsi="Arial"/>
          <w:sz w:val="11"/>
          <w:szCs w:val="11"/>
          <w:color w:val="auto"/>
        </w:rPr>
        <w:t>Member of the compensation committee</w:t>
      </w:r>
    </w:p>
    <w:p>
      <w:pPr>
        <w:ind w:left="540" w:hanging="424"/>
        <w:spacing w:after="0" w:line="183" w:lineRule="auto"/>
        <w:tabs>
          <w:tab w:leader="none" w:pos="540" w:val="left"/>
        </w:tabs>
        <w:numPr>
          <w:ilvl w:val="0"/>
          <w:numId w:val="85"/>
        </w:numPr>
        <w:rPr>
          <w:rFonts w:ascii="Arial" w:cs="Arial" w:eastAsia="Arial" w:hAnsi="Arial"/>
          <w:sz w:val="20"/>
          <w:szCs w:val="20"/>
          <w:color w:val="auto"/>
          <w:vertAlign w:val="superscript"/>
        </w:rPr>
      </w:pPr>
      <w:r>
        <w:rPr>
          <w:rFonts w:ascii="Arial" w:cs="Arial" w:eastAsia="Arial" w:hAnsi="Arial"/>
          <w:sz w:val="12"/>
          <w:szCs w:val="12"/>
          <w:color w:val="auto"/>
        </w:rPr>
        <w:t>Member of the corporate governance and nominating committee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b w:val="1"/>
          <w:bCs w:val="1"/>
          <w:color w:val="auto"/>
        </w:rPr>
        <w:t xml:space="preserve">David H. Mack, Ph.D. </w:t>
      </w:r>
      <w:r>
        <w:rPr>
          <w:rFonts w:ascii="Arial" w:cs="Arial" w:eastAsia="Arial" w:hAnsi="Arial"/>
          <w:sz w:val="18"/>
          <w:szCs w:val="18"/>
          <w:color w:val="auto"/>
        </w:rPr>
        <w:t>has served as a member of our board of directors since June 2013 and as our Chief Executive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since July 2013. Previously, Dr. Mack was a general partner at Alta Partners, a venture capital firm focusing on investments in biotechnology and life sciences companies, from 2002 to 2012. Prior to working at Alta Partners, Dr. Mack served as Vice President of Genomics Research at Eos Biotechnology, which was acquired by Protein Design Labs in 2003. From 1994 to 1997, Dr. Mack served as the Head of Cancer Biology at Affymetrix, a biotechnology company that was acquired by Thermo Fisher (NYSE: TMO) in January 2016, where he oversaw the development and application of DNA array technology in the areas of oncology and inflammation. Dr. Mack is a member of the board of directors of Aduro BioTech (NASDAQ: ADRO), a biopharmaceutical company. Dr. Mack has co-authored more than 30 scientific articles and reviews, including papers published in Cell, Science, and Nature, and is an inventor on 26 issued US patents. Dr. Mack was an American Cancer Society Postdoctoral Fellow in microbiology and immunology at Stanford University School of Medicine. Dr. Mack received a B.A. in Molecular Biology from the University of California, Berkeley and a Ph.D. in Molecular Genetics and Cell Biology from the University of Chicago. We believe that Dr. Mack is qualified to serve on our board of directors because of the perspective and experience he provides as our Chief Executive Officer as well as his broad experience in the biotechnology and life sciences industries.</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b w:val="1"/>
          <w:bCs w:val="1"/>
          <w:color w:val="auto"/>
        </w:rPr>
        <w:t xml:space="preserve">Winston Kung </w:t>
      </w:r>
      <w:r>
        <w:rPr>
          <w:rFonts w:ascii="Arial" w:cs="Arial" w:eastAsia="Arial" w:hAnsi="Arial"/>
          <w:sz w:val="18"/>
          <w:szCs w:val="18"/>
          <w:color w:val="auto"/>
        </w:rPr>
        <w:t>has served as our Chief Operating Officer and Chief Financial Officer since December 2017. From April 2013 to</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2017, Mr. Kung worked at Celgene Corporation, a global biopharmaceutical company, where he held multiple positions, including Vice President of Business Development and Global Alliances, and Chief Business Officer at Celgene Cellular Therapeutics (a wholly-owned subsidiary of Celgene Corporation). At Celgene, Mr. Kung led the formation of a strategic long-range plan for the company, along with overseeing multiple transactions and a team that managed the company’s alliance portfolio of over 100 collaborations, equity investments and company integrations. Prior to working at Celgene, Mr. Kung worked at Citigroup from June 2010 to April 2013 in its Global Healthcare Investment Banking group and at Lehman Brothers (which was subsequently acquired by Barclays) from May 2007 to June 2010 in its Global Mergers and Acquisition Group. At Citigroup and Barclays, Mr. Kung worked on various transactions including public and private financings, merger and acquisitions, spin-outs and other financial advisory engagements. From August 2004 to May 2007, Mr. Kung worked at Amgen (NASDAQ: AMGN), a global biopharmaceutical company, as a co-founder of the Alliance Management group, and served as the deal lead on multiple acquisitions as part of the Corporate Development group. Mr. Kung also worked at Genentech, a biotechnology company (acquired by Roche), from November 1999 to September 2002 as part of the Business and Corporate Development group. Mr. Kung previously served on the board of directors of Alliqua BioMedicial (NASDAQ: ALQA) and GNS Healthcare, a private, healthcare artificial intelligence company. Mr. Kung received a B.A. in Biology and International Relations from Brown University and a MBA from Harvard Business School.</w:t>
      </w:r>
    </w:p>
    <w:p>
      <w:pPr>
        <w:spacing w:after="0" w:line="175"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b w:val="1"/>
          <w:bCs w:val="1"/>
          <w:color w:val="auto"/>
        </w:rPr>
        <w:t xml:space="preserve">Leila Alland, M.D. </w:t>
      </w:r>
      <w:r>
        <w:rPr>
          <w:rFonts w:ascii="Arial" w:cs="Arial" w:eastAsia="Arial" w:hAnsi="Arial"/>
          <w:sz w:val="17"/>
          <w:szCs w:val="17"/>
          <w:color w:val="auto"/>
        </w:rPr>
        <w:t>has served as our Chief Medical Officer since December 2019. From March 2018 to November 2019, Dr. Alland</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the Chief Medical Officer at Affimed, a clinical stage immune-oncology company. Dr. Alland served as the Chief Medical Officer at Tarveda Therapeutics, a biotechnology company, from January 2016 to March 2018. Previously, Dr. Alland served as the Vice President and Head of Oncology Early Clinical Development at AstraZeneca (NYSE: AZN) from October 2013 to December 2015. Dr. Alland has also held leadership positions at Bristol-Myers Squibb (NYSE: BMY) from April 2006 to September 2013, Novartis from November 2003 to March 2006 and Schering-Plough from June 2001 to November 2003, where she worked on a broad range of oncology products from early to late stage development and contributed to multiple successful drug approvals. From September 1994 to June 2000, Dr. Alland served as Assistant Professor of Pediatrics at Albert Einstein College of Medicine, where she was awarded the James S. McDonnell Foundation Scholar Award and pursued basic cancer research. Dr. Alland sits on the Scientific Advisory Council of Columbia University’s Center for Radiological Research and serves as a reviewer for the Cancer Prevention and Research Institute of Texas. Dr. Alland serves as a member of the board of directors of Cytovia Therapeutics. Dr. Alland received a B.A. in Biology from the University of Pennsylvania and a M.D. from New York University School of Medicine. Dr. Alland completed her residency in Pediatrics at The Children’s Hospital of Philadelphia and her fellowship in Pediatric Hematology/Oncology at The New York Hospital and Memorial Sloan-Kettering Cancer Center.</w:t>
      </w:r>
    </w:p>
    <w:p>
      <w:pPr>
        <w:spacing w:after="0" w:line="170"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b w:val="1"/>
          <w:bCs w:val="1"/>
          <w:color w:val="auto"/>
        </w:rPr>
        <w:t xml:space="preserve">Deepika Jalota, Pharm.D. </w:t>
      </w:r>
      <w:r>
        <w:rPr>
          <w:rFonts w:ascii="Arial" w:cs="Arial" w:eastAsia="Arial" w:hAnsi="Arial"/>
          <w:sz w:val="18"/>
          <w:szCs w:val="18"/>
          <w:color w:val="auto"/>
        </w:rPr>
        <w:t>has served as our Senior Vice President, Regulatory Affairs and Quality Assurance since June 2019.</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Dr. Jalota was employed by Bayer HealthCare Pharmaceuticals from July 2007 to May 2019 and held multiple leadership positions within Global Regulatory Affairs in oncology and other therapeutic areas. She was most recently Vice President, Global Regulatory Strategy, Oncology from July 2017 to June 2019 and was responsible for overseeing global regulatory strategy development for multiple early and late stage oncology assets. Dr. Jalota also served as Senior Director, Global Regulatory Strategy, Oncology from June 2016 to July 2017 and Director and Head of Global Regulatory Strategy, Dermatology and Ophthalmology from January 2014 to June 2016. Prior to joining Bayer HealthCare Pharmaceuticals, Dr. Jalota was employed by Sanofi-Aventis, Forest Laboratories and Procter and Gamble. Dr. Jalota received a B.S. in Pharmacy from Rutgers University, Ernest Mario School of Pharmacy and a Pharm.D. from the University of Florida, College of Pharmacy.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b w:val="1"/>
          <w:bCs w:val="1"/>
          <w:color w:val="auto"/>
        </w:rPr>
        <w:t xml:space="preserve">Richard Heyman, Ph.D. </w:t>
      </w:r>
      <w:r>
        <w:rPr>
          <w:rFonts w:ascii="Arial" w:cs="Arial" w:eastAsia="Arial" w:hAnsi="Arial"/>
          <w:sz w:val="18"/>
          <w:szCs w:val="18"/>
          <w:color w:val="auto"/>
        </w:rPr>
        <w:t>has served as a member of our board of directors and as our Chairman of our board of directors since</w:t>
      </w:r>
      <w:r>
        <w:rPr>
          <w:rFonts w:ascii="Arial" w:cs="Arial" w:eastAsia="Arial" w:hAnsi="Arial"/>
          <w:sz w:val="18"/>
          <w:szCs w:val="18"/>
          <w:b w:val="1"/>
          <w:bCs w:val="1"/>
          <w:color w:val="auto"/>
        </w:rPr>
        <w:t xml:space="preserve"> </w:t>
      </w:r>
      <w:r>
        <w:rPr>
          <w:rFonts w:ascii="Arial" w:cs="Arial" w:eastAsia="Arial" w:hAnsi="Arial"/>
          <w:sz w:val="18"/>
          <w:szCs w:val="18"/>
          <w:color w:val="auto"/>
        </w:rPr>
        <w:t>June 2020. Dr. Heyman has served on the board of directors of ORIC Pharmaceuticals (NASDAQ: ORIC), a clinical-stage biopharmaceutical company, since March 2015 and was appointed the chairman of the board of directors in May 2018. Dr Heyman also served as ORIC Pharmaceuticals’s President and Chief Executive Officer, from November 2015 to May 2016, and as Acting President and Chief Executive Officer, from November 2017 to May 2018. Since June 2015, he has served as the Executive Chairman and Co-Founder of Metacrine, a private biotechnology company. Since 2019, Dr. Heyman has served as a venture partner for Arch Ventures, a venture capital firm. From August 2013 to April 2015, Dr. Heyman served as President and Chief Executive Officer of Seragon Pharmaceutical, which was acquired by Roche Genentech in 2014. Prior to that, he served as Co-Founder, President and Chief Executive Officer of Aragon Pharmaceuticals, a biotechnology company that was acquired by Johnson &amp; Johnson (NYSE: JNJ), a medical device, pharmaceutical and consumer packaged goods company, in 2013. Dr. Heyman currently also serves on the board of directors of Gritstone Oncology (NASDAQ: GRTS), an oncology company. He is Vice Chair of the Board of Trustees at the Salk Institute and serves on the Board Foundation for the American Association for Cancer Research and on the executive committee at the University of California at San Diego Moores Cancer Center. Dr. Heyman received a B.S. in Chemistry from the University of Connecticut and a Ph.D. in Pharmacology from the University of Minnesota. We believe that Dr. Heyman is qualified to serve on our board of directors because of his perspective having served as both an executive and director of similar corporations, including public companies, his scientific background and his extensive career in the biotechnology industry.</w:t>
      </w:r>
    </w:p>
    <w:p>
      <w:pPr>
        <w:spacing w:after="0" w:line="186"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b w:val="1"/>
          <w:bCs w:val="1"/>
          <w:color w:val="auto"/>
        </w:rPr>
        <w:t xml:space="preserve">Arnold Levine, Ph.D. </w:t>
      </w:r>
      <w:r>
        <w:rPr>
          <w:rFonts w:ascii="Arial" w:cs="Arial" w:eastAsia="Arial" w:hAnsi="Arial"/>
          <w:sz w:val="18"/>
          <w:szCs w:val="18"/>
          <w:color w:val="auto"/>
        </w:rPr>
        <w:t>has served as a member of our board of directors since June 2013. Since 2011, Dr. Levine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Professor Emeritus at The Simons Center for Systems Biology at the Institute for Advanced Study in Princeton, New Jersey, an institute he helped establish. Dr. Levine trained as a Postdoctoral Fellow at California Institute of Technology in the laboratory of Robert Sinsheimer. Dr. Levine is a widely acclaimed leader in cancer research. Dr. Levine currently serves on the board of directors of Meira GTX (NASDAQ: MGTX), a clinical-stage gene therapy company, GeneCentric Therapeutics, a private biomarker producer, and Chugai Pharmabody Research, a subsidiary of Chugai Pharmaceutical focused on utilizing proprietary antibody engineering technologies.</w:t>
      </w:r>
    </w:p>
    <w:p>
      <w:pPr>
        <w:spacing w:after="0" w:line="2"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Dr. Levine previously was a member of the board of directors of Adaptive Biotechnologies (NASDAQ: ADPT), a commercial-stage biotechnology company. In 1979, Dr. Levine and others discovered the p53 tumor suppressor protein. Dr. Levine helped shape U.S. science priorities as chairman of an influential 1996 review panel on federal AIDS research funding. He also chaired the National Cancer Advisory Board, which advises the National Academy of Sciences and its Institute of Medicine on cancer policy. He was elected to the National Academy of Sciences in 1991 and to its Institute of Medicine in 1995. In April 2001, Levine received the first Albany Medical Center Prize in Medicine and Biomedical Research, the largest annual prize in science or medicine offered in the United States. In 1968, Dr. Levine joined Princeton University as an Assistant Professor, becoming a Professor of biochemistry in 1976. In 1979, he moved to the SUNY Stony Brook School of Medicine to Chair the Department of Microbiology. He returned to Princeton in 1984 and between 1984 and 1996, he presided over a major expansion of Princeton’s life sciences programs as Chairman of the Department of Molecular Biology. From 1998 to 2002, Dr. Levine was President of the Rockefeller University. Dr. Levine received a B.A. from Harpur College, State University of New York and a Ph.D. in Microbiology from the University of Pennsylvania. We believe Dr. Levine is qualified to serve on our board of directors due to his extensive academic and professional experience in cancer research and molecular biology.</w:t>
      </w:r>
    </w:p>
    <w:p>
      <w:pPr>
        <w:spacing w:after="0" w:line="180" w:lineRule="exact"/>
        <w:rPr>
          <w:sz w:val="20"/>
          <w:szCs w:val="20"/>
          <w:color w:val="auto"/>
        </w:rPr>
      </w:pPr>
    </w:p>
    <w:p>
      <w:pPr>
        <w:ind w:left="120" w:right="200" w:firstLine="551"/>
        <w:spacing w:after="0" w:line="278" w:lineRule="auto"/>
        <w:rPr>
          <w:sz w:val="20"/>
          <w:szCs w:val="20"/>
          <w:color w:val="auto"/>
        </w:rPr>
      </w:pPr>
      <w:r>
        <w:rPr>
          <w:rFonts w:ascii="Arial" w:cs="Arial" w:eastAsia="Arial" w:hAnsi="Arial"/>
          <w:sz w:val="18"/>
          <w:szCs w:val="18"/>
          <w:b w:val="1"/>
          <w:bCs w:val="1"/>
          <w:color w:val="auto"/>
        </w:rPr>
        <w:t xml:space="preserve">Arnold Oronsky, Ph.D. </w:t>
      </w:r>
      <w:r>
        <w:rPr>
          <w:rFonts w:ascii="Arial" w:cs="Arial" w:eastAsia="Arial" w:hAnsi="Arial"/>
          <w:sz w:val="18"/>
          <w:szCs w:val="18"/>
          <w:color w:val="auto"/>
        </w:rPr>
        <w:t>has served as a member of our board of directors since July 2013. Dr. Oronsky is a Managing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InterWest Venture Management Company, a venture capital firm</w:t>
      </w:r>
    </w:p>
    <w:p>
      <w:pPr>
        <w:spacing w:after="0" w:line="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investing primarily in information technology and healthcare companies. Dr. Oronsky has worked at InterWest Partners since 1994. In addition, Dr. Oronsky also serves as a Senior Lecturer in the Department of Medicine at Johns Hopkins Medical School. Prior to joining InterWest Partners, Dr. Oronsky served as the Vice President for discovery research of the Lederle Laboratories division of American Cyanamid Company, where he directed the research for new drugs. Dr. Oronsky has published over 125 scientific articles and has served on the board of directors of Centrexion Therapeutics since 2013, Dynavax Technologies (NASDAQ: DVAX) since 1996, Epicent Rx since 2003, KalVista Pharmaceuticals (NASDAQ: KALV) since 2016, Prothex Pharmaceuticals since 2007 and Sera Prognostics since 2015. Dr. Oronsky previously served as a director of Applied Genetic Technologies (NASDAQ: AGTC) from 2003 to 2017 and Tesaro, a biopharmaceutical company acquired by GSK, from 2011 to 2018. Dr. Oronsky received a A.B. degree in History from New York University and a Ph.D. in Immunology from Columbia University. We believe Dr. Oronsky is qualified to serve on our board of directors because of his experience in the healthcare industry as well as his prior experience on the boards of U.S. private and public companies.</w:t>
      </w:r>
    </w:p>
    <w:p>
      <w:pPr>
        <w:spacing w:after="0" w:line="178"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b w:val="1"/>
          <w:bCs w:val="1"/>
          <w:color w:val="auto"/>
        </w:rPr>
        <w:t xml:space="preserve">Thilo Schroeder, Ph.D. </w:t>
      </w:r>
      <w:r>
        <w:rPr>
          <w:rFonts w:ascii="Arial" w:cs="Arial" w:eastAsia="Arial" w:hAnsi="Arial"/>
          <w:sz w:val="18"/>
          <w:szCs w:val="18"/>
          <w:color w:val="auto"/>
        </w:rPr>
        <w:t>has served as a member of our board of directors since November 2019. Dr. Schroeder is a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Nextech Invest Ltd. and has worked there since July 2012. Dr. Schroeder began his career at the pioneering cancer immunology company Micromet (acquired by Amgen) while studying at Ecole Supérieure de Biotechnologie de Strasbourg (ESBS) and conducting research at the University of Sydney. Dr. Schroeder currently serves as a member of the board of directors of Revolution Medicines (NASDAQ: RVMD), IDEAYA Biosciences (NASDAQ: IDYA), Circle Pharma, Silverback Therapeutics and MOMA Therapeutics. Dr. Schroeder was previously a member of the board of directors of ImaginAb, Blueprint Medicines (NASDAQ: BPMC) and Peloton Therapeutics (acquired by Merck). Dr. Schroeder studied biotechnology, protein biochemistry and process engineering at ESBS and received a Ph.D. in Biochemistry from the University of Zurich. We believe Dr. Schroeder is qualified to serve on our board of directors due to his professional experience as well as his prior experience serving on the boards of U.S. private and public companies.</w:t>
      </w:r>
    </w:p>
    <w:p>
      <w:pPr>
        <w:spacing w:after="0" w:line="17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b w:val="1"/>
          <w:bCs w:val="1"/>
          <w:color w:val="auto"/>
        </w:rPr>
        <w:t xml:space="preserve">Laurie Stelzer </w:t>
      </w:r>
      <w:r>
        <w:rPr>
          <w:rFonts w:ascii="Arial" w:cs="Arial" w:eastAsia="Arial" w:hAnsi="Arial"/>
          <w:sz w:val="18"/>
          <w:szCs w:val="18"/>
          <w:color w:val="auto"/>
        </w:rPr>
        <w:t>has served as a member of our board of directors since August 2020. Ms. Stelzer has served as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Financial Officer of Arena Pharmaceuticals, Inc. (NASDAQ: ARNA), a biopharmaceutical company, since March 2020. She has also served on the board of directors of Surface Oncology, Inc. (NASDAQ: SURF), a clinical-stage immuno-oncology company, since January 2018. Prior to joining Arena Pharmaceuticals, Ms. Stelzer was the Chief Financial Officer at Halozyme Therapeutics, Inc. (NASDAQ: HALO), a biopharma technology platform company, from June 2015 to March 2020, where she led the Finance, Information Technology, Business Development, Project Management and Site Operations organizations. Prior to joining Halozyme Therapeutics, Ms. Stelzer held senior management roles at Shire Plc (acquired by Takeda), including Senior Vice President of Finance, Division Chief Financial Officer for the Regenerative Medicine Division and Head of Investor Relations. Previously, she also worked at Amgen, Inc. (NASDAQ: AMGN), a global biopharmaceutical company, for 15 years, serving in positions of increasing responsibility in the areas of Finance, Treasury, Global Accounting and International/Emerging Markets. Ms. Stelzer received her B.S. in Accounting from Arizona State University and her M.B.A. from University of California, Los Angeles, Anderson School of Management. We believe that Ms. Stelzer is qualified to serve on our board of directors because of her extensive executive and financial experience at multiple public companies in the biopharmaceutical and biotechnology industries.</w:t>
      </w:r>
    </w:p>
    <w:p>
      <w:pPr>
        <w:spacing w:after="0" w:line="180" w:lineRule="exact"/>
        <w:rPr>
          <w:sz w:val="20"/>
          <w:szCs w:val="20"/>
          <w:color w:val="auto"/>
        </w:rPr>
      </w:pPr>
    </w:p>
    <w:p>
      <w:pPr>
        <w:ind w:left="120" w:right="60" w:firstLine="551"/>
        <w:spacing w:after="0" w:line="249" w:lineRule="auto"/>
        <w:rPr>
          <w:sz w:val="20"/>
          <w:szCs w:val="20"/>
          <w:color w:val="auto"/>
        </w:rPr>
      </w:pPr>
      <w:r>
        <w:rPr>
          <w:rFonts w:ascii="Arial" w:cs="Arial" w:eastAsia="Arial" w:hAnsi="Arial"/>
          <w:sz w:val="18"/>
          <w:szCs w:val="18"/>
          <w:b w:val="1"/>
          <w:bCs w:val="1"/>
          <w:color w:val="auto"/>
        </w:rPr>
        <w:t xml:space="preserve">Peter Thompson, M.D. </w:t>
      </w:r>
      <w:r>
        <w:rPr>
          <w:rFonts w:ascii="Arial" w:cs="Arial" w:eastAsia="Arial" w:hAnsi="Arial"/>
          <w:sz w:val="18"/>
          <w:szCs w:val="18"/>
          <w:color w:val="auto"/>
        </w:rPr>
        <w:t>has served as a member of our board of directors since November 2014. Dr. Thompson is a Private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at OrbiMed Advisors LLC, an investment firm focused on the healthcare sector, where he previously served as a Venture Partner. Dr. Thompson currently serves on the board of directors of Alpine Immune Sciences (NASDAQ: ALPN), a clinical-stage immunotherapy company, Corvus Pharmaceuticals (NASDAQ: CRVS), a clinical-stage precision medicine company,</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and Prevail Therapeutics (NASDAQ: PRVL), a precision medicine company focusing on neurodegenerative disorders. Dr. Thompson also currently serves on the board of directors of several private companies. Dr. Thompson has previously served on the board of directors of Adaptimmune Therapeutics (NASDAQ: ADAP), a clinical-stage biopharmaceutical company, Principia Biopharma (NASDAQ: PRNB), a late-stage biopharmaceutical company, and Synthorx (NASDAQ: THOR), a clinical-stage biotechnology company. Dr. Thompson has cofounded numerous companies, including Edgewise Therapeutics, Silverback Therapeutics and Cleave Biosciences. Dr. Thompson also previously served in executive leadership roles at Trubion Pharmaceuticals, Chiron and Becton, Dickinson and Company. Dr. Thompson is an Affiliate Professor of Neurosurgery at the University of Washington. In addition, Dr. Thompson holds numerous patents and is a board-certified internist and oncologist. Dr. Thompson received a B.S. in Molecular Biology and Mathematics from Brown University and a M.D. from Brown University Medical School. We believe Dr. Thompson’s experience in management and venture capital in the biopharmaceutical industry provides him with the qualifications and skills to serve as a member of our board of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Employees</w:t>
      </w:r>
    </w:p>
    <w:p>
      <w:pPr>
        <w:spacing w:after="0" w:line="102"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b w:val="1"/>
          <w:bCs w:val="1"/>
          <w:color w:val="auto"/>
        </w:rPr>
        <w:t xml:space="preserve">Michael Carulli </w:t>
      </w:r>
      <w:r>
        <w:rPr>
          <w:rFonts w:ascii="Arial" w:cs="Arial" w:eastAsia="Arial" w:hAnsi="Arial"/>
          <w:sz w:val="18"/>
          <w:szCs w:val="18"/>
          <w:color w:val="auto"/>
        </w:rPr>
        <w:t>has served as our Vice President of Finance since May 2020. Prior to joining our company, Mr. Carulli was an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Director of R&amp;D Financial Planning and Analysis at Celgene (now Bristol Myers Squibb) where he oversaw the financial and operational plans for the entire Research and Development organization. Mr. Carulli spent over ten years at Celgene where he held multiple positions with increasing responsibility working closely on the R&amp;D strategy, long range planning and financial partnering to the Business Development and Alliance Management team. Mr. Carulli was the Chief of Staff to the President of Research &amp; Early Development for two years, as well as the R&amp;D finance lead for the Bristol Myers Squibb integration and Otezla divestiture to Amgen. Combined, Mr. Carulli has over 20 years of financial management experience and has led many process improvement initiatives and implemented several business intelligence technology solutions. He received a B.S. in Marketing and Management from Siena College and a M.B.A. from Fordham University.</w:t>
      </w:r>
    </w:p>
    <w:p>
      <w:pPr>
        <w:spacing w:after="0" w:line="17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b w:val="1"/>
          <w:bCs w:val="1"/>
          <w:color w:val="auto"/>
        </w:rPr>
        <w:t xml:space="preserve">Melissa Dumble, Ph.D. </w:t>
      </w:r>
      <w:r>
        <w:rPr>
          <w:rFonts w:ascii="Arial" w:cs="Arial" w:eastAsia="Arial" w:hAnsi="Arial"/>
          <w:sz w:val="18"/>
          <w:szCs w:val="18"/>
          <w:color w:val="auto"/>
        </w:rPr>
        <w:t>has served as our Vice President of Preclinical Development and Translational Science since August 2020</w:t>
      </w:r>
      <w:r>
        <w:rPr>
          <w:rFonts w:ascii="Arial" w:cs="Arial" w:eastAsia="Arial" w:hAnsi="Arial"/>
          <w:sz w:val="18"/>
          <w:szCs w:val="18"/>
          <w:b w:val="1"/>
          <w:bCs w:val="1"/>
          <w:color w:val="auto"/>
        </w:rPr>
        <w:t xml:space="preserve"> </w:t>
      </w:r>
      <w:r>
        <w:rPr>
          <w:rFonts w:ascii="Arial" w:cs="Arial" w:eastAsia="Arial" w:hAnsi="Arial"/>
          <w:sz w:val="18"/>
          <w:szCs w:val="18"/>
          <w:color w:val="auto"/>
        </w:rPr>
        <w:t>and previously served as our Vice President of Pharmacology and Translational Medicine from October 2017 to August 2020. Prior to joining our company, Dr. Dumble was a Research Leader at Bristol-Myers Squibb (BMS, Lawrenceville site) developing small molecules to regulate tumor intrinsic targets that may sensitize cancers to immuno-oncology agents. Before her tenure at BMS, she worked at PTC Therapeutics and Enzon Pharmaceuticals, leading drug discovery projects in oncology, infectious disease and genetic disorders from lead optimization to clinical trials. Dr. Dumble began her career at GSK Oncology, training as a pharmacologist and working on many of the marketed kinase inhibitors (e.g. Votrient</w:t>
      </w:r>
      <w:r>
        <w:rPr>
          <w:rFonts w:ascii="Arial" w:cs="Arial" w:eastAsia="Arial" w:hAnsi="Arial"/>
          <w:sz w:val="15"/>
          <w:szCs w:val="15"/>
          <w:color w:val="auto"/>
        </w:rPr>
        <w:t>TM</w:t>
      </w:r>
      <w:r>
        <w:rPr>
          <w:rFonts w:ascii="Arial" w:cs="Arial" w:eastAsia="Arial" w:hAnsi="Arial"/>
          <w:sz w:val="18"/>
          <w:szCs w:val="18"/>
          <w:color w:val="auto"/>
        </w:rPr>
        <w:t>, Mekinist</w:t>
      </w:r>
      <w:r>
        <w:rPr>
          <w:rFonts w:ascii="Arial" w:cs="Arial" w:eastAsia="Arial" w:hAnsi="Arial"/>
          <w:sz w:val="15"/>
          <w:szCs w:val="15"/>
          <w:color w:val="auto"/>
        </w:rPr>
        <w:t>TM</w:t>
      </w:r>
      <w:r>
        <w:rPr>
          <w:rFonts w:ascii="Arial" w:cs="Arial" w:eastAsia="Arial" w:hAnsi="Arial"/>
          <w:sz w:val="18"/>
          <w:szCs w:val="18"/>
          <w:color w:val="auto"/>
        </w:rPr>
        <w:t>, Tafinlar</w:t>
      </w:r>
      <w:r>
        <w:rPr>
          <w:rFonts w:ascii="Arial" w:cs="Arial" w:eastAsia="Arial" w:hAnsi="Arial"/>
          <w:sz w:val="15"/>
          <w:szCs w:val="15"/>
          <w:color w:val="auto"/>
        </w:rPr>
        <w:t>TM</w:t>
      </w:r>
      <w:r>
        <w:rPr>
          <w:rFonts w:ascii="Arial" w:cs="Arial" w:eastAsia="Arial" w:hAnsi="Arial"/>
          <w:sz w:val="18"/>
          <w:szCs w:val="18"/>
          <w:color w:val="auto"/>
        </w:rPr>
        <w:t>). In addition, she led the team of scientists developing an oral Akt inhibitor to clinical trials. Dr. Dumble has co-authored over 20 manuscripts and is an inventor on 5 issued patents. Dr. Dumble received a B.S. in Biochemistry and Human Biology and a Ph.D. in Cell and Molecular Biology from the University of Western Australia. She also completed a Postdoctoral Fellowship at Baylor College of Medicine, Houston. Her studies were based on understanding the role of p53 in stem cell dynamics, cancer and aging.</w:t>
      </w:r>
    </w:p>
    <w:p>
      <w:pPr>
        <w:spacing w:after="0" w:line="176"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b w:val="1"/>
          <w:bCs w:val="1"/>
          <w:color w:val="auto"/>
        </w:rPr>
        <w:t xml:space="preserve">Robert Ticktin </w:t>
      </w:r>
      <w:r>
        <w:rPr>
          <w:rFonts w:ascii="Arial" w:cs="Arial" w:eastAsia="Arial" w:hAnsi="Arial"/>
          <w:sz w:val="18"/>
          <w:szCs w:val="18"/>
          <w:color w:val="auto"/>
        </w:rPr>
        <w:t>has served as our General Counsel since August 2020, and served as our part-time legal consultant from May to</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2020. Prior to joining our company, Mr. Ticktin was Associate General Counsel, Corporate, at Tesaro, Inc., a development and commercial oncology company (acquired by GSK), where he spent three years leading corporate legal matters, including SEC reporting, business development and alliance management support. Prior to that, Mr. Ticktin was SVP and General Counsel for three years at Epirus Biopharmaceuticals, a biosimilar start-up. Before his tenure at Epirus, Mr. Ticktin spent ten years at Amgen Inc., where he held various leadership positions in Amgen’s legal department. Mr. Ticktin commenced his legal career in New York City at global law</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80"/>
        <w:spacing w:after="0" w:line="276" w:lineRule="auto"/>
        <w:rPr>
          <w:sz w:val="20"/>
          <w:szCs w:val="20"/>
          <w:color w:val="auto"/>
        </w:rPr>
      </w:pPr>
      <w:r>
        <w:rPr>
          <w:rFonts w:ascii="Arial" w:cs="Arial" w:eastAsia="Arial" w:hAnsi="Arial"/>
          <w:sz w:val="18"/>
          <w:szCs w:val="18"/>
          <w:color w:val="auto"/>
        </w:rPr>
        <w:t>firms, Simpson Thacher &amp; Bartlett LLP and Latham &amp; Watkins LLP. Mr. Ticktin received a B.A. in Economics from The Ohio State University and a J.D. from Fordham University School of Law.</w:t>
      </w:r>
    </w:p>
    <w:p>
      <w:pPr>
        <w:spacing w:after="0" w:line="143"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b w:val="1"/>
          <w:bCs w:val="1"/>
          <w:color w:val="auto"/>
        </w:rPr>
        <w:t xml:space="preserve">Binh Vu, Ph.D. </w:t>
      </w:r>
      <w:r>
        <w:rPr>
          <w:rFonts w:ascii="Arial" w:cs="Arial" w:eastAsia="Arial" w:hAnsi="Arial"/>
          <w:sz w:val="18"/>
          <w:szCs w:val="18"/>
          <w:color w:val="auto"/>
        </w:rPr>
        <w:t>has served as our Vice President of Drug Discovery and Chemistry, Manufacturing and Controls since August 2020</w:t>
      </w:r>
      <w:r>
        <w:rPr>
          <w:rFonts w:ascii="Arial" w:cs="Arial" w:eastAsia="Arial" w:hAnsi="Arial"/>
          <w:sz w:val="18"/>
          <w:szCs w:val="18"/>
          <w:b w:val="1"/>
          <w:bCs w:val="1"/>
          <w:color w:val="auto"/>
        </w:rPr>
        <w:t xml:space="preserve"> </w:t>
      </w:r>
      <w:r>
        <w:rPr>
          <w:rFonts w:ascii="Arial" w:cs="Arial" w:eastAsia="Arial" w:hAnsi="Arial"/>
          <w:sz w:val="18"/>
          <w:szCs w:val="18"/>
          <w:color w:val="auto"/>
        </w:rPr>
        <w:t>and previously served as our Vice President of Chemistry from June 2015 to August 2020, Director of Research from September 2013 to October 2014 and our Vice President of Pre-Clinical Discovery from November 2014 to May 2015. Prior to joining our company, Dr. Vu was a Research Leader at Roche where he spent 15 years working in small molecule oncology drug discovery. While at Roche, Dr. Vu was a key contributor to the discovery and development of Nutlins, small molecule MDM2 antagonists which target the p53 pathway. He has extensively published on p53 biology and drug discovery, and is an inventor on 14 issued U.S. patents. Dr. Vu received a B.S. in Chemistry from the University of California, Irvine and a Ph.D. in Chemistry from the University of California, Los Angeles. He also completed an NIH Postdoctoral Fellowship at the University of Texas at Austin.</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Composition</w:t>
      </w:r>
    </w:p>
    <w:p>
      <w:pPr>
        <w:spacing w:after="0" w:line="214"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The voting agreement and the provisions of our current certificate of incorporation that govern the election and designation of our directors will terminate in connection with this offering, after which no contractual obligations will concern the election of our directors. Each of our current directors will continue to serve as a director until the election and qualification of his or her successor, or until his or her earlier death, resignation or removal.</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Classified Board of Directors</w:t>
      </w:r>
    </w:p>
    <w:p>
      <w:pPr>
        <w:spacing w:after="0" w:line="21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amended and restated certificate of incorporation, which will be effective immediately prior to the completion of this offering,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directors will be divided among the three classes as follows:</w:t>
      </w:r>
    </w:p>
    <w:p>
      <w:pPr>
        <w:spacing w:after="0" w:line="76" w:lineRule="exact"/>
        <w:rPr>
          <w:sz w:val="20"/>
          <w:szCs w:val="20"/>
          <w:color w:val="auto"/>
        </w:rPr>
      </w:pPr>
    </w:p>
    <w:p>
      <w:pPr>
        <w:ind w:left="880" w:right="60" w:hanging="224"/>
        <w:spacing w:after="0" w:line="27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Class I directors will be Thilo Schroeder, Ph.D. and Peter Thompson, M.D., and their terms will expire at the annual meeting of stockholders to be held in 2021;</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Class II directors will be Arnold Levine, Ph.D. and Arnold Oronsky, Ph.D., and their terms will expire at the annual meeting of stockholders to be held in 2022; and</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Class III directors will be Richard Heyman, Ph.D., Laurie Stelzer and David H. Mack, Ph.D., and their terms will expire at the annual meeting of stockholders to be held in 2023.</w:t>
      </w:r>
    </w:p>
    <w:p>
      <w:pPr>
        <w:spacing w:after="0" w:line="145"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and amended and restated bylaws. Any additional directorships resulting from an increase in the number of directors will be distributed among the three classes so that, as nearly as possible, each class will consist of one third of our directors. This classification of our board of directors may have the effect of delaying or preventing changes in control of our company.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Independence</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have applied to list our common stock on the Nasdaq Global Market. Under the rules of the Nasdaq Stock Market LLC, or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Securities Exchange Act of 1934, as amended, or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of a listed company must affirmatively determine that each member of the compensation committee is independent, including a consideration of all factors specifically relevant to determining whether the director has a relationship to the company that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79"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Richard Heyman, Ph.D., Arnold Levine, Ph.D., Arnold Oronsky, Ph.D., Thilo Schroeder, Ph.D., Laurie Stelzer and Peter Thompson, M.D., representing six of our seven directors, do not have a relationship that would interfere with the exercise of independent judgment in carrying out the responsibilities of a director and that each of these directors is “independent” as that term is defined under the rules of Nasdaq. Dr. Mack is not an independent director because he is our President and Chief Executive Officer.</w:t>
      </w:r>
    </w:p>
    <w:p>
      <w:pPr>
        <w:spacing w:after="0" w:line="180"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 There are no family relationships among any of our directors or executive officers.</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Leadership Structure</w:t>
      </w:r>
    </w:p>
    <w:p>
      <w:pPr>
        <w:spacing w:after="0" w:line="214" w:lineRule="exact"/>
        <w:rPr>
          <w:sz w:val="20"/>
          <w:szCs w:val="20"/>
          <w:color w:val="auto"/>
        </w:rPr>
      </w:pPr>
    </w:p>
    <w:p>
      <w:pPr>
        <w:ind w:left="120" w:right="520" w:firstLine="551"/>
        <w:spacing w:after="0" w:line="276" w:lineRule="auto"/>
        <w:rPr>
          <w:sz w:val="20"/>
          <w:szCs w:val="20"/>
          <w:color w:val="auto"/>
        </w:rPr>
      </w:pPr>
      <w:r>
        <w:rPr>
          <w:rFonts w:ascii="Arial" w:cs="Arial" w:eastAsia="Arial" w:hAnsi="Arial"/>
          <w:sz w:val="18"/>
          <w:szCs w:val="18"/>
          <w:color w:val="auto"/>
        </w:rPr>
        <w:t>Our board of directors is currently chaired by Richard Heyman, Ph.D. As a general policy, our board of directors believes that separation of the positions of chair of our board of directors and Chief</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Executive Officer reinforces the independence of our board of directors from management, creates an environment that encourages objective oversight of management’s performance and enhances the effectiveness of our board of directors as a whole. As such, Dr. Mack serves as our Chief Executive Officer while Dr. Heyman serves as the chair of our board of directors, but is not an officer. We currently expect and intend the positions of chair of our board of directors and Chief Executive Officer to continue to be held by two individuals in the future.</w:t>
      </w: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Role of the Board in Risk Oversight</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audit committee is responsible for overseeing the management of risks relating to accounting matters and financial reporting. The compensation committee is responsible for overseeing the management of risks relating to our executive compensation plans and arrangements.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Committees</w:t>
      </w:r>
    </w:p>
    <w:p>
      <w:pPr>
        <w:spacing w:after="0" w:line="21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Our board of directors has an audit committee, a compensation committee and a corporate governance and nominating committee, each of which has the composition and the responsibilities described below. Each committee intends to adopt a written charter that satisfies the applicable rules and regulations of the Securities Exchange Commission, or SEC, and the listing standards of Nasdaq, which we will post on our website at www.pmvpharma.com upon the completion of this offering. Information contained on, or that can be accessible through, our website is not a part of this prospectus and the inclusion of our website address in this prospectus is an inactive textual reference only.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Upon the effectiveness of the registration statement of which this prospectus forms a part, the members of our audit committee will be Laurie Stelzer, Richard Heyman, Ph.D. and Thilo Schroeder, Ph.D., and Ms. Stelzer will be the chair of our audit committee. Our board of directors has determined that all members are independent under the listing standards of Nasdaq and Rule 10A-3(b)(1) of the Exchange Act and that Ms. Stelzer is an audit committee financial expert, as that term is defined under the SEC rules implementing Section 407 of the Sarbanes-Oxley Act of 2012, as amended, and possesses financial sophistication, as defined under the rules of Nasdaq. Our board of directors has also determined that each member of our audit committee can read and understand fundamental financial statements, in accordance with applicable requirements. Our audit committee will oversee our corporate accounting and financial reporting process and assist our board of directors in monitoring our financial systems. Among other matters, our audit committee will also:</w:t>
      </w:r>
    </w:p>
    <w:p>
      <w:pPr>
        <w:spacing w:after="0" w:line="73" w:lineRule="exact"/>
        <w:rPr>
          <w:sz w:val="20"/>
          <w:szCs w:val="20"/>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select and hire the independent registered public accounting firm to audit our financial statements;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approve audit and non-audit services and fees;</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 financial statements and discuss with management and the independent registered public accounting firm our annual audited and quarterly financial statements, the results of the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spacing w:after="0" w:line="276" w:lineRule="auto"/>
        <w:rPr>
          <w:sz w:val="20"/>
          <w:szCs w:val="20"/>
          <w:color w:val="auto"/>
        </w:rPr>
      </w:pPr>
      <w:r>
        <w:rPr>
          <w:rFonts w:ascii="Arial" w:cs="Arial" w:eastAsia="Arial" w:hAnsi="Arial"/>
          <w:sz w:val="18"/>
          <w:szCs w:val="18"/>
          <w:color w:val="auto"/>
        </w:rPr>
        <w:t>independent audit and the quarterly reviews and the reports and certifications regarding internal controls over financial reporting and disclosure controls;</w:t>
      </w:r>
    </w:p>
    <w:p>
      <w:pPr>
        <w:spacing w:after="0" w:line="50" w:lineRule="exact"/>
        <w:rPr>
          <w:sz w:val="20"/>
          <w:szCs w:val="20"/>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and monitor conflicts of interest situations, and approve or prohibit any involvement in matters that may involve a conflict of interest or taking of a corporate opportunity;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 related party transactions; and</w:t>
      </w:r>
    </w:p>
    <w:p>
      <w:pPr>
        <w:spacing w:after="0" w:line="117"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Upon the effectiveness of the registration statement of which this prospectus forms a part, the members of our compensation committee will be Richard Heyman, Ph.D., Arnold Oronsky, Ph.D. and Peter Thompson, M.D., and Dr. Heyman will be the chair of our compensation committee. Our board of directors has determined that all members are independent under the listing standards of Nasdaq and are “non-employee directors” as defined in Rule 16b-3 promulgated under the Exchange Act. Our compensation committee will oversee our compensation policies, plans and benefits programs. Among other matters, our compensation committee will also:</w:t>
      </w:r>
    </w:p>
    <w:p>
      <w:pPr>
        <w:spacing w:after="0" w:line="78" w:lineRule="exact"/>
        <w:rPr>
          <w:sz w:val="20"/>
          <w:szCs w:val="20"/>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and approve or recommend to the board of directors for approval compensation for our executive officers and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04"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Upon the effectiveness of the registration statement of which this prospectus forms a part, the members of our corporate governance and nominating committee will be Peter Thompson, M.D., Richard Heyman, Ph.D. and Thilo Schroeder, Ph.D., and Dr. Thompson will be the chair of our corporate governance and nominating committee. Our board of directors has determined that all members of the corporate governance and nominating committee are independent under the listing standards of Nasdaq. Our corporate governance and nominating committee will oversee and assist our board of directors in reviewing and recommending nominees for election as directors. Among other matters, our corporate governance and nominating committee will:</w:t>
      </w:r>
    </w:p>
    <w:p>
      <w:pPr>
        <w:spacing w:after="0" w:line="79" w:lineRule="exact"/>
        <w:rPr>
          <w:sz w:val="20"/>
          <w:szCs w:val="20"/>
          <w:color w:val="auto"/>
        </w:rPr>
      </w:pPr>
    </w:p>
    <w:p>
      <w:pPr>
        <w:ind w:left="880" w:right="20" w:hanging="224"/>
        <w:spacing w:after="0" w:line="276"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40"/>
          </w:cols>
          <w:pgMar w:left="320" w:top="455" w:right="5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620" w:hanging="224"/>
        <w:spacing w:after="0" w:line="276"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consider and make recommendations to our board of directors regarding the composition of our board of directors and its committees;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4" w:lineRule="exact"/>
        <w:rPr>
          <w:sz w:val="20"/>
          <w:szCs w:val="20"/>
          <w:color w:val="auto"/>
        </w:rPr>
      </w:pPr>
    </w:p>
    <w:p>
      <w:pPr>
        <w:jc w:val="both"/>
        <w:ind w:left="120" w:right="20" w:firstLine="551"/>
        <w:spacing w:after="0" w:line="248"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70"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Dr. Heyman and Dr. Levine have or may be deemed to have an interest in certain transactions requiring disclosure under Item 404 of Regulation S-K under the Securities Act of 1933, as amended, or Securities Act. These transactions between us and members of our compensation committee and affiliates of such members are disclosed in “Certain Relationships and Related Party Transactions,” and such disclosure is incorporated by reference herein.</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Scientific Advisory Board</w:t>
      </w:r>
    </w:p>
    <w:p>
      <w:pPr>
        <w:spacing w:after="0" w:line="21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 xml:space="preserve">We have established a scientific advisory board composed of leading academic and industry scientists. We seek advice and input from these scientists on an </w:t>
      </w:r>
      <w:r>
        <w:rPr>
          <w:rFonts w:ascii="Arial" w:cs="Arial" w:eastAsia="Arial" w:hAnsi="Arial"/>
          <w:sz w:val="18"/>
          <w:szCs w:val="18"/>
          <w:i w:val="1"/>
          <w:iCs w:val="1"/>
          <w:color w:val="auto"/>
        </w:rPr>
        <w:t>ad hoc</w:t>
      </w:r>
      <w:r>
        <w:rPr>
          <w:rFonts w:ascii="Arial" w:cs="Arial" w:eastAsia="Arial" w:hAnsi="Arial"/>
          <w:sz w:val="18"/>
          <w:szCs w:val="18"/>
          <w:color w:val="auto"/>
        </w:rPr>
        <w:t xml:space="preserve"> basis, individually or as a group, to provide scientific and clinical feedback and advice related to our research and development platform and programs. The members of our advisory board consist of experts across a range of key disciplines relevant to our programs. Except for Drs. Levine and Heyman, who are members of our board of directors, our advisors are not our employees or directors and have no decision-making authority over our activities. Our advisors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 All of our advisors are affiliated with other entities and devote only a small portion of their time to us. Our advisors receive cash and equity compensation based upon consulting services rendered.</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Prior to the completion of this offering,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www.pmvpharma.com.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or that can be accessible through, our website is not a part of this prospectus and the inclusion of our website address in this prospectus is an inactive textual reference only.</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Compensation</w:t>
      </w:r>
    </w:p>
    <w:p>
      <w:pPr>
        <w:spacing w:after="0" w:line="214"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Prior to this offering, we did not have a formal policy with respect to compensation payable to our non-employee directors. We reimburse our directors for expenses associated with attending meetings of our board of directors and its committees.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We adopted our Outside Director Compensation Policy, or Director Compensation Policy, in September 2020, which will become effective on the effective date of the registration statement of which this prospectus forms a part. The Director Compensation Policy sets guidelines for the compensation of our non-employee directors for their service as director. The cash and equity components of our compensation policy for non-employee directors are set forth below:</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62"/>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Position</w:t>
            </w:r>
          </w:p>
        </w:tc>
        <w:tc>
          <w:tcPr>
            <w:tcW w:w="61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84"/>
        </w:trPr>
        <w:tc>
          <w:tcPr>
            <w:tcW w:w="580" w:type="dxa"/>
            <w:vAlign w:val="bottom"/>
            <w:tcBorders>
              <w:bottom w:val="single" w:sz="8" w:color="auto"/>
            </w:tcBorders>
            <w:vMerge w:val="continue"/>
          </w:tcPr>
          <w:p>
            <w:pPr>
              <w:spacing w:after="0"/>
              <w:rPr>
                <w:sz w:val="15"/>
                <w:szCs w:val="15"/>
                <w:color w:val="auto"/>
              </w:rPr>
            </w:pPr>
          </w:p>
        </w:tc>
        <w:tc>
          <w:tcPr>
            <w:tcW w:w="6180" w:type="dxa"/>
            <w:vAlign w:val="bottom"/>
            <w:vMerge w:val="continue"/>
          </w:tcPr>
          <w:p>
            <w:pPr>
              <w:spacing w:after="0"/>
              <w:rPr>
                <w:sz w:val="15"/>
                <w:szCs w:val="15"/>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9"/>
              </w:rPr>
              <w:t>Retainer</w:t>
            </w:r>
          </w:p>
        </w:tc>
        <w:tc>
          <w:tcPr>
            <w:tcW w:w="0" w:type="dxa"/>
            <w:vAlign w:val="bottom"/>
          </w:tcPr>
          <w:p>
            <w:pPr>
              <w:spacing w:after="0"/>
              <w:rPr>
                <w:sz w:val="1"/>
                <w:szCs w:val="1"/>
                <w:color w:val="auto"/>
              </w:rPr>
            </w:pPr>
          </w:p>
        </w:tc>
      </w:tr>
      <w:tr>
        <w:trPr>
          <w:trHeight w:val="190"/>
        </w:trPr>
        <w:tc>
          <w:tcPr>
            <w:tcW w:w="67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Base Director Fee</w:t>
            </w: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40,000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Additional Chairperson Fee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Chair of the Board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35,000</w:t>
            </w:r>
          </w:p>
        </w:tc>
        <w:tc>
          <w:tcPr>
            <w:tcW w:w="0" w:type="dxa"/>
            <w:vAlign w:val="bottom"/>
          </w:tcPr>
          <w:p>
            <w:pPr>
              <w:spacing w:after="0"/>
              <w:rPr>
                <w:sz w:val="1"/>
                <w:szCs w:val="1"/>
                <w:color w:val="auto"/>
              </w:rPr>
            </w:pPr>
          </w:p>
        </w:tc>
      </w:tr>
      <w:tr>
        <w:trPr>
          <w:trHeight w:val="203"/>
        </w:trPr>
        <w:tc>
          <w:tcPr>
            <w:tcW w:w="6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Chair of the Audit Committee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4"/>
              </w:rPr>
              <w:t>15,000</w:t>
            </w: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Chair of the Compensation Committee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10,000</w:t>
            </w:r>
          </w:p>
        </w:tc>
        <w:tc>
          <w:tcPr>
            <w:tcW w:w="0" w:type="dxa"/>
            <w:vAlign w:val="bottom"/>
          </w:tcPr>
          <w:p>
            <w:pPr>
              <w:spacing w:after="0"/>
              <w:rPr>
                <w:sz w:val="1"/>
                <w:szCs w:val="1"/>
                <w:color w:val="auto"/>
              </w:rPr>
            </w:pPr>
          </w:p>
        </w:tc>
      </w:tr>
      <w:tr>
        <w:trPr>
          <w:trHeight w:val="203"/>
        </w:trPr>
        <w:tc>
          <w:tcPr>
            <w:tcW w:w="6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Chair of the Nominating and Corporate Governance Committee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Additional Committee Member Fee (excluding chairpersons)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Audit Committee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Compensation Committee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Nominating and Corporate Governance Committee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Under our Director Compensation Policy, each non-employee director upon first becoming a non-employee director automatically receives an initial option to purchase 32,667 shares of common stock. The initial option vests in 36 equal, monthly installments after the grant date, subject to continued service through the vesting date. Additionally, each non-employee director automatically receives an annual option to purchase 16,333 shares, effective on the date of each annual meeting of the stockholders. The annual option vests on the earlier of one year following the grant date or the next annual meeting of stockholders, subject to continued service through the vesting date. All awards under the Director Compensation Policy accelerate and vest upon a change in control. The exercise price of all options under the Director Compensation Policy is the fair market value on the date of grant.</w:t>
      </w:r>
    </w:p>
    <w:p>
      <w:pPr>
        <w:spacing w:after="0" w:line="179"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following table presents the total compensation that each of our then non-employee directors received during the year ended December 31,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3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Fees Earned or</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gridSpan w:val="2"/>
          </w:tcPr>
          <w:p>
            <w:pPr>
              <w:jc w:val="center"/>
              <w:ind w:right="784"/>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Paid in Cash</w:t>
            </w: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1860" w:type="dxa"/>
            <w:vAlign w:val="bottom"/>
            <w:gridSpan w:val="2"/>
          </w:tcPr>
          <w:p>
            <w:pPr>
              <w:jc w:val="center"/>
              <w:ind w:right="784"/>
              <w:spacing w:after="0"/>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3540" w:type="dxa"/>
            <w:vAlign w:val="bottom"/>
          </w:tcPr>
          <w:p>
            <w:pPr>
              <w:spacing w:after="0"/>
              <w:rPr>
                <w:sz w:val="15"/>
                <w:szCs w:val="15"/>
                <w:color w:val="auto"/>
              </w:rPr>
            </w:pPr>
          </w:p>
        </w:tc>
        <w:tc>
          <w:tcPr>
            <w:tcW w:w="2780" w:type="dxa"/>
            <w:vAlign w:val="bottom"/>
            <w:gridSpan w:val="2"/>
          </w:tcPr>
          <w:p>
            <w:pPr>
              <w:jc w:val="right"/>
              <w:ind w:right="353"/>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t>
            </w: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Arnold Levine, Ph.D.</w:t>
            </w:r>
          </w:p>
        </w:tc>
        <w:tc>
          <w:tcPr>
            <w:tcW w:w="17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w:t>
            </w:r>
          </w:p>
        </w:tc>
        <w:tc>
          <w:tcPr>
            <w:tcW w:w="840" w:type="dxa"/>
            <w:vAlign w:val="bottom"/>
            <w:tcBorders>
              <w:top w:val="single" w:sz="8" w:color="CCEEFF"/>
            </w:tcBorders>
            <w:shd w:val="clear" w:color="auto" w:fill="CCEEFF"/>
          </w:tcPr>
          <w:p>
            <w:pPr>
              <w:jc w:val="right"/>
              <w:ind w:right="584"/>
              <w:spacing w:after="0"/>
              <w:rPr>
                <w:sz w:val="20"/>
                <w:szCs w:val="20"/>
                <w:color w:val="auto"/>
              </w:rPr>
            </w:pPr>
            <w:r>
              <w:rPr>
                <w:rFonts w:ascii="Arial" w:cs="Arial" w:eastAsia="Arial" w:hAnsi="Arial"/>
                <w:sz w:val="15"/>
                <w:szCs w:val="15"/>
                <w:color w:val="auto"/>
                <w:w w:val="87"/>
              </w:rPr>
              <w:t>(1)</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Arnold Oronsky, Ph.D.</w:t>
            </w:r>
          </w:p>
        </w:tc>
        <w:tc>
          <w:tcPr>
            <w:tcW w:w="174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Thilo Schroeder, Ph.D.</w:t>
            </w:r>
          </w:p>
        </w:tc>
        <w:tc>
          <w:tcPr>
            <w:tcW w:w="17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Peter Thompson, M.D.</w:t>
            </w:r>
          </w:p>
        </w:tc>
        <w:tc>
          <w:tcPr>
            <w:tcW w:w="174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Steve Winick, J.D.</w:t>
            </w:r>
            <w:r>
              <w:rPr>
                <w:rFonts w:ascii="Arial" w:cs="Arial" w:eastAsia="Arial" w:hAnsi="Arial"/>
                <w:sz w:val="15"/>
                <w:szCs w:val="15"/>
                <w:color w:val="auto"/>
              </w:rPr>
              <w:t>(2)</w:t>
            </w:r>
          </w:p>
        </w:tc>
        <w:tc>
          <w:tcPr>
            <w:tcW w:w="17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6" w:lineRule="exact"/>
        <w:rPr>
          <w:sz w:val="20"/>
          <w:szCs w:val="20"/>
          <w:color w:val="auto"/>
        </w:rPr>
      </w:pPr>
    </w:p>
    <w:p>
      <w:pPr>
        <w:ind w:left="540" w:right="120" w:hanging="424"/>
        <w:spacing w:after="0" w:line="187" w:lineRule="auto"/>
        <w:tabs>
          <w:tab w:leader="none" w:pos="5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Dr. Levine received an annual compensation of $100,000 pursuant to a consulting agreement. For additional information regarding our consulting agreement with Dr. Levine, see “Certain Relationships and Related Party Transactions—Consulting Agreement with Arnold Levine, Ph.D.”</w:t>
      </w:r>
    </w:p>
    <w:p>
      <w:pPr>
        <w:spacing w:after="0" w:line="1" w:lineRule="exact"/>
        <w:rPr>
          <w:rFonts w:ascii="Arial" w:cs="Arial" w:eastAsia="Arial" w:hAnsi="Arial"/>
          <w:sz w:val="24"/>
          <w:szCs w:val="24"/>
          <w:color w:val="auto"/>
          <w:vertAlign w:val="superscript"/>
        </w:rPr>
      </w:pPr>
    </w:p>
    <w:p>
      <w:pPr>
        <w:ind w:left="540" w:hanging="424"/>
        <w:spacing w:after="0" w:line="183" w:lineRule="auto"/>
        <w:tabs>
          <w:tab w:leader="none" w:pos="540" w:val="left"/>
        </w:tabs>
        <w:numPr>
          <w:ilvl w:val="0"/>
          <w:numId w:val="92"/>
        </w:numPr>
        <w:rPr>
          <w:rFonts w:ascii="Arial" w:cs="Arial" w:eastAsia="Arial" w:hAnsi="Arial"/>
          <w:sz w:val="20"/>
          <w:szCs w:val="20"/>
          <w:color w:val="auto"/>
          <w:vertAlign w:val="superscript"/>
        </w:rPr>
      </w:pPr>
      <w:r>
        <w:rPr>
          <w:rFonts w:ascii="Arial" w:cs="Arial" w:eastAsia="Arial" w:hAnsi="Arial"/>
          <w:sz w:val="12"/>
          <w:szCs w:val="12"/>
          <w:color w:val="auto"/>
        </w:rPr>
        <w:t>Mr. Winick resigned from our board of directors effective September 4, 2020.</w:t>
      </w:r>
    </w:p>
    <w:p>
      <w:pPr>
        <w:spacing w:after="0" w:line="175"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Directors who are also our employees receive no additional compensation for their service as directors. Dr. Mack was an employee director during 2019. See the section titled “Executive Compensation” for additional information about Dr. Mack’s compensation.</w:t>
      </w:r>
    </w:p>
    <w:p>
      <w:pPr>
        <w:spacing w:after="0" w:line="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1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Our named executive officers for 2019, who consist of our principal executive officer and the next two most highly compensated executive officers, are:</w:t>
      </w:r>
    </w:p>
    <w:p>
      <w:pPr>
        <w:spacing w:after="0" w:line="50" w:lineRule="exact"/>
        <w:rPr>
          <w:sz w:val="20"/>
          <w:szCs w:val="20"/>
          <w:color w:val="auto"/>
        </w:rPr>
      </w:pPr>
    </w:p>
    <w:p>
      <w:pPr>
        <w:ind w:left="880" w:hanging="22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David H. Mack, Ph.D., our President and Chief Executive Officer;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Winston Kung, our Chief Operating Officer and Chief Financial Officer;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Deepika Jalota, our Senior Vice President, Regulatory Affairs and Quality Assurance.</w:t>
      </w: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p>
      <w:pPr>
        <w:ind w:left="120" w:right="900" w:firstLine="551"/>
        <w:spacing w:after="0" w:line="276" w:lineRule="auto"/>
        <w:rPr>
          <w:sz w:val="20"/>
          <w:szCs w:val="20"/>
          <w:color w:val="auto"/>
        </w:rPr>
      </w:pPr>
      <w:r>
        <w:rPr>
          <w:rFonts w:ascii="Arial" w:cs="Arial" w:eastAsia="Arial" w:hAnsi="Arial"/>
          <w:sz w:val="18"/>
          <w:szCs w:val="18"/>
          <w:color w:val="auto"/>
        </w:rPr>
        <w:t>The following table sets forth information regarding the compensation of our named executive officers for the year ended December 31,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Nonequity</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Incentive Plan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0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Bonus</w:t>
            </w:r>
          </w:p>
        </w:tc>
        <w:tc>
          <w:tcPr>
            <w:tcW w:w="118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rPr>
              <w:t>Awards</w:t>
            </w:r>
          </w:p>
        </w:tc>
        <w:tc>
          <w:tcPr>
            <w:tcW w:w="12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940" w:type="dxa"/>
            <w:vAlign w:val="bottom"/>
            <w:tcBorders>
              <w:bottom w:val="single" w:sz="8" w:color="auto"/>
            </w:tcBorders>
            <w:vMerge w:val="continue"/>
          </w:tcPr>
          <w:p>
            <w:pPr>
              <w:spacing w:after="0"/>
              <w:rPr>
                <w:sz w:val="16"/>
                <w:szCs w:val="16"/>
                <w:color w:val="auto"/>
              </w:rPr>
            </w:pPr>
          </w:p>
        </w:tc>
        <w:tc>
          <w:tcPr>
            <w:tcW w:w="3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600" w:type="dxa"/>
            <w:vAlign w:val="bottom"/>
          </w:tcPr>
          <w:p>
            <w:pPr>
              <w:jc w:val="center"/>
              <w:ind w:right="41"/>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280" w:type="dxa"/>
            <w:vAlign w:val="bottom"/>
          </w:tcPr>
          <w:p>
            <w:pPr>
              <w:spacing w:after="0"/>
              <w:rPr>
                <w:sz w:val="16"/>
                <w:szCs w:val="16"/>
                <w:color w:val="auto"/>
              </w:rPr>
            </w:pPr>
          </w:p>
        </w:tc>
        <w:tc>
          <w:tcPr>
            <w:tcW w:w="72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460" w:type="dxa"/>
            <w:vAlign w:val="bottom"/>
          </w:tcPr>
          <w:p>
            <w:pPr>
              <w:spacing w:after="0"/>
              <w:rPr>
                <w:sz w:val="16"/>
                <w:szCs w:val="16"/>
                <w:color w:val="auto"/>
              </w:rPr>
            </w:pPr>
          </w:p>
        </w:tc>
        <w:tc>
          <w:tcPr>
            <w:tcW w:w="102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(3)</w:t>
            </w: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5"/>
        </w:trPr>
        <w:tc>
          <w:tcPr>
            <w:tcW w:w="496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7"/>
                <w:szCs w:val="17"/>
                <w:color w:val="auto"/>
              </w:rPr>
              <w:t>David H. Mack, Ph.D.</w:t>
            </w: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ind w:left="60"/>
              <w:spacing w:after="0" w:line="155" w:lineRule="exact"/>
              <w:rPr>
                <w:sz w:val="20"/>
                <w:szCs w:val="20"/>
                <w:color w:val="auto"/>
              </w:rPr>
            </w:pPr>
            <w:r>
              <w:rPr>
                <w:rFonts w:ascii="Arial" w:cs="Arial" w:eastAsia="Arial" w:hAnsi="Arial"/>
                <w:sz w:val="17"/>
                <w:szCs w:val="17"/>
                <w:color w:val="auto"/>
              </w:rPr>
              <w:t>2019</w:t>
            </w:r>
          </w:p>
        </w:tc>
        <w:tc>
          <w:tcPr>
            <w:tcW w:w="2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461,250</w:t>
            </w:r>
          </w:p>
        </w:tc>
        <w:tc>
          <w:tcPr>
            <w:tcW w:w="2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420"/>
              <w:spacing w:after="0" w:line="155" w:lineRule="exact"/>
              <w:rPr>
                <w:sz w:val="20"/>
                <w:szCs w:val="20"/>
                <w:color w:val="auto"/>
              </w:rPr>
            </w:pPr>
            <w:r>
              <w:rPr>
                <w:rFonts w:ascii="Arial" w:cs="Arial" w:eastAsia="Arial" w:hAnsi="Arial"/>
                <w:sz w:val="17"/>
                <w:szCs w:val="17"/>
                <w:color w:val="auto"/>
                <w:w w:val="93"/>
              </w:rPr>
              <w:t>—</w:t>
            </w:r>
          </w:p>
        </w:tc>
        <w:tc>
          <w:tcPr>
            <w:tcW w:w="2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166,860</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628,110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960" w:type="dxa"/>
            <w:vAlign w:val="bottom"/>
            <w:gridSpan w:val="2"/>
          </w:tcPr>
          <w:p>
            <w:pPr>
              <w:spacing w:after="0"/>
              <w:rPr>
                <w:sz w:val="20"/>
                <w:szCs w:val="20"/>
                <w:color w:val="auto"/>
              </w:rPr>
            </w:pPr>
            <w:r>
              <w:rPr>
                <w:rFonts w:ascii="Arial" w:cs="Arial" w:eastAsia="Arial" w:hAnsi="Arial"/>
                <w:sz w:val="18"/>
                <w:szCs w:val="18"/>
                <w:color w:val="auto"/>
              </w:rPr>
              <w:t>Winston Kung</w:t>
            </w:r>
          </w:p>
        </w:tc>
        <w:tc>
          <w:tcPr>
            <w:tcW w:w="940" w:type="dxa"/>
            <w:vAlign w:val="bottom"/>
            <w:gridSpan w:val="3"/>
          </w:tcPr>
          <w:p>
            <w:pPr>
              <w:ind w:left="260"/>
              <w:spacing w:after="0"/>
              <w:rPr>
                <w:sz w:val="20"/>
                <w:szCs w:val="20"/>
                <w:color w:val="auto"/>
              </w:rPr>
            </w:pPr>
            <w:r>
              <w:rPr>
                <w:rFonts w:ascii="Arial" w:cs="Arial" w:eastAsia="Arial" w:hAnsi="Arial"/>
                <w:sz w:val="18"/>
                <w:szCs w:val="18"/>
                <w:color w:val="auto"/>
              </w:rPr>
              <w:t>2019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410,000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152,440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562,440</w:t>
            </w:r>
          </w:p>
        </w:tc>
        <w:tc>
          <w:tcPr>
            <w:tcW w:w="0" w:type="dxa"/>
            <w:vAlign w:val="bottom"/>
          </w:tcPr>
          <w:p>
            <w:pPr>
              <w:spacing w:after="0"/>
              <w:rPr>
                <w:sz w:val="1"/>
                <w:szCs w:val="1"/>
                <w:color w:val="auto"/>
              </w:rPr>
            </w:pPr>
          </w:p>
        </w:tc>
      </w:tr>
      <w:tr>
        <w:trPr>
          <w:trHeight w:val="241"/>
        </w:trPr>
        <w:tc>
          <w:tcPr>
            <w:tcW w:w="49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Operating Officer and Chief Financial Officer</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19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660" w:type="dxa"/>
            <w:vAlign w:val="bottom"/>
            <w:gridSpan w:val="2"/>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49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Deepika Jalota, Pharm.D</w:t>
            </w:r>
          </w:p>
        </w:tc>
        <w:tc>
          <w:tcPr>
            <w:tcW w:w="940" w:type="dxa"/>
            <w:vAlign w:val="bottom"/>
            <w:gridSpan w:val="3"/>
            <w:shd w:val="clear" w:color="auto" w:fill="CCEEFF"/>
          </w:tcPr>
          <w:p>
            <w:pPr>
              <w:ind w:left="260"/>
              <w:spacing w:after="0" w:line="182" w:lineRule="exact"/>
              <w:rPr>
                <w:sz w:val="20"/>
                <w:szCs w:val="20"/>
                <w:color w:val="auto"/>
              </w:rPr>
            </w:pPr>
            <w:r>
              <w:rPr>
                <w:rFonts w:ascii="Arial" w:cs="Arial" w:eastAsia="Arial" w:hAnsi="Arial"/>
                <w:sz w:val="18"/>
                <w:szCs w:val="18"/>
                <w:color w:val="auto"/>
              </w:rPr>
              <w:t>2019</w:t>
            </w:r>
          </w:p>
        </w:tc>
        <w:tc>
          <w:tcPr>
            <w:tcW w:w="9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196,875</w:t>
            </w:r>
          </w:p>
        </w:tc>
        <w:tc>
          <w:tcPr>
            <w:tcW w:w="8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75,000</w:t>
            </w:r>
          </w:p>
        </w:tc>
        <w:tc>
          <w:tcPr>
            <w:tcW w:w="11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177,341</w:t>
            </w:r>
            <w:r>
              <w:rPr>
                <w:rFonts w:ascii="Arial" w:cs="Arial" w:eastAsia="Arial" w:hAnsi="Arial"/>
                <w:sz w:val="15"/>
                <w:szCs w:val="15"/>
                <w:color w:val="auto"/>
              </w:rPr>
              <w:t>(4)</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116,375</w:t>
            </w:r>
          </w:p>
        </w:tc>
        <w:tc>
          <w:tcPr>
            <w:tcW w:w="80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565,591</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Senior Vice President, Regulatory Affairs and Quality</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Assurance</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0" w:lineRule="exact"/>
        <w:rPr>
          <w:sz w:val="20"/>
          <w:szCs w:val="20"/>
          <w:color w:val="auto"/>
        </w:rPr>
      </w:pPr>
    </w:p>
    <w:p>
      <w:pPr>
        <w:ind w:left="660" w:hanging="544"/>
        <w:spacing w:after="0"/>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The amounts reported represent one-time sign on bonuses paid following the named executive officer’s commencement of employment.</w:t>
      </w:r>
    </w:p>
    <w:p>
      <w:pPr>
        <w:ind w:left="660" w:right="100" w:hanging="544"/>
        <w:spacing w:after="0" w:line="204" w:lineRule="auto"/>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The amounts reported represent the aggregate grant-date fair value of the options calculated in accordance with ASC 718. Such grant-date fair value does not take into account any estimated forfeitures related to performance or service vesting conditions. The assumptions used in calculating the grant-date fair value of the option reported in this column are set forth in the section captioned “Management’s Discussion and Analysis of Financial Condition and Results of Operations— Critical Accounting Policies and Estimates.” These amounts do not reflect the actual economic value that may be realized by the named executive officer.</w:t>
      </w:r>
    </w:p>
    <w:p>
      <w:pPr>
        <w:spacing w:after="0" w:line="2" w:lineRule="exact"/>
        <w:rPr>
          <w:rFonts w:ascii="Arial" w:cs="Arial" w:eastAsia="Arial" w:hAnsi="Arial"/>
          <w:sz w:val="24"/>
          <w:szCs w:val="24"/>
          <w:color w:val="auto"/>
          <w:vertAlign w:val="superscript"/>
        </w:rPr>
      </w:pPr>
    </w:p>
    <w:p>
      <w:pPr>
        <w:ind w:left="660" w:right="320" w:hanging="544"/>
        <w:spacing w:after="0" w:line="182" w:lineRule="auto"/>
        <w:tabs>
          <w:tab w:leader="none" w:pos="660" w:val="left"/>
        </w:tabs>
        <w:numPr>
          <w:ilvl w:val="0"/>
          <w:numId w:val="94"/>
        </w:numPr>
        <w:rPr>
          <w:rFonts w:ascii="Arial" w:cs="Arial" w:eastAsia="Arial" w:hAnsi="Arial"/>
          <w:sz w:val="23"/>
          <w:szCs w:val="23"/>
          <w:color w:val="auto"/>
          <w:vertAlign w:val="superscript"/>
        </w:rPr>
      </w:pPr>
      <w:r>
        <w:rPr>
          <w:rFonts w:ascii="Arial" w:cs="Arial" w:eastAsia="Arial" w:hAnsi="Arial"/>
          <w:sz w:val="14"/>
          <w:szCs w:val="14"/>
          <w:color w:val="auto"/>
        </w:rPr>
        <w:t>The 2019 amounts reported represent cash bonuses earned under our 2019 bonus plan based upon the achievement of company objectives for the year ended December 31, 2019, which were paid in 2019. Our bonus plans are more fully described below under the section titled “—Management Bonus Plan.”</w:t>
      </w:r>
    </w:p>
    <w:p>
      <w:pPr>
        <w:spacing w:after="0" w:line="1" w:lineRule="exact"/>
        <w:rPr>
          <w:rFonts w:ascii="Arial" w:cs="Arial" w:eastAsia="Arial" w:hAnsi="Arial"/>
          <w:sz w:val="23"/>
          <w:szCs w:val="23"/>
          <w:color w:val="auto"/>
          <w:vertAlign w:val="superscript"/>
        </w:rPr>
      </w:pPr>
    </w:p>
    <w:p>
      <w:pPr>
        <w:ind w:left="660" w:right="120" w:hanging="544"/>
        <w:spacing w:after="0" w:line="185" w:lineRule="auto"/>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Represents an August 21, 2019 grant of 90,216 options to Dr. Jalota pursuant to our 2013 Equity Incentive Plan, as amended, or 2013 Plan, as described further in the table of outstanding equity awards below.</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concerning outstanding equity awards held by each of our named executive officers as of</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rPr>
              <w:t>Number of</w:t>
            </w:r>
          </w:p>
        </w:tc>
        <w:tc>
          <w:tcPr>
            <w:tcW w:w="1440" w:type="dxa"/>
            <w:vAlign w:val="bottom"/>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rPr>
              <w:t>Number of</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Securities</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Securities</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Underlying</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Underlying</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Unexercised</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Unexercised</w:t>
            </w: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Option</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860" w:type="dxa"/>
            <w:vAlign w:val="bottom"/>
            <w:vMerge w:val="restart"/>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gridSpan w:val="2"/>
          </w:tcPr>
          <w:p>
            <w:pPr>
              <w:jc w:val="right"/>
              <w:ind w:right="771"/>
              <w:spacing w:after="0" w:line="159" w:lineRule="exact"/>
              <w:rPr>
                <w:sz w:val="20"/>
                <w:szCs w:val="20"/>
                <w:color w:val="auto"/>
              </w:rPr>
            </w:pPr>
            <w:r>
              <w:rPr>
                <w:rFonts w:ascii="Arial" w:cs="Arial" w:eastAsia="Arial" w:hAnsi="Arial"/>
                <w:sz w:val="14"/>
                <w:szCs w:val="14"/>
                <w:b w:val="1"/>
                <w:bCs w:val="1"/>
                <w:color w:val="auto"/>
              </w:rPr>
              <w:t>Grant</w:t>
            </w:r>
          </w:p>
        </w:tc>
        <w:tc>
          <w:tcPr>
            <w:tcW w:w="1320" w:type="dxa"/>
            <w:vAlign w:val="bottom"/>
            <w:gridSpan w:val="2"/>
          </w:tcPr>
          <w:p>
            <w:pPr>
              <w:jc w:val="center"/>
              <w:ind w:right="440"/>
              <w:spacing w:after="0" w:line="159" w:lineRule="exact"/>
              <w:rPr>
                <w:sz w:val="20"/>
                <w:szCs w:val="20"/>
                <w:color w:val="auto"/>
              </w:rPr>
            </w:pPr>
            <w:r>
              <w:rPr>
                <w:rFonts w:ascii="Arial" w:cs="Arial" w:eastAsia="Arial" w:hAnsi="Arial"/>
                <w:sz w:val="14"/>
                <w:szCs w:val="14"/>
                <w:b w:val="1"/>
                <w:bCs w:val="1"/>
                <w:color w:val="auto"/>
              </w:rPr>
              <w:t>Options (#)</w:t>
            </w:r>
          </w:p>
        </w:tc>
        <w:tc>
          <w:tcPr>
            <w:tcW w:w="1440" w:type="dxa"/>
            <w:vAlign w:val="bottom"/>
            <w:gridSpan w:val="2"/>
          </w:tcPr>
          <w:p>
            <w:pPr>
              <w:jc w:val="center"/>
              <w:ind w:right="440"/>
              <w:spacing w:after="0" w:line="159" w:lineRule="exact"/>
              <w:rPr>
                <w:sz w:val="20"/>
                <w:szCs w:val="20"/>
                <w:color w:val="auto"/>
              </w:rPr>
            </w:pPr>
            <w:r>
              <w:rPr>
                <w:rFonts w:ascii="Arial" w:cs="Arial" w:eastAsia="Arial" w:hAnsi="Arial"/>
                <w:sz w:val="14"/>
                <w:szCs w:val="14"/>
                <w:b w:val="1"/>
                <w:bCs w:val="1"/>
                <w:color w:val="auto"/>
              </w:rPr>
              <w:t>Options (#)</w:t>
            </w:r>
          </w:p>
        </w:tc>
        <w:tc>
          <w:tcPr>
            <w:tcW w:w="120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rPr>
              <w:t>Exercise</w:t>
            </w:r>
          </w:p>
        </w:tc>
        <w:tc>
          <w:tcPr>
            <w:tcW w:w="92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7"/>
        </w:trPr>
        <w:tc>
          <w:tcPr>
            <w:tcW w:w="400" w:type="dxa"/>
            <w:vAlign w:val="bottom"/>
            <w:tcBorders>
              <w:bottom w:val="single" w:sz="8" w:color="auto"/>
            </w:tcBorders>
            <w:vMerge w:val="continue"/>
          </w:tcPr>
          <w:p>
            <w:pPr>
              <w:spacing w:after="0"/>
              <w:rPr>
                <w:sz w:val="16"/>
                <w:szCs w:val="16"/>
                <w:color w:val="auto"/>
              </w:rPr>
            </w:pPr>
          </w:p>
        </w:tc>
        <w:tc>
          <w:tcPr>
            <w:tcW w:w="38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gridSpan w:val="2"/>
          </w:tcPr>
          <w:p>
            <w:pPr>
              <w:jc w:val="right"/>
              <w:ind w:right="751"/>
              <w:spacing w:after="0" w:line="167" w:lineRule="exact"/>
              <w:rPr>
                <w:sz w:val="20"/>
                <w:szCs w:val="20"/>
                <w:color w:val="auto"/>
              </w:rPr>
            </w:pPr>
            <w:r>
              <w:rPr>
                <w:rFonts w:ascii="Arial" w:cs="Arial" w:eastAsia="Arial" w:hAnsi="Arial"/>
                <w:sz w:val="12"/>
                <w:szCs w:val="12"/>
                <w:b w:val="1"/>
                <w:bCs w:val="1"/>
                <w:color w:val="auto"/>
              </w:rPr>
              <w:t>Date</w:t>
            </w:r>
            <w:r>
              <w:rPr>
                <w:rFonts w:ascii="Arial" w:cs="Arial" w:eastAsia="Arial" w:hAnsi="Arial"/>
                <w:sz w:val="19"/>
                <w:szCs w:val="19"/>
                <w:b w:val="1"/>
                <w:bCs w:val="1"/>
                <w:color w:val="auto"/>
                <w:vertAlign w:val="superscript"/>
              </w:rPr>
              <w:t>(1)</w:t>
            </w: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Exercisable</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Unexercisable</w:t>
            </w:r>
          </w:p>
        </w:tc>
        <w:tc>
          <w:tcPr>
            <w:tcW w:w="1200" w:type="dxa"/>
            <w:vAlign w:val="bottom"/>
            <w:gridSpan w:val="2"/>
          </w:tcPr>
          <w:p>
            <w:pPr>
              <w:jc w:val="right"/>
              <w:ind w:right="480"/>
              <w:spacing w:after="0" w:line="167" w:lineRule="exact"/>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rPr>
              <w:t>David H. Mack, Ph.D.</w:t>
            </w:r>
          </w:p>
        </w:tc>
        <w:tc>
          <w:tcPr>
            <w:tcW w:w="4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5/12/2015</w:t>
            </w:r>
          </w:p>
        </w:tc>
        <w:tc>
          <w:tcPr>
            <w:tcW w:w="600" w:type="dxa"/>
            <w:vAlign w:val="bottom"/>
            <w:tcBorders>
              <w:top w:val="single" w:sz="8" w:color="CCEEFF"/>
            </w:tcBorders>
            <w:shd w:val="clear" w:color="auto" w:fill="CCEEFF"/>
          </w:tcPr>
          <w:p>
            <w:pPr>
              <w:jc w:val="right"/>
              <w:ind w:right="371"/>
              <w:spacing w:after="0" w:line="155" w:lineRule="exact"/>
              <w:rPr>
                <w:sz w:val="20"/>
                <w:szCs w:val="20"/>
                <w:color w:val="auto"/>
              </w:rPr>
            </w:pPr>
            <w:r>
              <w:rPr>
                <w:rFonts w:ascii="Arial" w:cs="Arial" w:eastAsia="Arial" w:hAnsi="Arial"/>
                <w:sz w:val="14"/>
                <w:szCs w:val="14"/>
                <w:color w:val="auto"/>
                <w:w w:val="81"/>
              </w:rPr>
              <w:t>(3)</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495,337</w:t>
            </w:r>
          </w:p>
        </w:tc>
        <w:tc>
          <w:tcPr>
            <w:tcW w:w="46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ind w:left="820"/>
              <w:spacing w:after="0" w:line="155" w:lineRule="exact"/>
              <w:rPr>
                <w:sz w:val="20"/>
                <w:szCs w:val="20"/>
                <w:color w:val="auto"/>
              </w:rPr>
            </w:pPr>
            <w:r>
              <w:rPr>
                <w:rFonts w:ascii="Arial" w:cs="Arial" w:eastAsia="Arial" w:hAnsi="Arial"/>
                <w:sz w:val="16"/>
                <w:szCs w:val="16"/>
                <w:color w:val="auto"/>
                <w:w w:val="87"/>
              </w:rPr>
              <w:t>—</w:t>
            </w:r>
          </w:p>
        </w:tc>
        <w:tc>
          <w:tcPr>
            <w:tcW w:w="4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0.53</w:t>
            </w:r>
          </w:p>
        </w:tc>
        <w:tc>
          <w:tcPr>
            <w:tcW w:w="4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5/12/2025</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71"/>
              <w:spacing w:after="0" w:line="189" w:lineRule="exact"/>
              <w:rPr>
                <w:sz w:val="20"/>
                <w:szCs w:val="20"/>
                <w:color w:val="auto"/>
              </w:rPr>
            </w:pPr>
            <w:r>
              <w:rPr>
                <w:rFonts w:ascii="Arial" w:cs="Arial" w:eastAsia="Arial" w:hAnsi="Arial"/>
                <w:sz w:val="13"/>
                <w:szCs w:val="13"/>
                <w:color w:val="auto"/>
              </w:rPr>
              <w:t>11/16/2016</w:t>
            </w:r>
            <w:r>
              <w:rPr>
                <w:rFonts w:ascii="Arial" w:cs="Arial" w:eastAsia="Arial" w:hAnsi="Arial"/>
                <w:sz w:val="21"/>
                <w:szCs w:val="21"/>
                <w:color w:val="auto"/>
                <w:vertAlign w:val="superscript"/>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240,644</w:t>
            </w:r>
          </w:p>
        </w:tc>
        <w:tc>
          <w:tcPr>
            <w:tcW w:w="4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1.37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11/16/2026</w:t>
            </w: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71"/>
              <w:spacing w:after="0" w:line="210" w:lineRule="exact"/>
              <w:rPr>
                <w:sz w:val="20"/>
                <w:szCs w:val="20"/>
                <w:color w:val="auto"/>
              </w:rPr>
            </w:pPr>
            <w:r>
              <w:rPr>
                <w:rFonts w:ascii="Arial" w:cs="Arial" w:eastAsia="Arial" w:hAnsi="Arial"/>
                <w:sz w:val="15"/>
                <w:szCs w:val="15"/>
                <w:color w:val="auto"/>
              </w:rPr>
              <w:t>5/16/2017</w:t>
            </w:r>
            <w:r>
              <w:rPr>
                <w:rFonts w:ascii="Arial" w:cs="Arial" w:eastAsia="Arial" w:hAnsi="Arial"/>
                <w:sz w:val="24"/>
                <w:szCs w:val="24"/>
                <w:color w:val="auto"/>
                <w:vertAlign w:val="superscript"/>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297,580</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163,189</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2.95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5/16/2027</w:t>
            </w:r>
          </w:p>
        </w:tc>
        <w:tc>
          <w:tcPr>
            <w:tcW w:w="0" w:type="dxa"/>
            <w:vAlign w:val="bottom"/>
          </w:tcPr>
          <w:p>
            <w:pPr>
              <w:spacing w:after="0"/>
              <w:rPr>
                <w:sz w:val="1"/>
                <w:szCs w:val="1"/>
                <w:color w:val="auto"/>
              </w:rPr>
            </w:pPr>
          </w:p>
        </w:tc>
      </w:tr>
      <w:tr>
        <w:trPr>
          <w:trHeight w:val="189"/>
        </w:trPr>
        <w:tc>
          <w:tcPr>
            <w:tcW w:w="4260" w:type="dxa"/>
            <w:vAlign w:val="bottom"/>
            <w:gridSpan w:val="2"/>
          </w:tcPr>
          <w:p>
            <w:pPr>
              <w:spacing w:after="0"/>
              <w:rPr>
                <w:sz w:val="20"/>
                <w:szCs w:val="20"/>
                <w:color w:val="auto"/>
              </w:rPr>
            </w:pPr>
            <w:r>
              <w:rPr>
                <w:rFonts w:ascii="Arial" w:cs="Arial" w:eastAsia="Arial" w:hAnsi="Arial"/>
                <w:sz w:val="16"/>
                <w:szCs w:val="16"/>
                <w:color w:val="auto"/>
              </w:rPr>
              <w:t>Winston Kung</w:t>
            </w:r>
          </w:p>
        </w:tc>
        <w:tc>
          <w:tcPr>
            <w:tcW w:w="400" w:type="dxa"/>
            <w:vAlign w:val="bottom"/>
          </w:tcPr>
          <w:p>
            <w:pPr>
              <w:spacing w:after="0"/>
              <w:rPr>
                <w:sz w:val="16"/>
                <w:szCs w:val="16"/>
                <w:color w:val="auto"/>
              </w:rPr>
            </w:pPr>
          </w:p>
        </w:tc>
        <w:tc>
          <w:tcPr>
            <w:tcW w:w="1480" w:type="dxa"/>
            <w:vAlign w:val="bottom"/>
            <w:gridSpan w:val="2"/>
          </w:tcPr>
          <w:p>
            <w:pPr>
              <w:jc w:val="right"/>
              <w:ind w:right="371"/>
              <w:spacing w:after="0" w:line="189" w:lineRule="exact"/>
              <w:rPr>
                <w:sz w:val="20"/>
                <w:szCs w:val="20"/>
                <w:color w:val="auto"/>
              </w:rPr>
            </w:pPr>
            <w:r>
              <w:rPr>
                <w:rFonts w:ascii="Arial" w:cs="Arial" w:eastAsia="Arial" w:hAnsi="Arial"/>
                <w:sz w:val="13"/>
                <w:szCs w:val="13"/>
                <w:color w:val="auto"/>
              </w:rPr>
              <w:t>2/22/2018</w:t>
            </w:r>
            <w:r>
              <w:rPr>
                <w:rFonts w:ascii="Arial" w:cs="Arial" w:eastAsia="Arial" w:hAnsi="Arial"/>
                <w:sz w:val="21"/>
                <w:szCs w:val="21"/>
                <w:color w:val="auto"/>
                <w:vertAlign w:val="superscript"/>
              </w:rPr>
              <w:t>(6)</w:t>
            </w:r>
          </w:p>
        </w:tc>
        <w:tc>
          <w:tcPr>
            <w:tcW w:w="860" w:type="dxa"/>
            <w:vAlign w:val="bottom"/>
          </w:tcPr>
          <w:p>
            <w:pPr>
              <w:jc w:val="right"/>
              <w:spacing w:after="0"/>
              <w:rPr>
                <w:sz w:val="20"/>
                <w:szCs w:val="20"/>
                <w:color w:val="auto"/>
              </w:rPr>
            </w:pPr>
            <w:r>
              <w:rPr>
                <w:rFonts w:ascii="Arial" w:cs="Arial" w:eastAsia="Arial" w:hAnsi="Arial"/>
                <w:sz w:val="16"/>
                <w:szCs w:val="16"/>
                <w:color w:val="auto"/>
              </w:rPr>
              <w:t>476,047</w:t>
            </w:r>
          </w:p>
        </w:tc>
        <w:tc>
          <w:tcPr>
            <w:tcW w:w="460" w:type="dxa"/>
            <w:vAlign w:val="bottom"/>
          </w:tcPr>
          <w:p>
            <w:pPr>
              <w:spacing w:after="0"/>
              <w:rPr>
                <w:sz w:val="16"/>
                <w:szCs w:val="16"/>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6"/>
                <w:szCs w:val="16"/>
                <w:color w:val="auto"/>
              </w:rPr>
              <w:t>3.22</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2/22/2028</w:t>
            </w:r>
          </w:p>
        </w:tc>
        <w:tc>
          <w:tcPr>
            <w:tcW w:w="0" w:type="dxa"/>
            <w:vAlign w:val="bottom"/>
          </w:tcPr>
          <w:p>
            <w:pPr>
              <w:spacing w:after="0"/>
              <w:rPr>
                <w:sz w:val="1"/>
                <w:szCs w:val="1"/>
                <w:color w:val="auto"/>
              </w:rPr>
            </w:pPr>
          </w:p>
        </w:tc>
      </w:tr>
      <w:tr>
        <w:trPr>
          <w:trHeight w:val="189"/>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Deepika Jalota, Pharm.D.</w:t>
            </w:r>
          </w:p>
        </w:tc>
        <w:tc>
          <w:tcPr>
            <w:tcW w:w="1880" w:type="dxa"/>
            <w:vAlign w:val="bottom"/>
            <w:gridSpan w:val="3"/>
            <w:shd w:val="clear" w:color="auto" w:fill="CCEEFF"/>
          </w:tcPr>
          <w:p>
            <w:pPr>
              <w:jc w:val="right"/>
              <w:ind w:right="371"/>
              <w:spacing w:after="0" w:line="189" w:lineRule="exact"/>
              <w:rPr>
                <w:sz w:val="20"/>
                <w:szCs w:val="20"/>
                <w:color w:val="auto"/>
              </w:rPr>
            </w:pPr>
            <w:r>
              <w:rPr>
                <w:rFonts w:ascii="Arial" w:cs="Arial" w:eastAsia="Arial" w:hAnsi="Arial"/>
                <w:sz w:val="13"/>
                <w:szCs w:val="13"/>
                <w:color w:val="auto"/>
              </w:rPr>
              <w:t>8/21/2019</w:t>
            </w:r>
            <w:r>
              <w:rPr>
                <w:rFonts w:ascii="Arial" w:cs="Arial" w:eastAsia="Arial" w:hAnsi="Arial"/>
                <w:sz w:val="21"/>
                <w:szCs w:val="21"/>
                <w:color w:val="auto"/>
                <w:vertAlign w:val="superscript"/>
              </w:rPr>
              <w:t>(7)</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90,216</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3.53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8/21/2029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0" w:lineRule="exact"/>
        <w:rPr>
          <w:sz w:val="20"/>
          <w:szCs w:val="20"/>
          <w:color w:val="auto"/>
        </w:rPr>
      </w:pPr>
    </w:p>
    <w:p>
      <w:pPr>
        <w:ind w:left="660" w:hanging="544"/>
        <w:spacing w:after="0"/>
        <w:tabs>
          <w:tab w:leader="none" w:pos="66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Each of the outstanding options to purchase shares of our common stock was granted pursuant to our 2013 Plan.</w:t>
      </w:r>
    </w:p>
    <w:p>
      <w:pPr>
        <w:ind w:left="660" w:hanging="544"/>
        <w:spacing w:after="0" w:line="187" w:lineRule="auto"/>
        <w:tabs>
          <w:tab w:leader="none" w:pos="660" w:val="left"/>
        </w:tabs>
        <w:numPr>
          <w:ilvl w:val="0"/>
          <w:numId w:val="95"/>
        </w:numPr>
        <w:rPr>
          <w:rFonts w:ascii="Arial" w:cs="Arial" w:eastAsia="Arial" w:hAnsi="Arial"/>
          <w:sz w:val="18"/>
          <w:szCs w:val="18"/>
          <w:color w:val="auto"/>
          <w:vertAlign w:val="superscript"/>
        </w:rPr>
      </w:pPr>
      <w:r>
        <w:rPr>
          <w:rFonts w:ascii="Arial" w:cs="Arial" w:eastAsia="Arial" w:hAnsi="Arial"/>
          <w:sz w:val="11"/>
          <w:szCs w:val="11"/>
          <w:color w:val="auto"/>
        </w:rPr>
        <w:t>This column represents the fair market value of a share of our common stock on the date of grant, as determined by our board of directors.</w:t>
      </w:r>
    </w:p>
    <w:p>
      <w:pPr>
        <w:ind w:left="660" w:right="140" w:hanging="544"/>
        <w:spacing w:after="0" w:line="182" w:lineRule="auto"/>
        <w:tabs>
          <w:tab w:leader="none" w:pos="660" w:val="left"/>
        </w:tabs>
        <w:numPr>
          <w:ilvl w:val="0"/>
          <w:numId w:val="95"/>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1/4th of the shares of our common stock underlying it on May 12, 2016, and as to 1/60th in monthly installments after the initial vesting date,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380" w:hanging="544"/>
        <w:spacing w:after="0" w:line="182" w:lineRule="auto"/>
        <w:tabs>
          <w:tab w:leader="none" w:pos="660" w:val="left"/>
        </w:tabs>
        <w:numPr>
          <w:ilvl w:val="0"/>
          <w:numId w:val="95"/>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1/48th of the shares of our common stock underlying it in monthly installments after November 16, 2016,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240" w:hanging="544"/>
        <w:spacing w:after="0" w:line="182" w:lineRule="auto"/>
        <w:tabs>
          <w:tab w:leader="none" w:pos="660" w:val="left"/>
        </w:tabs>
        <w:numPr>
          <w:ilvl w:val="0"/>
          <w:numId w:val="95"/>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1/48th of the shares of our common stock underlying it in monthly installments after May 16, 2017,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120" w:hanging="544"/>
        <w:spacing w:after="0" w:line="215" w:lineRule="auto"/>
        <w:tabs>
          <w:tab w:leader="none" w:pos="66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The option includes two tranches. The first tranche (covering 75% of the shares of our common stock underlying the option) vests as to 1/4th of the shares of our common stock underlying it on November 27, 2018, and as to an additional 1/48th of the shares of our common stock underlying it in monthly installments after the initial vesting date, subject to the named executive officer’s continued service through each vesting date. The second tranche (covering 25% of the total number of shares of our common stock underlying the option) vests as to 1/48th of the shares of our common stock underlying it in monthly installments, subject to the named executive officer’s continued service through each vesting date, following achievement of the performance vesting condition, which is the first to occur of (i) the first day of our initial public offering or (ii) an alliance transaction entered into by us with the approval of our board which is valued at $100,000,000 or more.</w:t>
      </w:r>
    </w:p>
    <w:p>
      <w:pPr>
        <w:spacing w:after="0" w:line="3" w:lineRule="exact"/>
        <w:rPr>
          <w:rFonts w:ascii="Arial" w:cs="Arial" w:eastAsia="Arial" w:hAnsi="Arial"/>
          <w:sz w:val="24"/>
          <w:szCs w:val="24"/>
          <w:color w:val="auto"/>
          <w:vertAlign w:val="superscript"/>
        </w:rPr>
      </w:pPr>
    </w:p>
    <w:p>
      <w:pPr>
        <w:ind w:left="660" w:right="280" w:hanging="544"/>
        <w:spacing w:after="0" w:line="185" w:lineRule="auto"/>
        <w:tabs>
          <w:tab w:leader="none" w:pos="66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The option vests as to 1/4th of the shares of our common stock underlying it on June 10, 2020, and as to an additional 1/48th of the shares of our common stock underlying it in monthly installments after the initial vesting date, subject to the named executive officer’s continued service through each vesting date.</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David H. Mack, Ph.D.</w:t>
      </w:r>
    </w:p>
    <w:p>
      <w:pPr>
        <w:spacing w:after="0" w:line="104" w:lineRule="exact"/>
        <w:rPr>
          <w:sz w:val="20"/>
          <w:szCs w:val="20"/>
          <w:color w:val="auto"/>
        </w:rPr>
      </w:pPr>
    </w:p>
    <w:p>
      <w:pPr>
        <w:jc w:val="both"/>
        <w:ind w:left="120" w:right="180" w:firstLine="551"/>
        <w:spacing w:after="0" w:line="255" w:lineRule="auto"/>
        <w:rPr>
          <w:sz w:val="20"/>
          <w:szCs w:val="20"/>
          <w:color w:val="auto"/>
        </w:rPr>
      </w:pPr>
      <w:r>
        <w:rPr>
          <w:rFonts w:ascii="Arial" w:cs="Arial" w:eastAsia="Arial" w:hAnsi="Arial"/>
          <w:sz w:val="18"/>
          <w:szCs w:val="18"/>
          <w:color w:val="auto"/>
        </w:rPr>
        <w:t>We have enterd into a confirmatory employment letter with Dr. Mack, our President and Chief Executive Officer. The confirmatory employment letter currently has no specific term and provides for at-will employment. Dr. Mack’s current annual base salary is $525,100, and Dr. Mack’s annual target bonus is 50% of his annual base salary.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Winston Kung</w:t>
      </w:r>
    </w:p>
    <w:p>
      <w:pPr>
        <w:spacing w:after="0" w:line="104" w:lineRule="exact"/>
        <w:rPr>
          <w:sz w:val="20"/>
          <w:szCs w:val="20"/>
          <w:color w:val="auto"/>
        </w:rPr>
      </w:pPr>
    </w:p>
    <w:p>
      <w:pPr>
        <w:jc w:val="both"/>
        <w:ind w:left="120" w:right="140" w:firstLine="551"/>
        <w:spacing w:after="0" w:line="255" w:lineRule="auto"/>
        <w:rPr>
          <w:sz w:val="20"/>
          <w:szCs w:val="20"/>
          <w:color w:val="auto"/>
        </w:rPr>
      </w:pPr>
      <w:r>
        <w:rPr>
          <w:rFonts w:ascii="Arial" w:cs="Arial" w:eastAsia="Arial" w:hAnsi="Arial"/>
          <w:sz w:val="18"/>
          <w:szCs w:val="18"/>
          <w:color w:val="auto"/>
        </w:rPr>
        <w:t>We have entered into a confirmatory employment letter with Mr. Kung, our Chief Operating Officer and Chief Financial Officer. The confirmatory employment letter currently has no specific term and provides for at-will employment. Mr. Kung’s current annual base salary is $437,100, and Mr. Kung’s annual target bonus is 40% of his annual base salary.</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Deepika Jalota, Pharm.D.</w:t>
      </w:r>
    </w:p>
    <w:p>
      <w:pPr>
        <w:spacing w:after="0" w:line="104"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We have entered into a confirmatory employment letter with Dr. Jalota, our Senior Vice President, Regulatory Affairs and Quality Assurance. The confirmatory employment letter has no specific term and provides for at-will employment. Dr. Jalota’s current annual base salary is $362,300, and Dr. Jalota’s annual target bonus is 35% of her annual base salary.</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 Bonus Plan</w:t>
      </w:r>
    </w:p>
    <w:p>
      <w:pPr>
        <w:spacing w:after="0" w:line="214" w:lineRule="exact"/>
        <w:rPr>
          <w:sz w:val="20"/>
          <w:szCs w:val="20"/>
          <w:color w:val="auto"/>
        </w:rPr>
      </w:pPr>
    </w:p>
    <w:p>
      <w:pPr>
        <w:ind w:left="120" w:right="320" w:firstLine="551"/>
        <w:spacing w:after="0" w:line="248" w:lineRule="auto"/>
        <w:rPr>
          <w:sz w:val="20"/>
          <w:szCs w:val="20"/>
          <w:color w:val="auto"/>
        </w:rPr>
      </w:pPr>
      <w:r>
        <w:rPr>
          <w:rFonts w:ascii="Arial" w:cs="Arial" w:eastAsia="Arial" w:hAnsi="Arial"/>
          <w:sz w:val="18"/>
          <w:szCs w:val="18"/>
          <w:color w:val="auto"/>
        </w:rPr>
        <w:t>Each of our executive officers is eligible for an annual bonus under our management bonus plan and has an established target bonus amount as set forth in the section titled “Executive Compensation—Employment Arrangements with Our Named Executive Officers.” For 2019, our board determined each eligible executive officer’s actual bonus based upon an assessment of achievement of corporate goals, which included specified study, pipeline and financial goals.</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Employee Incentive Compensation Plan</w:t>
      </w:r>
    </w:p>
    <w:p>
      <w:pPr>
        <w:spacing w:after="0" w:line="106"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board of directors adopted an Employee Incentive Compensation Plan, or Incentive Compensation Plan. Our Incentive Compensation Plan allows our compensation committee to provide cash incentive awards to employees selected by our compensation committee, including our named executive officers, based upon performance goals established by our compensation committee. Pursuant to the Incentive Compensation Plan, our compensation committee, in its sole discretion, establishes a target award for each participant and a bonus pool, with actual awards payable from such bonus pool, with respect to the applicable performance period.</w:t>
      </w:r>
    </w:p>
    <w:p>
      <w:pPr>
        <w:spacing w:after="0" w:line="17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Under our Incentive Compensation Plan, our compensation committee determines the performance goals applicable to any award, which goals may include, without limitation, attainment of research and development and/or clinical development milestones, bookings, business divestitures and acquisitions, capital raising, cash flow, cash position, contract awards or backlog, customer renewals, customer retention rates from an acquired company, subsidiary, business unit or division, earnings (which may include earnings before interest and taxes, earnings before taxes, and net taxes), earnings per share, expenses, financial milestones, gross margin, growth in stockholder value relative to the moving average of the S&amp;P 500 Index or another index, internal rate of return, internal structure, leadership development, license or research collaboration agreements, market share, net income, net profit, net sales, new product development, new product or business invention or innovation, number of customers, operating cash flow, operating expenses, operating income, operating margin, overhead or other expense reduction, patentability, publications, procurement, product defect measures, product release timelines or other product release milestones, productivity, profit, project, function or portfolio-specific milestones,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and individual objectives such as peer reviews or other subjective or objective criteria. The performance goals may differ from participant to participant and from award to award.</w:t>
      </w:r>
    </w:p>
    <w:p>
      <w:pPr>
        <w:spacing w:after="0" w:line="177"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compensation committee administers our Incentive Compensation Plan. The administrator of our Incentive Compensation Plan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80"/>
          </w:cols>
          <w:pgMar w:left="320" w:top="455" w:right="49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Actual awards will be paid in cash (or its equivalent) in a single lump sum only after they are earned, which usually requires continued employment through the date the actual award is paid. The compensation committee reserves the right to settle an actual award with a grant of an equity award under the Company’s then-current equity compensation plan, which equity award may have such terms and conditions, as the compensation committee determines. Payment of awards occurs as soon as administratively practicable after they are earned, but no later than the dates set forth in our Incentive Compensation Plan.</w:t>
      </w:r>
    </w:p>
    <w:p>
      <w:pPr>
        <w:spacing w:after="0" w:line="172" w:lineRule="exact"/>
        <w:rPr>
          <w:sz w:val="20"/>
          <w:szCs w:val="20"/>
          <w:color w:val="auto"/>
        </w:rPr>
      </w:pPr>
    </w:p>
    <w:p>
      <w:pPr>
        <w:ind w:left="120" w:right="400" w:firstLine="551"/>
        <w:spacing w:after="0" w:line="306" w:lineRule="auto"/>
        <w:rPr>
          <w:sz w:val="20"/>
          <w:szCs w:val="20"/>
          <w:color w:val="auto"/>
        </w:rPr>
      </w:pPr>
      <w:r>
        <w:rPr>
          <w:rFonts w:ascii="Arial" w:cs="Arial" w:eastAsia="Arial" w:hAnsi="Arial"/>
          <w:sz w:val="17"/>
          <w:szCs w:val="17"/>
          <w:color w:val="auto"/>
        </w:rPr>
        <w:t>Our board of directors and our compensation committee have the authority to amend, alter, suspend or terminate our Incentive Compensation Plan, provided such action does not impair the existing rights of any participant with respect to any earned awards.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1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currently have a Change in Control and Severance Policy, or Severance Policy, and have entered into participation agreements under the Severance Policy with certain employees, including Dr. Mack, Mr. Kung and Dr. Jalota. The form of participation agreement to the Change in Control and Severance Policy was amended in August 2020.</w:t>
      </w:r>
    </w:p>
    <w:p>
      <w:pPr>
        <w:spacing w:after="0" w:line="16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Severance Policy and related participation agreements provide that if we (or any of our subsidiaries) terminate a participant’s employment during the period beginning three months prior to and ending 12 months after a “change in control” (as defined in the Severance Policy) (such period, the “change in control period”) other than for “cause” (as defined in the Severance Policy), death or disability, and, in the case of Dr. Mack and Mr. Kung, the termination of employment by the participant for “good reason” (as defined in the Severance Policy), the participant will receive the following:</w:t>
      </w:r>
    </w:p>
    <w:p>
      <w:pPr>
        <w:spacing w:after="0" w:line="78" w:lineRule="exact"/>
        <w:rPr>
          <w:sz w:val="20"/>
          <w:szCs w:val="20"/>
          <w:color w:val="auto"/>
        </w:rPr>
      </w:pPr>
    </w:p>
    <w:p>
      <w:pPr>
        <w:ind w:left="880" w:right="40" w:hanging="224"/>
        <w:spacing w:after="0" w:line="255"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100% acceleration of unvested equity awards (in the case of performance-based equity awards, unless otherwise determined by us and set forth in the equity award agreement, all performance goals and other vesting criteria will be deemed achieved at 100% of target levels);</w:t>
      </w:r>
    </w:p>
    <w:p>
      <w:pPr>
        <w:spacing w:after="0" w:line="69"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lump sum payment equal to the amount specified in the participant’s participation agreement (18 months’ base salary for Dr. Mack, 12 months’ base salary for Mr. Kung and nine months for Dr. Jalota);</w:t>
      </w:r>
    </w:p>
    <w:p>
      <w:pPr>
        <w:spacing w:after="0" w:line="50" w:lineRule="exact"/>
        <w:rPr>
          <w:rFonts w:ascii="Arial" w:cs="Arial" w:eastAsia="Arial" w:hAnsi="Arial"/>
          <w:sz w:val="18"/>
          <w:szCs w:val="18"/>
          <w:color w:val="auto"/>
        </w:rPr>
      </w:pPr>
    </w:p>
    <w:p>
      <w:pPr>
        <w:ind w:left="880" w:right="720" w:hanging="224"/>
        <w:spacing w:after="0" w:line="276"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target annual bonus for the year of termination equal to the amount specified in the participant’s participation agreement ($393,825 for Dr. Mack, $174,840 for Mr. Kung and the greater of 75% or pro-rata for Dr. Jalota); and</w:t>
      </w:r>
    </w:p>
    <w:p>
      <w:pPr>
        <w:spacing w:after="0" w:line="50"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payment or reimbursement of the participant’s COBRA premiums, as applicable, for a time period specified in the participant’s participation agreement (18 months for Dr. Mack, 12 months for Mr. Kung and six months for Dr. Jalota).</w:t>
      </w:r>
    </w:p>
    <w:p>
      <w:pPr>
        <w:spacing w:after="0" w:line="145" w:lineRule="exact"/>
        <w:rPr>
          <w:sz w:val="20"/>
          <w:szCs w:val="20"/>
          <w:color w:val="auto"/>
        </w:rPr>
      </w:pPr>
    </w:p>
    <w:p>
      <w:pPr>
        <w:ind w:left="120" w:right="520" w:firstLine="551"/>
        <w:spacing w:after="0" w:line="255" w:lineRule="auto"/>
        <w:rPr>
          <w:sz w:val="20"/>
          <w:szCs w:val="20"/>
          <w:color w:val="auto"/>
        </w:rPr>
      </w:pPr>
      <w:r>
        <w:rPr>
          <w:rFonts w:ascii="Arial" w:cs="Arial" w:eastAsia="Arial" w:hAnsi="Arial"/>
          <w:sz w:val="18"/>
          <w:szCs w:val="18"/>
          <w:color w:val="auto"/>
        </w:rPr>
        <w:t>The Severance Policy and related participation agreements also provide that if we (or one of our subsidiaries) terminate a participant’s employment outside the change in control period other than for cause, death or disability, the participant will receive the following:</w:t>
      </w:r>
    </w:p>
    <w:p>
      <w:pPr>
        <w:spacing w:after="0" w:line="69" w:lineRule="exact"/>
        <w:rPr>
          <w:sz w:val="20"/>
          <w:szCs w:val="20"/>
          <w:color w:val="auto"/>
        </w:rPr>
      </w:pPr>
    </w:p>
    <w:p>
      <w:pPr>
        <w:ind w:left="880" w:right="140" w:hanging="224"/>
        <w:spacing w:after="0" w:line="248"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acceleration of vesting of time-based unvested equity awards granted prior to the effectiveness of this offering equal to the amount specified in the participant’s participation agreement (equal to the number of shares otherwise scheduled to vest during the 12 month period following the date of termination for Dr. Mack and the six month period following the date of termination for Mr. Kung and Dr. Jalota);</w:t>
      </w:r>
    </w:p>
    <w:p>
      <w:pPr>
        <w:spacing w:after="0" w:line="75"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lump sum payment equal to amount specified in the participant’s participation agreement (12 months’ base salary for Dr. Mack, nine months’ base salary for Mr. Kung and six months’ base salary for Dr. Jalota); and</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60" w:hanging="224"/>
        <w:spacing w:after="0" w:line="276" w:lineRule="auto"/>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payment or reimbursement of the participant’s COBRA premiums, as applicable, for a time period specified in the participant’s participation agreement (12 months for Dr. Mack, nine months for Mr. Kung and six months for Dr. Jalota).</w:t>
      </w:r>
    </w:p>
    <w:p>
      <w:pPr>
        <w:spacing w:after="0" w:line="145"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In addition, the Severance Policy provides that if any payments or benefits received by a participant under the Severance Policy or otherwise would constitute “parachute payments” within the meaning of Section 280G of the U.S. Internal Revenue Code of 1986, as amended, or Code, and may be subject to excise taxes imposed by Section 4999 of the Code, such amount will either be delivered in full or reduced so as not to be subject to excise taxation, whichever amount is higher, taking into account applicable taxes. The Severance Policy does not require us to provide any tax gross-ups.</w:t>
      </w:r>
    </w:p>
    <w:p>
      <w:pPr>
        <w:spacing w:after="0" w:line="172"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To receive the severance described above, the participant must sign and not revoke our standard separation agreement and release of claims within the timeframe that is set forth in the Severance Policy.</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Employee Benefit and Stock Plans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board of directors adopted, and our stockholders will approve, our 2020 Equity Incentive Plan, or 2020 Plan. The 2020 Plan will be effective on the business day immediately prior to the effective date of the registration statement of which this prospectus forms a part. Our 2020 Plan will provide for the grant of incentive stock options, within the meaning of Section 422 of the Code, to our employees and any of our parent and subsidiary corporations’ employees, and for the grant of nonstatutory stock options, restricted stock, restricted stock units, stock appreciation rights, performance units and performance shares to our employees, directors and consultants and any of our future subsidiary corporations’ employees and consultants.</w:t>
      </w:r>
    </w:p>
    <w:p>
      <w:pPr>
        <w:spacing w:after="0" w:line="17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 total of 4,406,374 shares of our common stock are reserved for issuance pursuant to our 2020 Plan.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shares reserved for issuance under our 2020 Plan will also include shares of our common stock subject to awards granted under our 2013 Plan that, after the effectiveness of this offering, expire or otherwise terminate without having been exercised in full or are forfeited to or repurchased by us (provided that the maximum number of shares that may be added to the 2020 Plan is 3,955,290 shares). The number of shares available for issuance under our 2020 Plan will also include an annual increase on the first day of each fiscal year beginning with our 2021 fiscal year, equal to the lesser of:</w:t>
      </w:r>
    </w:p>
    <w:p>
      <w:pPr>
        <w:spacing w:after="0" w:line="79" w:lineRule="exact"/>
        <w:rPr>
          <w:sz w:val="20"/>
          <w:szCs w:val="20"/>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4,406,374 shares;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5% of the outstanding shares of our common stock as of the last day of the immediately preceding fiscal year;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automatic share increase will lapse following the increase of the first day of 2030.</w:t>
      </w:r>
    </w:p>
    <w:p>
      <w:pPr>
        <w:spacing w:after="0" w:line="212"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If an award expires or becomes unexercisable without having been exercised in full, is surrendered pursuant to an exchange program, or, with respect to restricted stock, restricted stock units, performance units or performance shares, is forfeited to or repurchased by us due to failure to vest, the unpurchased shares (or for awards other than stock options or stock appreciation rights, the forfeited or repurchased shares) will become available for future grant or sale under the 2020 Plan (unless the 2020 Plan has terminated). With respect to stock appreciation rights, only the net shares actually issued will cease to be available under the 2020 Plan and all remaining shares under stock</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41" w:lineRule="auto"/>
        <w:rPr>
          <w:sz w:val="20"/>
          <w:szCs w:val="20"/>
          <w:color w:val="auto"/>
        </w:rPr>
      </w:pPr>
      <w:r>
        <w:rPr>
          <w:rFonts w:ascii="Arial" w:cs="Arial" w:eastAsia="Arial" w:hAnsi="Arial"/>
          <w:sz w:val="18"/>
          <w:szCs w:val="18"/>
          <w:color w:val="auto"/>
        </w:rPr>
        <w:t>appreciation rights will remain available for future grant or sale under the 2020 Plan (unless the 2020 Plan has terminated). Shares that have actually been issued under the 2020 Plan will not be returned to the 2020 Plan except if shares issued pursuant to awards of restricted stock, restricted stock units, performance shares, or performance units are repurchased by or forfeited to us, such shares will become available for future grant under the 2020 Plan. Shares used to pay the exercise price of an award or satisfy the tax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17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one or more committees appointed by our board of directors will administer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Plan. The compensation committee of our board of directors will initially administer our 2020 Plan. In addition, if we determine it is desirable to qualify transactions under our 2020 Plan as exempt under Rule 16b-3 of the Securities Exchange Act of 1934, as amended, or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may be granted under our 2020 Plan. The exercise price of options granted under our 2020 Plan</w:t>
      </w:r>
      <w:r>
        <w:rPr>
          <w:rFonts w:ascii="Arial" w:cs="Arial" w:eastAsia="Arial" w:hAnsi="Arial"/>
          <w:sz w:val="18"/>
          <w:szCs w:val="18"/>
          <w:i w:val="1"/>
          <w:iCs w:val="1"/>
          <w:color w:val="auto"/>
        </w:rPr>
        <w:t xml:space="preserve"> </w:t>
      </w:r>
      <w:r>
        <w:rPr>
          <w:rFonts w:ascii="Arial" w:cs="Arial" w:eastAsia="Arial" w:hAnsi="Arial"/>
          <w:sz w:val="18"/>
          <w:szCs w:val="18"/>
          <w:color w:val="auto"/>
        </w:rPr>
        <w:t>must at least be equal to the fair market value of our common stock on the date of grant. The term of an option may not exceed ten years. With respect to any participant who owns more than 10% of the voting power of all classes of our (or any parent or subsidiary of ours)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twelve months following the termination of service. In all other cases, in the absence of a specified time in an award agreement, the option will remain exercisable for three months following the termination of service. An option, however, may not be exercised later than the expiration of its term. Subject to the provisions of our 2020 Plan, the administrator determines the other terms of options.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may be granted under our 2020 Plan. Stock appreciation rights allow the</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 to 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twelve months following the termination of service.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2020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8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may be granted under our 2020 Plan. Restricted stock awards are grants of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that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7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Restricted stock units may be granted under our 2020 Plan. Restricted stock units are bookkeeping</w:t>
      </w:r>
      <w:r>
        <w:rPr>
          <w:rFonts w:ascii="Arial" w:cs="Arial" w:eastAsia="Arial" w:hAnsi="Arial"/>
          <w:sz w:val="18"/>
          <w:szCs w:val="18"/>
          <w:i w:val="1"/>
          <w:iCs w:val="1"/>
          <w:color w:val="auto"/>
        </w:rPr>
        <w:t xml:space="preserve"> </w:t>
      </w:r>
      <w:r>
        <w:rPr>
          <w:rFonts w:ascii="Arial" w:cs="Arial" w:eastAsia="Arial" w:hAnsi="Arial"/>
          <w:sz w:val="18"/>
          <w:szCs w:val="18"/>
          <w:color w:val="auto"/>
        </w:rPr>
        <w:t>entries representing an amount equal to the fair market value of one share of our common stock. Subject to the provisions of our 2020 Plan, the administrator determines the terms and conditions of restricted stock units,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In addition, the administrator, in its sole discretion, may accelerate the time at which any restrictions will lapse or be removed.</w:t>
      </w:r>
    </w:p>
    <w:p>
      <w:pPr>
        <w:spacing w:after="0" w:line="180"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i w:val="1"/>
          <w:iCs w:val="1"/>
          <w:color w:val="auto"/>
        </w:rPr>
        <w:t>Performance Units and Performance Shares</w:t>
      </w:r>
      <w:r>
        <w:rPr>
          <w:rFonts w:ascii="Arial" w:cs="Arial" w:eastAsia="Arial" w:hAnsi="Arial"/>
          <w:sz w:val="18"/>
          <w:szCs w:val="18"/>
          <w:color w:val="auto"/>
        </w:rPr>
        <w:t>. Performance units and performance shares may be granted under our 2020 Plan.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units and performance shares are awards that will result in a payment to a participant only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value established by the administrator on or prior to the grant date. Performance shares will have an initial value equal to the fair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76" w:lineRule="auto"/>
        <w:rPr>
          <w:sz w:val="20"/>
          <w:szCs w:val="20"/>
          <w:color w:val="auto"/>
        </w:rPr>
      </w:pPr>
      <w:r>
        <w:rPr>
          <w:rFonts w:ascii="Arial" w:cs="Arial" w:eastAsia="Arial" w:hAnsi="Arial"/>
          <w:sz w:val="18"/>
          <w:szCs w:val="18"/>
          <w:color w:val="auto"/>
        </w:rPr>
        <w:t>market value of our common stock on the grant date. The administrator, in its sole discretion, may pay out earned performance units or performance shares in cash, shares or in some combination thereof.</w:t>
      </w:r>
    </w:p>
    <w:p>
      <w:pPr>
        <w:spacing w:after="0" w:line="145"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i w:val="1"/>
          <w:iCs w:val="1"/>
          <w:color w:val="auto"/>
        </w:rPr>
        <w:t>Outside Directors</w:t>
      </w:r>
      <w:r>
        <w:rPr>
          <w:rFonts w:ascii="Arial" w:cs="Arial" w:eastAsia="Arial" w:hAnsi="Arial"/>
          <w:sz w:val="18"/>
          <w:szCs w:val="18"/>
          <w:color w:val="auto"/>
        </w:rPr>
        <w:t>. All outside (non-employee) directors will be eligible to receive all types of awards (except for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under our 2020 Plan. To provide a maximum limit on the cash compensation and equity awards that can be made to our outside directors, our 2020 Plan provides that in any given fiscal year, an outside director will not be granted equity awards with an aggregate value greater than $750,000 (increased to $1,000,000 in the fiscal year of his or her initial service as an outside director), with the value of each equity award based on its grant date fair value as determined according to GAAP for purposes of this limit. Any cash compensation paid or awards granted to an individual for his or her services as an employee or consultant (other than as an outside director) will not count toward this limit.</w:t>
      </w:r>
    </w:p>
    <w:p>
      <w:pPr>
        <w:spacing w:after="0" w:line="179" w:lineRule="exact"/>
        <w:rPr>
          <w:sz w:val="20"/>
          <w:szCs w:val="20"/>
          <w:color w:val="auto"/>
        </w:rPr>
      </w:pPr>
    </w:p>
    <w:p>
      <w:pPr>
        <w:jc w:val="both"/>
        <w:ind w:left="120" w:right="500" w:firstLine="551"/>
        <w:spacing w:after="0" w:line="255"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the administrator provides otherwise, our 2020 Plan generally does not allow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awards and only the recipient of an award may exercise an award during his or her lifetime. If the administrator makes an award transferrable, such award will contain such additional terms and conditions as the administrator deems appropriate.</w:t>
      </w:r>
    </w:p>
    <w:p>
      <w:pPr>
        <w:spacing w:after="0" w:line="164" w:lineRule="exact"/>
        <w:rPr>
          <w:sz w:val="20"/>
          <w:szCs w:val="20"/>
          <w:color w:val="auto"/>
        </w:rPr>
      </w:pPr>
    </w:p>
    <w:p>
      <w:pPr>
        <w:jc w:val="both"/>
        <w:ind w:left="120" w:right="40" w:firstLine="551"/>
        <w:spacing w:after="0" w:line="248"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benefits available under our 2020 Plan, the administrator will adjust the number and class of shares that may be delivered under our 2020 Plan and/or the number, class and price of shares covered by each outstanding award and the numerical share limits set forth in our 2020 Plan.</w:t>
      </w:r>
    </w:p>
    <w:p>
      <w:pPr>
        <w:spacing w:after="0" w:line="170"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liquidation or dissolution, the administrator will notify participants as soon</w:t>
      </w:r>
      <w:r>
        <w:rPr>
          <w:rFonts w:ascii="Arial" w:cs="Arial" w:eastAsia="Arial" w:hAnsi="Arial"/>
          <w:sz w:val="18"/>
          <w:szCs w:val="18"/>
          <w:i w:val="1"/>
          <w:iCs w:val="1"/>
          <w:color w:val="auto"/>
        </w:rPr>
        <w:t xml:space="preserve"> </w:t>
      </w:r>
      <w:r>
        <w:rPr>
          <w:rFonts w:ascii="Arial" w:cs="Arial" w:eastAsia="Arial" w:hAnsi="Arial"/>
          <w:sz w:val="18"/>
          <w:szCs w:val="18"/>
          <w:color w:val="auto"/>
        </w:rPr>
        <w:t>as practicable and, to the extent not exercised, all awards will terminate immediately prior to the consummation of such proposed transaction.</w:t>
      </w:r>
    </w:p>
    <w:p>
      <w:pPr>
        <w:spacing w:after="0" w:line="164" w:lineRule="exact"/>
        <w:rPr>
          <w:sz w:val="20"/>
          <w:szCs w:val="20"/>
          <w:color w:val="auto"/>
        </w:rPr>
      </w:pPr>
    </w:p>
    <w:p>
      <w:pPr>
        <w:jc w:val="both"/>
        <w:ind w:left="120" w:right="240" w:firstLine="551"/>
        <w:spacing w:after="0" w:line="255"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2020 Plan provides that in the event of a merger or change in control, as defined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Plan, each outstanding award will be treated as the administrator determines, without a participant’s consent. The administrator is not required to treat all awards, all awards held by a participant or all awards of the same type similarly.</w:t>
      </w:r>
    </w:p>
    <w:p>
      <w:pPr>
        <w:spacing w:after="0" w:line="16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8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spacing w:after="0" w:line="172"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Awards will be subject to any clawback policy of ours, and the administrator also may specify in an 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participant’s rights, payments and/or benefits with respect</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20"/>
        <w:spacing w:after="0" w:line="248" w:lineRule="auto"/>
        <w:rPr>
          <w:sz w:val="20"/>
          <w:szCs w:val="20"/>
          <w:color w:val="auto"/>
        </w:rPr>
      </w:pPr>
      <w:r>
        <w:rPr>
          <w:rFonts w:ascii="Arial" w:cs="Arial" w:eastAsia="Arial" w:hAnsi="Arial"/>
          <w:sz w:val="18"/>
          <w:szCs w:val="18"/>
          <w:color w:val="auto"/>
        </w:rPr>
        <w:t>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spacing w:after="0" w:line="170"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alter, suspend or terminate our 2020 Plan, provided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does not materially impair the rights of any participant. Our 2020 Plan continues unless we terminate it. No incentive stock options may be granted after the ten year anniversary of the date of the 2020 Plan was adopted.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04" w:lineRule="exact"/>
        <w:rPr>
          <w:sz w:val="20"/>
          <w:szCs w:val="20"/>
          <w:color w:val="auto"/>
        </w:rPr>
      </w:pPr>
    </w:p>
    <w:p>
      <w:pPr>
        <w:jc w:val="both"/>
        <w:ind w:left="120" w:right="20" w:firstLine="551"/>
        <w:spacing w:after="0" w:line="306" w:lineRule="auto"/>
        <w:rPr>
          <w:sz w:val="20"/>
          <w:szCs w:val="20"/>
          <w:color w:val="auto"/>
        </w:rPr>
      </w:pPr>
      <w:r>
        <w:rPr>
          <w:rFonts w:ascii="Arial" w:cs="Arial" w:eastAsia="Arial" w:hAnsi="Arial"/>
          <w:sz w:val="17"/>
          <w:szCs w:val="17"/>
          <w:color w:val="auto"/>
        </w:rPr>
        <w:t>Our board of directors adopted, and our stockholders will approve, a 2020 Employee Stock Purchase Plan, or the ESPP. Our ESPP will be effective one business day immediately before the effective date of the registration statement of which this prospectus forms a part.</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The maximum number of shares of our common stock that will be available for issuance under our ESPP will be equal to the greater of 400,752 shares of our common stock. In addition, our ESPP will provide for annual increases in the number of shares of our common stock available for issuance under our ESPP on the first day of each of our fiscal years beginning with our fiscal year 2021, in an amount equal to the least of:</w:t>
      </w:r>
    </w:p>
    <w:p>
      <w:pPr>
        <w:spacing w:after="0" w:line="197" w:lineRule="exact"/>
        <w:rPr>
          <w:sz w:val="20"/>
          <w:szCs w:val="20"/>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801,504 shares;</w:t>
      </w:r>
    </w:p>
    <w:p>
      <w:pPr>
        <w:spacing w:after="0" w:line="117"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one percent (1%) of the outstanding shares of all classes of our common stock on the last day of our immediately preceding fiscal year;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other amount determined as our board of directors may determine.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issuable under the ESPP will be authorized, but unissued, or reacquired shares of our common stock.</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board of directors or a committee appointed by our board of directors may administer the ESPP. We anticipate that our compensation committee will administer our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are final and binding on all participants to the maximum extent permitted by law.</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Eligibility</w:t>
      </w:r>
    </w:p>
    <w:p>
      <w:pPr>
        <w:spacing w:after="0" w:line="102" w:lineRule="exact"/>
        <w:rPr>
          <w:sz w:val="20"/>
          <w:szCs w:val="20"/>
          <w:color w:val="auto"/>
        </w:rPr>
      </w:pPr>
    </w:p>
    <w:p>
      <w:pPr>
        <w:ind w:left="120" w:right="680" w:firstLine="551"/>
        <w:spacing w:after="0" w:line="276" w:lineRule="auto"/>
        <w:rPr>
          <w:sz w:val="20"/>
          <w:szCs w:val="20"/>
          <w:color w:val="auto"/>
        </w:rPr>
      </w:pPr>
      <w:r>
        <w:rPr>
          <w:rFonts w:ascii="Arial" w:cs="Arial" w:eastAsia="Arial" w:hAnsi="Arial"/>
          <w:sz w:val="18"/>
          <w:szCs w:val="18"/>
          <w:color w:val="auto"/>
        </w:rPr>
        <w:t>Generally, any of our employees are eligible to participate in our ESPP if they are customarily employed by us or any of our participating subsidiaries for at least 20 hours per week and more than</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five months in any calendar year. The administrator, in its discretion, before an enrollment date for all options granted on such enrollment date in an offering, may determine that an employee who (1) has not completed at least two years of service (or a lesser period of time determined by the administrator) since the employee’s last hire date, (2) 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Code Section 414(q), or (5) is a highly compensated employee within the meaning of Code Section 414(q) with compensation above a certain level or who is an officer or subject to disclosure requirements under Section 16(a) of the Exchange Act, is or is not eligible to participate in an offering. However, an employee may not be granted an option to purchase stock under our ESPP if the employee (1) immediately after the grant, would own stock and/or hold outstanding options to purchase such stock possessing 5% or more of the total combined voting power or value of all classes of our (or any of our parent’s or subsidiary’s) capital stock, or (2) holds rights to purchase stock under all of our employee stock purchase plans that accrue at a rate that exceeds $25,000 worth of stock for each calendar year.</w:t>
      </w:r>
    </w:p>
    <w:p>
      <w:pPr>
        <w:spacing w:after="0" w:line="176" w:lineRule="exact"/>
        <w:rPr>
          <w:sz w:val="20"/>
          <w:szCs w:val="20"/>
          <w:color w:val="auto"/>
        </w:rPr>
      </w:pPr>
    </w:p>
    <w:p>
      <w:pPr>
        <w:ind w:left="120" w:right="160" w:firstLine="551"/>
        <w:spacing w:after="0" w:line="306" w:lineRule="auto"/>
        <w:rPr>
          <w:sz w:val="20"/>
          <w:szCs w:val="20"/>
          <w:color w:val="auto"/>
        </w:rPr>
      </w:pPr>
      <w:r>
        <w:rPr>
          <w:rFonts w:ascii="Arial" w:cs="Arial" w:eastAsia="Arial" w:hAnsi="Arial"/>
          <w:sz w:val="17"/>
          <w:szCs w:val="17"/>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Our ESPP includes a component, or the 423 Component, that is intended to qualify as an “employee stock purchase plan” under Code Section 423, and a component that does not comply with Code Section 423, or the Non-423 Component. For purposes of this summary, a reference to our ESPP generally will mean the terms and operations of the 423 Component. Our ESPP will provide for consecutive six-month offering periods. Each offering period will have one purchase period with the same duration as the offering period. The offering periods will be scheduled to begin on the first trading day on or after May 20</w:t>
      </w:r>
      <w:r>
        <w:rPr>
          <w:rFonts w:ascii="Arial" w:cs="Arial" w:eastAsia="Arial" w:hAnsi="Arial"/>
          <w:sz w:val="15"/>
          <w:szCs w:val="15"/>
          <w:color w:val="auto"/>
        </w:rPr>
        <w:t>th</w:t>
      </w:r>
      <w:r>
        <w:rPr>
          <w:rFonts w:ascii="Arial" w:cs="Arial" w:eastAsia="Arial" w:hAnsi="Arial"/>
          <w:sz w:val="18"/>
          <w:szCs w:val="18"/>
          <w:color w:val="auto"/>
        </w:rPr>
        <w:t xml:space="preserve"> and November 20</w:t>
      </w:r>
      <w:r>
        <w:rPr>
          <w:rFonts w:ascii="Arial" w:cs="Arial" w:eastAsia="Arial" w:hAnsi="Arial"/>
          <w:sz w:val="15"/>
          <w:szCs w:val="15"/>
          <w:color w:val="auto"/>
        </w:rPr>
        <w:t>th</w:t>
      </w:r>
      <w:r>
        <w:rPr>
          <w:rFonts w:ascii="Arial" w:cs="Arial" w:eastAsia="Arial" w:hAnsi="Arial"/>
          <w:sz w:val="18"/>
          <w:szCs w:val="18"/>
          <w:color w:val="auto"/>
        </w:rPr>
        <w:t xml:space="preserve"> of each year, except for the first offering period, which will begin on the first trading day on or after the effective date of the registration statement of which this prospectus forms a part and end on the first trading day on or after May 20, 2021. The administrator is authorized to change the duration of future offering periods and purchase periods under our ESPP, including the starting and ending dates of offering periods and purchase periods and the number of purchase periods in any offering periods, provided that no offering period will have a duration exceeding 27 months.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Contributions</w:t>
      </w:r>
    </w:p>
    <w:p>
      <w:pPr>
        <w:spacing w:after="0" w:line="102"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Our ESPP permits participants to purchase shares of our common stock through payroll deductions of up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of Purchase Right</w:t>
      </w:r>
    </w:p>
    <w:p>
      <w:pPr>
        <w:spacing w:after="0" w:line="102"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Amounts deducted and accumulated by a participant under our ESPP are used to purchase shares of our common stock at the end of each purchase period. The purchase price of the shares will be 85% of the lower of (1) the fair market value of a share of our common stock on the first trading day of the offering period and (2) the fair market value of a share of our common stock on the exercise date. A participant will be permitted to purchase a maximum of 4,000 shares during each offering period.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Non-transferability</w:t>
      </w:r>
    </w:p>
    <w:p>
      <w:pPr>
        <w:spacing w:after="0" w:line="102"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ESPP provides that if any dividend or other distribution (whether in the form of cash, our common stock, other securities, or other property), recapitalization, stock split, reverse stock split, reorganization, merger, consolidation, split-up, spin-off,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Merger or Change in Control</w:t>
      </w:r>
    </w:p>
    <w:p>
      <w:pPr>
        <w:spacing w:after="0" w:line="10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and Termination</w:t>
      </w:r>
    </w:p>
    <w:p>
      <w:pPr>
        <w:spacing w:after="0" w:line="102" w:lineRule="exact"/>
        <w:rPr>
          <w:sz w:val="20"/>
          <w:szCs w:val="20"/>
          <w:color w:val="auto"/>
        </w:rPr>
      </w:pPr>
    </w:p>
    <w:p>
      <w:pPr>
        <w:ind w:left="120" w:right="260" w:firstLine="551"/>
        <w:spacing w:after="0" w:line="245" w:lineRule="auto"/>
        <w:rPr>
          <w:sz w:val="20"/>
          <w:szCs w:val="20"/>
          <w:color w:val="auto"/>
        </w:rPr>
      </w:pPr>
      <w:r>
        <w:rPr>
          <w:rFonts w:ascii="Arial" w:cs="Arial" w:eastAsia="Arial" w:hAnsi="Arial"/>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prior to the effective date of our registration statement of which this prospectus forms a part, unless we terminate it earlier.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Equity Incentive Plan</w:t>
      </w:r>
    </w:p>
    <w:p>
      <w:pPr>
        <w:spacing w:after="0" w:line="104"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Our 2013 Equity Incentive Plan, as amended, or 2013 Plan, was originally adopted by our board of directors and approved by our stockholders in July 2013. Our 2013 Plan was most recently amended in November 2019 and approved by stockholders in November 2019.</w:t>
      </w:r>
    </w:p>
    <w:p>
      <w:pPr>
        <w:spacing w:after="0" w:line="16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Our 2013 Plan allows us to provide incentive stock options, within the meaning of Section 422 of the Code, nonstatutory stock options, stock appreciation rights, restricted stock awards and restricted stock units (each, an “award” and the recipient of such award, a “participant”) to eligible employees, directors, and consultants of ours and any parent or subsidiary of ours. It is expected that as of one business day prior to the effectiveness of the registration statement of which this prospectus forms a part, our 2013 Plan will be terminated and we will not grant any additional awards under our 2013 Plan thereafter. However, our 2013 Plan will continue to govern the terms and conditions of the outstanding awards previously granted under our 2013 Plan.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As of June 30, 2020, the following awards were outstanding under our 2013 Plan: stock options covering 3,922,612 shares of our common stock.</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2013 Plan is administered by our board of directors or one or more committees appointed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Different committees may administer our 2013 Plan with respect to different service providers. The administrator has all authority and discretion necessary or appropriate to administer our 2013 Plan and to control its operation, including the authority to construe and interpret the terms of our 2013 Plan and the awards granted under our 2013 Plan. The administrator’s decisions are final and binding on all participants and any other persons holding awards.</w:t>
      </w:r>
    </w:p>
    <w:p>
      <w:pPr>
        <w:spacing w:after="0" w:line="17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administrator’s powers include the power to institute an exchange program under which (i) outstanding awards are surrendered or cancelled in exchange for awards of the same type (which may have higher or lower exercise prices and different terms), awards of a different type or cash, (ii) participants would have the opportunity to transfer any outstanding awards to a financial institution or other person or entity selected by the administrator or (iii) the exercise price of an outstanding award is increased or reduced. The administrator’s powers also include the power to prescribe, amend and rescind rules and regulations relating to our 2013 Plan, to modify or amend each award and to make all other determinations deemed necessary or advisable for administering our 2013 Plan.</w:t>
      </w:r>
    </w:p>
    <w:p>
      <w:pPr>
        <w:spacing w:after="0" w:line="174"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directors and consultants of ours or our parent or subsidiary companies are eligible to receive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such consultants render bona fide services not in connection with the offer and sale of securities in a capital-raising transaction and do not directly promote or maintain a market for our securities. Only our employees or employees of our parent or subsidiary companies are eligible to receive incentive stock options.</w:t>
      </w:r>
    </w:p>
    <w:p>
      <w:pPr>
        <w:spacing w:after="0" w:line="170" w:lineRule="exact"/>
        <w:rPr>
          <w:sz w:val="20"/>
          <w:szCs w:val="20"/>
          <w:color w:val="auto"/>
        </w:rPr>
      </w:pPr>
    </w:p>
    <w:p>
      <w:pPr>
        <w:ind w:left="120" w:right="220" w:firstLine="551"/>
        <w:spacing w:after="0" w:line="255"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have been granted under our 2013 Plan. Subject to the provisions of our 2013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determines the term of an option, the number of shares subject to an option and the time period in which an option may be exercised.</w:t>
      </w:r>
    </w:p>
    <w:p>
      <w:pPr>
        <w:spacing w:after="0" w:line="16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The term of an option is stated in the applicable award agreement, but the term of an option may not exceed ten years from the grant date. The administrator determines the exercise price of options, which generally may not be less than 100% of the fair market value of our common stock on the grant date, unless expressly determined in writing by the administrator on the option’s grant date. However, an incentive stock option granted to an individual who directly or by attribution owns more than 10% of the total combined voting power of all of our classes of stock or of any our parent or subsidiary may have a term of no longer than 5 years from the grant date and will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our plans and any parent or subsidiary) exceeds $100,000, such options will be treated as nonstatutory stock options. Certain of the company’s outstanding options under our 2013 Plan have an early exercise provisions pursuant to which the participate may exercise the option prior to the shares being fully vested.</w:t>
      </w:r>
    </w:p>
    <w:p>
      <w:pPr>
        <w:spacing w:after="0" w:line="180"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administrator determines how a participant may pay the exercise price of an option, and the permissible methods are generally set forth in the applicable award agreement. If a participant’s status as a “service provider” (as defined in our 2013 Plan) terminates, that participant may exercise the vested portion of his or her option for the period of time stated in the applicable award agreement. Vested options generally will remain exercisable for three months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twelve months from the date of</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8" w:lineRule="auto"/>
        <w:rPr>
          <w:sz w:val="20"/>
          <w:szCs w:val="20"/>
          <w:color w:val="auto"/>
        </w:rPr>
      </w:pPr>
      <w:r>
        <w:rPr>
          <w:rFonts w:ascii="Arial" w:cs="Arial" w:eastAsia="Arial" w:hAnsi="Arial"/>
          <w:sz w:val="18"/>
          <w:szCs w:val="18"/>
          <w:color w:val="auto"/>
        </w:rPr>
        <w:t>termination (or such other longer period as set forth in the applicable award agreement).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170" w:lineRule="exact"/>
        <w:rPr>
          <w:sz w:val="20"/>
          <w:szCs w:val="20"/>
          <w:color w:val="auto"/>
        </w:rPr>
      </w:pPr>
    </w:p>
    <w:p>
      <w:pPr>
        <w:ind w:left="120" w:right="300" w:firstLine="551"/>
        <w:spacing w:after="0" w:line="245"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determined otherwise by the administrator, awards may not be sold, pledged, assigned,</w:t>
      </w:r>
      <w:r>
        <w:rPr>
          <w:rFonts w:ascii="Arial" w:cs="Arial" w:eastAsia="Arial" w:hAnsi="Arial"/>
          <w:sz w:val="18"/>
          <w:szCs w:val="18"/>
          <w:i w:val="1"/>
          <w:iCs w:val="1"/>
          <w:color w:val="auto"/>
        </w:rPr>
        <w:t xml:space="preserve"> </w:t>
      </w:r>
      <w:r>
        <w:rPr>
          <w:rFonts w:ascii="Arial" w:cs="Arial" w:eastAsia="Arial" w:hAnsi="Arial"/>
          <w:sz w:val="18"/>
          <w:szCs w:val="18"/>
          <w:color w:val="auto"/>
        </w:rPr>
        <w:t>hypothecated or 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of cash, or (iii) as permitted by Rule 701 of the Securities Act of 1933, as amended, or Securities Act.</w:t>
      </w:r>
    </w:p>
    <w:p>
      <w:pPr>
        <w:spacing w:after="0" w:line="172"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If there is a dividend or other distribution (whether in the form of cash, shares, other securities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recapitalization, stock split, reverse stock split, reorganization, merger, consolidation, split-up, spin-off, combination, repurchase, exchange of shares or our other securities or other change in our corporate structure affecting the shares, the administrator will make proportionate adjustments to the number and type of shares that may be delivered under our 2013 Plan or the number, type and price of shares covered by each outstanding award. The administrator’s determination regarding such adjustments will be final, binding and conclusive.</w:t>
      </w:r>
    </w:p>
    <w:p>
      <w:pPr>
        <w:spacing w:after="0" w:line="174" w:lineRule="exact"/>
        <w:rPr>
          <w:sz w:val="20"/>
          <w:szCs w:val="20"/>
          <w:color w:val="auto"/>
        </w:rPr>
      </w:pPr>
    </w:p>
    <w:p>
      <w:pPr>
        <w:jc w:val="both"/>
        <w:ind w:left="120" w:right="180" w:firstLine="551"/>
        <w:spacing w:after="0" w:line="255"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dissolution or liquidation, the administrator will notify each participant as</w:t>
      </w:r>
      <w:r>
        <w:rPr>
          <w:rFonts w:ascii="Arial" w:cs="Arial" w:eastAsia="Arial" w:hAnsi="Arial"/>
          <w:sz w:val="18"/>
          <w:szCs w:val="18"/>
          <w:i w:val="1"/>
          <w:iCs w:val="1"/>
          <w:color w:val="auto"/>
        </w:rPr>
        <w:t xml:space="preserve"> </w:t>
      </w:r>
      <w:r>
        <w:rPr>
          <w:rFonts w:ascii="Arial" w:cs="Arial" w:eastAsia="Arial" w:hAnsi="Arial"/>
          <w:sz w:val="18"/>
          <w:szCs w:val="18"/>
          <w:color w:val="auto"/>
        </w:rPr>
        <w:t>soon as practicable prior to the effective date of such proposed transaction. To the extent it has not been previously exercised, an award will terminate immediately prior to the consummation of such proposed action.</w:t>
      </w:r>
    </w:p>
    <w:p>
      <w:pPr>
        <w:spacing w:after="0" w:line="164"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i w:val="1"/>
          <w:iCs w:val="1"/>
          <w:color w:val="auto"/>
        </w:rPr>
        <w:t>Merger and Change of Control</w:t>
      </w:r>
      <w:r>
        <w:rPr>
          <w:rFonts w:ascii="Arial" w:cs="Arial" w:eastAsia="Arial" w:hAnsi="Arial"/>
          <w:sz w:val="18"/>
          <w:szCs w:val="18"/>
          <w:color w:val="auto"/>
        </w:rPr>
        <w:t>. In the event of our merger with or into another corporation or entity or a “change in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our 2013 Plan), each outstanding award will be treated as the administrator determines, including, without limitation, that</w:t>
      </w:r>
    </w:p>
    <w:p>
      <w:pPr>
        <w:spacing w:after="0" w:line="1" w:lineRule="exact"/>
        <w:rPr>
          <w:sz w:val="20"/>
          <w:szCs w:val="20"/>
          <w:color w:val="auto"/>
        </w:rPr>
      </w:pPr>
    </w:p>
    <w:p>
      <w:pPr>
        <w:ind w:left="120" w:hanging="4"/>
        <w:spacing w:after="0" w:line="236" w:lineRule="auto"/>
        <w:tabs>
          <w:tab w:leader="none" w:pos="33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awards will be assumed, or substantially equivalent awards will be substituted, by the acquiring or succeeding corporation (or an affiliate thereof) with appropriate adjustments as to the number and kind of shares and prices; (ii) upon written notice to a participant,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w:t>
      </w:r>
    </w:p>
    <w:p>
      <w:pPr>
        <w:spacing w:after="0" w:line="182" w:lineRule="exact"/>
        <w:rPr>
          <w:sz w:val="20"/>
          <w:szCs w:val="20"/>
          <w:color w:val="auto"/>
        </w:rPr>
      </w:pPr>
    </w:p>
    <w:p>
      <w:pPr>
        <w:ind w:left="120" w:right="280" w:firstLine="551"/>
        <w:spacing w:after="0" w:line="245" w:lineRule="auto"/>
        <w:rPr>
          <w:sz w:val="20"/>
          <w:szCs w:val="20"/>
          <w:color w:val="auto"/>
        </w:rPr>
      </w:pPr>
      <w:r>
        <w:rPr>
          <w:rFonts w:ascii="Arial" w:cs="Arial" w:eastAsia="Arial" w:hAnsi="Arial"/>
          <w:sz w:val="18"/>
          <w:szCs w:val="18"/>
          <w:color w:val="auto"/>
        </w:rPr>
        <w:t>In the event that (i) a participant is terminated for reasons other than cause, death or disability (as such terms are defined in our 2013 Plan), or terminates employment following a resignation for good reason (as such term is defined in our 2013 Plan), or terminates employment due to not being offered employment reasonably commensurate with their position prior to the merger or change in control with any successor entity, in each case in connection with the merger or change in control (which may include, without limitation, termination within thirty (30) days prior to the effective date of a change of</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control), or (ii) the successor entity assumes or substitutes the awards of a participant, and within twelve (12) months after the merger or change in control such participant is terminated by the successor entity for reasons other than cause, death or disability, or such participant resigns for good reason, then, in each case,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fully vests upon the termination of a participant in connection with a merger or change in control pursuant to the immediately preceding sentence, the administrator will notify such participant in writing or electronically that the option or stock appreciation right will be exercisable for a period of time determined by the administrator in its sole discretion (of at least three (3) days), and the option or stock appreciation right will terminate upon the expiration of such period.</w:t>
      </w:r>
    </w:p>
    <w:p>
      <w:pPr>
        <w:spacing w:after="0" w:line="164"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at any time, terminate or amend our 2013 Plan in any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without limitation, amendment of any form of award agreement or instrument to be executed pursuant to our 2013 Plan. To the extent necessary and desirable to comply with applicable laws, we will obtain stockholder approval of any amendment to our 2013 Plan. No amendment or alteration of our 2013 Plan will impair the rights of a participant, unless mutually agreed otherwise between the participant and the administrator in writing. As noted above, it is expected that as of one business day prior to the effectiveness of the registration statement of which this prospectus forms a part, our 2013 Plan will be terminated and we will not grant any additional awards under our 2013 Plan thereafter.</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0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We maintain a 401(k) retirement savings plan for the benefit of our employees, including our named executive officers, who satisfy certain eligibility requirements. Under the 401(k) plan, eligible employees may elect to defer a portion of their compensation, within the limits prescribed by the Code. The 401(k) plan is intended to qualify under Sections 401(a) and 501(a) of the Code. We do not provide for any matching contributions under the 401(k) plan.</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21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Our amended and restated certificate of incorporation and amended and restated bylaws, each to be effective immediately prior to the completion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76" w:lineRule="exact"/>
        <w:rPr>
          <w:sz w:val="20"/>
          <w:szCs w:val="20"/>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left="120" w:right="240" w:firstLine="551"/>
        <w:spacing w:after="0" w:line="255"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color w:val="auto"/>
        </w:rPr>
        <w:t>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70"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addition to the indemnification required in our amended and restated certificate of incorporation and amended and restated bylaws, we have entered, and intend to continue to enter, into an indemnification agreement with each member of our board of directors and each of our officers prior to the completion of the offering.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76"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Other than compensation arrangements, including employment, termination of employment and change in control arrangements, with our directors and executive officers, including those discussed in the sections titled “Management” and “Executive Compensation,” and the registration rights described in the section titled “Description of Capital Stock—Registration Rights,” the following is a description of each transaction since January 1, 2017 and each currently proposed transaction in which:</w:t>
      </w:r>
    </w:p>
    <w:p>
      <w:pPr>
        <w:spacing w:after="0" w:line="76" w:lineRule="exact"/>
        <w:rPr>
          <w:sz w:val="20"/>
          <w:szCs w:val="20"/>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affiliate or immediate family member of, or person sharing a household with, any of these individuals or entities, had or will have a direct or indirect material interest.</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Sales of Securities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July 2020, we issued and sold an aggregate of 5,321,864 shares of our Series D convertible preferred stock, or Series D Preferred Stock, at a purchase price of $13.1533 per share for an aggregate purchase price of approximately $70.0 million. These shares of Series D Preferred Stock will convert into an aggregate of 5,321,864 shares of common stock immediately prior to the completion of this offering. The table below sets forth the number of shares of Series D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Series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5700" w:type="dxa"/>
            <w:vAlign w:val="bottom"/>
            <w:vMerge w:val="restart"/>
          </w:tcPr>
          <w:p>
            <w:pPr>
              <w:spacing w:after="0"/>
              <w:rPr>
                <w:sz w:val="14"/>
                <w:szCs w:val="14"/>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Affiliated Director(s) or</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vMerge w:val="continue"/>
          </w:tcPr>
          <w:p>
            <w:pPr>
              <w:spacing w:after="0"/>
              <w:rPr>
                <w:sz w:val="15"/>
                <w:szCs w:val="15"/>
                <w:color w:val="auto"/>
              </w:rPr>
            </w:pPr>
          </w:p>
        </w:tc>
        <w:tc>
          <w:tcPr>
            <w:tcW w:w="5700" w:type="dxa"/>
            <w:vAlign w:val="bottom"/>
            <w:vMerge w:val="continue"/>
          </w:tcPr>
          <w:p>
            <w:pPr>
              <w:spacing w:after="0"/>
              <w:rPr>
                <w:sz w:val="15"/>
                <w:szCs w:val="15"/>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Officer(s)</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0"/>
        </w:trPr>
        <w:tc>
          <w:tcPr>
            <w:tcW w:w="6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Nextech V Oncology S.C.S., SICAV-SIF</w:t>
            </w:r>
          </w:p>
        </w:tc>
        <w:tc>
          <w:tcPr>
            <w:tcW w:w="22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Thilo Schroeder, Ph.D.</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760,267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10,000,000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60" w:type="dxa"/>
            <w:vAlign w:val="bottom"/>
            <w:gridSpan w:val="2"/>
          </w:tcPr>
          <w:p>
            <w:pPr>
              <w:spacing w:after="0" w:line="202" w:lineRule="exact"/>
              <w:rPr>
                <w:sz w:val="20"/>
                <w:szCs w:val="20"/>
                <w:color w:val="auto"/>
              </w:rPr>
            </w:pPr>
            <w:r>
              <w:rPr>
                <w:rFonts w:ascii="Arial" w:cs="Arial" w:eastAsia="Arial" w:hAnsi="Arial"/>
                <w:sz w:val="18"/>
                <w:szCs w:val="18"/>
                <w:color w:val="auto"/>
              </w:rPr>
              <w:t>Viking Global Opportunities Illiquid Investments Sub-master LP</w:t>
            </w:r>
          </w:p>
        </w:tc>
        <w:tc>
          <w:tcPr>
            <w:tcW w:w="23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760,267</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03"/>
        </w:trPr>
        <w:tc>
          <w:tcPr>
            <w:tcW w:w="6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OrbiMed Advisors</w:t>
            </w:r>
          </w:p>
        </w:tc>
        <w:tc>
          <w:tcPr>
            <w:tcW w:w="236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rPr>
              <w:t>Peter Thompson, M.D.</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760,265</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9,999,997</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November 2019, we issued and sold an aggregate of 5,469,606 shares of our Series C convertible preferred stock, or Series C Preferred Stock, at a purchase price of $11.3121 per share for an aggregate purchase price of approximately $61.9 million. These shares of Series C Preferred Stock will convert into an aggregate of 5,469,606 shares of common stock immediately prior to the completion of this offering. The table below sets forth the number of shares of Series C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Series C</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46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Affiliated Director(s) or</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Officer(s)</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0"/>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Nextech V Oncology S.C.S., SICAV-SIF</w:t>
            </w:r>
          </w:p>
        </w:tc>
        <w:tc>
          <w:tcPr>
            <w:tcW w:w="86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Thilo Schroeder, Ph.D.</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1,768,023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19,999,999</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Viking Global Opportunities Illiquid Investments Sub-master LP</w:t>
            </w:r>
          </w:p>
        </w:tc>
        <w:tc>
          <w:tcPr>
            <w:tcW w:w="860" w:type="dxa"/>
            <w:vAlign w:val="bottom"/>
          </w:tcPr>
          <w:p>
            <w:pPr>
              <w:spacing w:after="0"/>
              <w:rPr>
                <w:sz w:val="17"/>
                <w:szCs w:val="17"/>
                <w:color w:val="auto"/>
              </w:rPr>
            </w:pPr>
          </w:p>
        </w:tc>
        <w:tc>
          <w:tcPr>
            <w:tcW w:w="23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1,326,017</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14,999,999</w:t>
            </w: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Euclidean Capital LLC</w:t>
            </w:r>
          </w:p>
        </w:tc>
        <w:tc>
          <w:tcPr>
            <w:tcW w:w="86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884,010</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9,999,997</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OrbiMed Private Investments V LP</w:t>
            </w:r>
          </w:p>
        </w:tc>
        <w:tc>
          <w:tcPr>
            <w:tcW w:w="860" w:type="dxa"/>
            <w:vAlign w:val="bottom"/>
          </w:tcPr>
          <w:p>
            <w:pPr>
              <w:spacing w:after="0"/>
              <w:rPr>
                <w:sz w:val="17"/>
                <w:szCs w:val="17"/>
                <w:color w:val="auto"/>
              </w:rPr>
            </w:pPr>
          </w:p>
        </w:tc>
        <w:tc>
          <w:tcPr>
            <w:tcW w:w="23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Peter Thompson, M.D.</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518,191</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5,861,819</w:t>
            </w: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InterWest Partners X, L.P.</w:t>
            </w:r>
          </w:p>
        </w:tc>
        <w:tc>
          <w:tcPr>
            <w:tcW w:w="86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Arnold Oronsky, Ph.D.</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265,203</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2,999,999</w:t>
            </w:r>
          </w:p>
        </w:tc>
        <w:tc>
          <w:tcPr>
            <w:tcW w:w="0" w:type="dxa"/>
            <w:vAlign w:val="bottom"/>
          </w:tcPr>
          <w:p>
            <w:pPr>
              <w:spacing w:after="0"/>
              <w:rPr>
                <w:sz w:val="1"/>
                <w:szCs w:val="1"/>
                <w:color w:val="auto"/>
              </w:rPr>
            </w:pPr>
          </w:p>
        </w:tc>
      </w:tr>
      <w:tr>
        <w:trPr>
          <w:trHeight w:val="368"/>
        </w:trPr>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179</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February 2017, we issued and sold an aggregate of 7,672,556 shares of our Series B convertible preferred stock, or Series B Preferred Stock, at a purchase price of $9.6093 per share for an aggregate purchase price of approximately $73.7 million. These shares of Series B Preferred Stock will convert into an aggregate of 7,672,556 shares of common stock immediately prior to the completion of this offering. The table below sets forth the number of shares of Series B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Series B</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5380" w:type="dxa"/>
            <w:vAlign w:val="bottom"/>
            <w:vMerge w:val="restart"/>
          </w:tcPr>
          <w:p>
            <w:pPr>
              <w:spacing w:after="0"/>
              <w:rPr>
                <w:sz w:val="14"/>
                <w:szCs w:val="14"/>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Affiliated Director(s) or</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vMerge w:val="continue"/>
          </w:tcPr>
          <w:p>
            <w:pPr>
              <w:spacing w:after="0"/>
              <w:rPr>
                <w:sz w:val="15"/>
                <w:szCs w:val="15"/>
                <w:color w:val="auto"/>
              </w:rPr>
            </w:pPr>
          </w:p>
        </w:tc>
        <w:tc>
          <w:tcPr>
            <w:tcW w:w="5380" w:type="dxa"/>
            <w:vAlign w:val="bottom"/>
            <w:vMerge w:val="continue"/>
          </w:tcPr>
          <w:p>
            <w:pPr>
              <w:spacing w:after="0"/>
              <w:rPr>
                <w:sz w:val="15"/>
                <w:szCs w:val="15"/>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Officer(s)</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59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Euclidean Capital LLC</w:t>
            </w:r>
          </w:p>
        </w:tc>
        <w:tc>
          <w:tcPr>
            <w:tcW w:w="22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ind w:left="240"/>
              <w:spacing w:after="0" w:line="189" w:lineRule="exact"/>
              <w:rPr>
                <w:sz w:val="20"/>
                <w:szCs w:val="20"/>
                <w:color w:val="auto"/>
              </w:rPr>
            </w:pPr>
            <w:r>
              <w:rPr>
                <w:rFonts w:ascii="Arial" w:cs="Arial" w:eastAsia="Arial" w:hAnsi="Arial"/>
                <w:sz w:val="18"/>
                <w:szCs w:val="18"/>
                <w:color w:val="auto"/>
                <w:w w:val="97"/>
              </w:rPr>
              <w:t>4,162,617</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39,999,993</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OrbiMed Private Investments V LP</w:t>
            </w:r>
          </w:p>
        </w:tc>
        <w:tc>
          <w:tcPr>
            <w:tcW w:w="242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Peter Thompson, M.D.</w:t>
            </w:r>
          </w:p>
        </w:tc>
        <w:tc>
          <w:tcPr>
            <w:tcW w:w="11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1,076,891</w:t>
            </w:r>
          </w:p>
        </w:tc>
        <w:tc>
          <w:tcPr>
            <w:tcW w:w="3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10,348,207</w:t>
            </w:r>
          </w:p>
        </w:tc>
        <w:tc>
          <w:tcPr>
            <w:tcW w:w="0" w:type="dxa"/>
            <w:vAlign w:val="bottom"/>
          </w:tcPr>
          <w:p>
            <w:pPr>
              <w:spacing w:after="0"/>
              <w:rPr>
                <w:sz w:val="1"/>
                <w:szCs w:val="1"/>
                <w:color w:val="auto"/>
              </w:rPr>
            </w:pPr>
          </w:p>
        </w:tc>
      </w:tr>
      <w:tr>
        <w:trPr>
          <w:trHeight w:val="203"/>
        </w:trPr>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InterWest Partners X, L.P.</w:t>
            </w:r>
          </w:p>
        </w:tc>
        <w:tc>
          <w:tcPr>
            <w:tcW w:w="24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Arnold Oronsky, Ph.D.</w:t>
            </w:r>
          </w:p>
        </w:tc>
        <w:tc>
          <w:tcPr>
            <w:tcW w:w="11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1,040,654</w:t>
            </w:r>
          </w:p>
        </w:tc>
        <w:tc>
          <w:tcPr>
            <w:tcW w:w="34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9,999,998</w:t>
            </w:r>
          </w:p>
        </w:tc>
        <w:tc>
          <w:tcPr>
            <w:tcW w:w="0" w:type="dxa"/>
            <w:vAlign w:val="bottom"/>
          </w:tcPr>
          <w:p>
            <w:pPr>
              <w:spacing w:after="0"/>
              <w:rPr>
                <w:sz w:val="1"/>
                <w:szCs w:val="1"/>
                <w:color w:val="auto"/>
              </w:rPr>
            </w:pPr>
          </w:p>
        </w:tc>
      </w:tr>
      <w:tr>
        <w:trPr>
          <w:trHeight w:val="243"/>
        </w:trPr>
        <w:tc>
          <w:tcPr>
            <w:tcW w:w="5940" w:type="dxa"/>
            <w:vAlign w:val="bottom"/>
            <w:gridSpan w:val="2"/>
          </w:tcPr>
          <w:p>
            <w:pPr>
              <w:spacing w:after="0"/>
              <w:rPr>
                <w:sz w:val="20"/>
                <w:szCs w:val="20"/>
                <w:color w:val="auto"/>
              </w:rPr>
            </w:pPr>
            <w:r>
              <w:rPr>
                <w:rFonts w:ascii="Arial" w:cs="Arial" w:eastAsia="Arial" w:hAnsi="Arial"/>
                <w:sz w:val="18"/>
                <w:szCs w:val="18"/>
                <w:color w:val="auto"/>
              </w:rPr>
              <w:t>TopSpin Biotech Fund II, L.P.</w:t>
            </w: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Steve Winick, J.D.</w:t>
            </w:r>
            <w:r>
              <w:rPr>
                <w:rFonts w:ascii="Arial" w:cs="Arial" w:eastAsia="Arial" w:hAnsi="Arial"/>
                <w:sz w:val="15"/>
                <w:szCs w:val="15"/>
                <w:color w:val="auto"/>
                <w:w w:val="99"/>
              </w:rPr>
              <w:t>(1)</w:t>
            </w: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1,040,654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9,999,998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4" w:lineRule="exact"/>
        <w:rPr>
          <w:sz w:val="20"/>
          <w:szCs w:val="20"/>
          <w:color w:val="auto"/>
        </w:rPr>
      </w:pPr>
    </w:p>
    <w:p>
      <w:pPr>
        <w:ind w:left="660" w:hanging="544"/>
        <w:spacing w:after="0"/>
        <w:tabs>
          <w:tab w:leader="none" w:pos="66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Mr. Winick resigned from our board of directors effective September 4, 2020.</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Investors’ Rights Agreement</w:t>
      </w:r>
    </w:p>
    <w:p>
      <w:pPr>
        <w:spacing w:after="0" w:line="21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are party to an amended and restated investors’ rights agreement with certain holders of our capital stock, including entities affiliated with Euclidean Capital LLC, InterWest Partners X, L.P., Nextech V Oncology S.C.S., SICAV-SIF, OrbiMed Private Investments V LP, Viking Global Opportunities Illiquid Investments Sub-master LP and TopSpin Biotech Fund II, L.P.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 Registration Rights” for additional information regarding these registration rights.</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Voting Agreement</w:t>
      </w:r>
    </w:p>
    <w:p>
      <w:pPr>
        <w:spacing w:after="0" w:line="21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are party to an amended and restated voting agreement, as amended, with certain holders of our capital stock, including entities affiliated with Euclidean Capital LLC, InterWest Partners X, L.P., Nextech V Oncology S.C.S., SICAV-SIF, OrbiMed Private Investments V LP, Viking Global Opportunities Illiquid Investments Sub-master LP and TopSpin Biotech Fund II, L.P. Upon the consummation of this offering, the obligations of the parties to the voting agreement to vote their shares so as to elect these nominees, as well as the other rights and obligations under this agreement, will terminate and none of our stockholders will have any special rights regarding the nomination, election or designation of members of our board of directors. Our existing certificate of incorporation contains provisions regarding election of members of the board of directors that correspond to the voting agreement; however, such provisions will be removed in the amended and restated certificate of incorporation that will be effective immediately prior to the completion of this offering.</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Right of First Refusal</w:t>
      </w:r>
    </w:p>
    <w:p>
      <w:pPr>
        <w:spacing w:after="0" w:line="214"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Pursuant to certain of our equity compensation plans and certain agreements with our stockholders, including an amended and restated right of first refusal and co-sale agreement, we or our assignees have a right to purchase shares of our capital stock which stockholders propose to sell to other parties. Certain holders of our capital stock, including entities affiliated with Euclidean Capital LLC, InterWest Partners X, L.P., Nextech V Oncology S.C.S., SICAV-SIF, OrbiMed Private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spacing w:after="0" w:line="255" w:lineRule="auto"/>
        <w:rPr>
          <w:sz w:val="20"/>
          <w:szCs w:val="20"/>
          <w:color w:val="auto"/>
        </w:rPr>
      </w:pPr>
      <w:r>
        <w:rPr>
          <w:rFonts w:ascii="Arial" w:cs="Arial" w:eastAsia="Arial" w:hAnsi="Arial"/>
          <w:sz w:val="18"/>
          <w:szCs w:val="18"/>
          <w:color w:val="auto"/>
        </w:rPr>
        <w:t>Investments V LP, Viking Global Opportunities Illiquid Investments Sub-master LP and TopSpin Biotech Fund II, L.P., are party to the right of first refusal and co-sale agreement with a secondary right to purchase shares of our capital stock when certain stockholders propose to sell to other parties. These rights will terminate upon completion of this offering.</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Consulting Agreement with Arnold Levine, Ph.D.</w:t>
      </w:r>
    </w:p>
    <w:p>
      <w:pPr>
        <w:spacing w:after="0" w:line="214" w:lineRule="exact"/>
        <w:rPr>
          <w:sz w:val="20"/>
          <w:szCs w:val="20"/>
          <w:color w:val="auto"/>
        </w:rPr>
      </w:pPr>
    </w:p>
    <w:p>
      <w:pPr>
        <w:jc w:val="both"/>
        <w:ind w:left="120" w:right="440" w:firstLine="551"/>
        <w:spacing w:after="0" w:line="255" w:lineRule="auto"/>
        <w:rPr>
          <w:sz w:val="20"/>
          <w:szCs w:val="20"/>
          <w:color w:val="auto"/>
        </w:rPr>
      </w:pPr>
      <w:r>
        <w:rPr>
          <w:rFonts w:ascii="Arial" w:cs="Arial" w:eastAsia="Arial" w:hAnsi="Arial"/>
          <w:sz w:val="18"/>
          <w:szCs w:val="18"/>
          <w:color w:val="auto"/>
        </w:rPr>
        <w:t>We are party to a consulting agreement with Arnold Levine, Ph.D., a co-founder of our company and one of our non-employee directors, pursuant to which Dr. Levine provides us with consulting and advisory services in exchange for an annual compensation of $100,000.</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Consulting Agreement with Richard Heyman, Ph.D.</w:t>
      </w:r>
    </w:p>
    <w:p>
      <w:pPr>
        <w:spacing w:after="0" w:line="214" w:lineRule="exact"/>
        <w:rPr>
          <w:sz w:val="20"/>
          <w:szCs w:val="20"/>
          <w:color w:val="auto"/>
        </w:rPr>
      </w:pPr>
    </w:p>
    <w:p>
      <w:pPr>
        <w:ind w:left="120" w:right="640" w:firstLine="551"/>
        <w:spacing w:after="0" w:line="276" w:lineRule="auto"/>
        <w:rPr>
          <w:sz w:val="20"/>
          <w:szCs w:val="20"/>
          <w:color w:val="auto"/>
        </w:rPr>
      </w:pPr>
      <w:r>
        <w:rPr>
          <w:rFonts w:ascii="Arial" w:cs="Arial" w:eastAsia="Arial" w:hAnsi="Arial"/>
          <w:sz w:val="18"/>
          <w:szCs w:val="18"/>
          <w:color w:val="auto"/>
        </w:rPr>
        <w:t>We are party to a consulting agreement with Richard Heyman, Ph.D., one of our non-employee directors, pursuant to which Dr. Heyman provides us with consulting and advisory services in exchange for an annual cash compensation of $12,500.</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and Chairman Option Grants</w:t>
      </w:r>
    </w:p>
    <w:p>
      <w:pPr>
        <w:spacing w:after="0" w:line="214" w:lineRule="exact"/>
        <w:rPr>
          <w:sz w:val="20"/>
          <w:szCs w:val="20"/>
          <w:color w:val="auto"/>
        </w:rPr>
      </w:pPr>
    </w:p>
    <w:p>
      <w:pPr>
        <w:ind w:left="120" w:right="260" w:firstLine="551"/>
        <w:spacing w:after="0" w:line="276" w:lineRule="auto"/>
        <w:rPr>
          <w:sz w:val="20"/>
          <w:szCs w:val="20"/>
          <w:color w:val="auto"/>
        </w:rPr>
      </w:pPr>
      <w:r>
        <w:rPr>
          <w:rFonts w:ascii="Arial" w:cs="Arial" w:eastAsia="Arial" w:hAnsi="Arial"/>
          <w:sz w:val="18"/>
          <w:szCs w:val="18"/>
          <w:color w:val="auto"/>
        </w:rPr>
        <w:t>On June 23, 2020, our board of directors approved two stock option grants for 45,332 and 151,108 shares of our common stock, each with an exercise price of $4.22, to newly-appointed director and Chairman of the board of directors Richard Heyman, Ph.D.</w:t>
      </w:r>
    </w:p>
    <w:p>
      <w:pPr>
        <w:spacing w:after="0" w:line="145"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On August 12, 2020, our board of directors approved a stock option grant for 32,667 shares of our common stock, with an exercise price of $8.53, to newly-appointed director Laurie Stelzer.</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Indemnification Agreements</w:t>
      </w:r>
    </w:p>
    <w:p>
      <w:pPr>
        <w:spacing w:after="0" w:line="21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entered, and intend to continue to enter, into separate indemnification agreements with each of our directors and executive officers, in addition to the indemnification provided for in our amended and restated certificate of incorporation and bylaws. The indemnification agreements and our amended restated certificate of incorporation and amended and restated bylaws that will be in effect immediately prior to the completion of this offering require us to indemnify our directors, executive officers and certain controlling persons to the fullest extent permitted by Delaware law. See the section titled “Executive Compensation—Limitation of Liability and Indemnification” for additional information.</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Related Party Transaction Policy</w:t>
      </w:r>
    </w:p>
    <w:p>
      <w:pPr>
        <w:spacing w:after="0" w:line="214"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Prior to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will provide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All of the transactions described in this section occurred prior to the adoption of this policy.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beneficial ownership of our common stock as of August 31, 2020 by:</w:t>
      </w:r>
    </w:p>
    <w:p>
      <w:pPr>
        <w:spacing w:after="0" w:line="117" w:lineRule="exact"/>
        <w:rPr>
          <w:sz w:val="20"/>
          <w:szCs w:val="20"/>
          <w:color w:val="auto"/>
        </w:rPr>
      </w:pPr>
    </w:p>
    <w:p>
      <w:pPr>
        <w:ind w:left="880" w:hanging="224"/>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12"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Exchange Act of 1934, as amended, or Exchange Act.</w:t>
      </w:r>
    </w:p>
    <w:p>
      <w:pPr>
        <w:spacing w:after="0" w:line="17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based our calculation of the percentage of beneficial ownership prior to this offering on 31,234,310 shares of our common stock outstanding as of August 31, 2020, which includes 28,188,110 shares of our common stock resulting from the conversion of all 28,188,110 outstanding shares of our convertible preferred stock into our common stock, including the shares issuable upon the conversion of our Series D convertible preferred stock issued and sold in July 2020, which will occur immediately prior to the completion of this offering, as if this conversion had occurred as of August 31, 2020. We have based our calculation of the percentage of beneficial ownership after this offering on 38,584,310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August 31, 2020, to be outstanding and to be beneficially owned by the person holding the stock option for the purpose of computing the percentage ownership of that person. We did not deem these shares outstanding, however, for the purpose of computing the percentage ownership of any other person. The following table also does not reflect any shares of common stock that may be purchased in this offering.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5" w:right="47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00" w:firstLine="551"/>
        <w:spacing w:after="0" w:line="276" w:lineRule="auto"/>
        <w:rPr>
          <w:sz w:val="20"/>
          <w:szCs w:val="20"/>
          <w:color w:val="auto"/>
        </w:rPr>
      </w:pPr>
      <w:r>
        <w:rPr>
          <w:rFonts w:ascii="Arial" w:cs="Arial" w:eastAsia="Arial" w:hAnsi="Arial"/>
          <w:sz w:val="18"/>
          <w:szCs w:val="18"/>
          <w:color w:val="auto"/>
        </w:rPr>
        <w:t>Unless otherwise indicated, the address of each beneficial owner listed in the table below is c/o PMV Pharmaceuticals, Inc., 8 Clarke Drive, Suite 3, Cranbury, New Jersey 08512.</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5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Shares Beneficially Owned</w:t>
            </w:r>
          </w:p>
        </w:tc>
        <w:tc>
          <w:tcPr>
            <w:tcW w:w="22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77"/>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4380" w:type="dxa"/>
            <w:vAlign w:val="bottom"/>
            <w:vMerge w:val="restart"/>
          </w:tcPr>
          <w:p>
            <w:pPr>
              <w:spacing w:after="0"/>
              <w:rPr>
                <w:sz w:val="15"/>
                <w:szCs w:val="15"/>
                <w:color w:val="auto"/>
              </w:rPr>
            </w:pPr>
          </w:p>
        </w:tc>
        <w:tc>
          <w:tcPr>
            <w:tcW w:w="258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Prior to this Offering</w:t>
            </w:r>
          </w:p>
        </w:tc>
        <w:tc>
          <w:tcPr>
            <w:tcW w:w="22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62"/>
        </w:trPr>
        <w:tc>
          <w:tcPr>
            <w:tcW w:w="1780" w:type="dxa"/>
            <w:vAlign w:val="bottom"/>
            <w:tcBorders>
              <w:bottom w:val="single" w:sz="8" w:color="auto"/>
            </w:tcBorders>
            <w:vMerge w:val="continue"/>
          </w:tcPr>
          <w:p>
            <w:pPr>
              <w:spacing w:after="0"/>
              <w:rPr>
                <w:sz w:val="14"/>
                <w:szCs w:val="14"/>
                <w:color w:val="auto"/>
              </w:rPr>
            </w:pPr>
          </w:p>
        </w:tc>
        <w:tc>
          <w:tcPr>
            <w:tcW w:w="4380" w:type="dxa"/>
            <w:vAlign w:val="bottom"/>
            <w:vMerge w:val="continue"/>
          </w:tcPr>
          <w:p>
            <w:pPr>
              <w:spacing w:after="0"/>
              <w:rPr>
                <w:sz w:val="14"/>
                <w:szCs w:val="14"/>
                <w:color w:val="auto"/>
              </w:rPr>
            </w:pPr>
          </w:p>
        </w:tc>
        <w:tc>
          <w:tcPr>
            <w:tcW w:w="1100" w:type="dxa"/>
            <w:vAlign w:val="bottom"/>
            <w:tcBorders>
              <w:top w:val="single" w:sz="8" w:color="auto"/>
            </w:tcBorders>
          </w:tcPr>
          <w:p>
            <w:pPr>
              <w:jc w:val="right"/>
              <w:ind w:right="321"/>
              <w:spacing w:after="0" w:line="142" w:lineRule="exact"/>
              <w:rPr>
                <w:sz w:val="20"/>
                <w:szCs w:val="20"/>
                <w:color w:val="auto"/>
              </w:rPr>
            </w:pPr>
            <w:r>
              <w:rPr>
                <w:rFonts w:ascii="Arial" w:cs="Arial" w:eastAsia="Arial" w:hAnsi="Arial"/>
                <w:sz w:val="14"/>
                <w:szCs w:val="14"/>
                <w:b w:val="1"/>
                <w:bCs w:val="1"/>
                <w:color w:val="auto"/>
              </w:rPr>
              <w:t>Shares</w:t>
            </w: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500" w:type="dxa"/>
            <w:vAlign w:val="bottom"/>
          </w:tcPr>
          <w:p>
            <w:pPr>
              <w:spacing w:after="0"/>
              <w:rPr>
                <w:sz w:val="14"/>
                <w:szCs w:val="14"/>
                <w:color w:val="auto"/>
              </w:rPr>
            </w:pPr>
          </w:p>
        </w:tc>
        <w:tc>
          <w:tcPr>
            <w:tcW w:w="124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160" w:type="dxa"/>
            <w:vAlign w:val="bottom"/>
            <w:tcBorders>
              <w:top w:val="single" w:sz="8" w:color="CCEEFF"/>
            </w:tcBorders>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5% or Greater Stockholders:</w:t>
            </w:r>
          </w:p>
        </w:tc>
        <w:tc>
          <w:tcPr>
            <w:tcW w:w="1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InterWest Partners X, L.P.</w:t>
            </w:r>
            <w:r>
              <w:rPr>
                <w:rFonts w:ascii="Arial" w:cs="Arial" w:eastAsia="Arial" w:hAnsi="Arial"/>
                <w:sz w:val="21"/>
                <w:szCs w:val="21"/>
                <w:color w:val="auto"/>
                <w:vertAlign w:val="superscript"/>
              </w:rPr>
              <w:t>(1)</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6,414,356</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20.5%</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6,414,356</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Entities affiliated with OrbiMed Advisors</w:t>
            </w:r>
            <w:r>
              <w:rPr>
                <w:rFonts w:ascii="Arial" w:cs="Arial" w:eastAsia="Arial" w:hAnsi="Arial"/>
                <w:sz w:val="21"/>
                <w:szCs w:val="21"/>
                <w:color w:val="auto"/>
                <w:vertAlign w:val="superscript"/>
              </w:rPr>
              <w:t>(2)</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6,380,423</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20.4%</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6,380,423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Entities affiliated with Euclidean Capital LLC</w:t>
            </w:r>
            <w:r>
              <w:rPr>
                <w:rFonts w:ascii="Arial" w:cs="Arial" w:eastAsia="Arial" w:hAnsi="Arial"/>
                <w:sz w:val="21"/>
                <w:szCs w:val="21"/>
                <w:color w:val="auto"/>
                <w:vertAlign w:val="superscript"/>
              </w:rPr>
              <w:t>(3)</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4,179,416</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13.4%</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4,179,416</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Nextech V Oncology S.C.S., SICAV-SIF</w:t>
            </w:r>
            <w:r>
              <w:rPr>
                <w:rFonts w:ascii="Arial" w:cs="Arial" w:eastAsia="Arial" w:hAnsi="Arial"/>
                <w:sz w:val="21"/>
                <w:szCs w:val="21"/>
                <w:color w:val="auto"/>
                <w:vertAlign w:val="superscript"/>
              </w:rPr>
              <w:t>(4)</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2,528,290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8.1%</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2,528,290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Viking Global Opportunities Illiquid Investments Sub-master LP</w:t>
            </w:r>
            <w:r>
              <w:rPr>
                <w:rFonts w:ascii="Arial" w:cs="Arial" w:eastAsia="Arial" w:hAnsi="Arial"/>
                <w:sz w:val="21"/>
                <w:szCs w:val="21"/>
                <w:color w:val="auto"/>
                <w:vertAlign w:val="superscript"/>
              </w:rPr>
              <w:t>(5)</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2,086,284</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6.7%</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2,086,284</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Named Executive Officers:</w:t>
            </w:r>
          </w:p>
        </w:tc>
        <w:tc>
          <w:tcPr>
            <w:tcW w:w="1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David H. Mack, Ph.D.</w:t>
            </w:r>
            <w:r>
              <w:rPr>
                <w:rFonts w:ascii="Arial" w:cs="Arial" w:eastAsia="Arial" w:hAnsi="Arial"/>
                <w:sz w:val="21"/>
                <w:szCs w:val="21"/>
                <w:color w:val="auto"/>
                <w:vertAlign w:val="superscript"/>
              </w:rPr>
              <w:t>(6)</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1,446,496</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4.5%</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1,446,496</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Winston Kung</w:t>
            </w:r>
            <w:r>
              <w:rPr>
                <w:rFonts w:ascii="Arial" w:cs="Arial" w:eastAsia="Arial" w:hAnsi="Arial"/>
                <w:sz w:val="21"/>
                <w:szCs w:val="21"/>
                <w:color w:val="auto"/>
                <w:vertAlign w:val="superscript"/>
              </w:rPr>
              <w:t>(7)</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488,803</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1.5%</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488,803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Deepika Jalota, Pharm.D.</w:t>
            </w:r>
            <w:r>
              <w:rPr>
                <w:rFonts w:ascii="Arial" w:cs="Arial" w:eastAsia="Arial" w:hAnsi="Arial"/>
                <w:sz w:val="21"/>
                <w:szCs w:val="21"/>
                <w:color w:val="auto"/>
                <w:vertAlign w:val="superscript"/>
              </w:rPr>
              <w:t>(8)</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32,565</w:t>
            </w:r>
          </w:p>
        </w:tc>
        <w:tc>
          <w:tcPr>
            <w:tcW w:w="14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32,565</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Non-Employee Directors:</w:t>
            </w:r>
          </w:p>
        </w:tc>
        <w:tc>
          <w:tcPr>
            <w:tcW w:w="1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Richard Heyman, Ph.D.</w:t>
            </w:r>
            <w:r>
              <w:rPr>
                <w:rFonts w:ascii="Arial" w:cs="Arial" w:eastAsia="Arial" w:hAnsi="Arial"/>
                <w:sz w:val="21"/>
                <w:szCs w:val="21"/>
                <w:color w:val="auto"/>
                <w:vertAlign w:val="superscript"/>
              </w:rPr>
              <w:t>(9)</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64,394</w:t>
            </w:r>
          </w:p>
        </w:tc>
        <w:tc>
          <w:tcPr>
            <w:tcW w:w="14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64,394</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Arnold Levine, Ph.D.</w:t>
            </w:r>
            <w:r>
              <w:rPr>
                <w:rFonts w:ascii="Arial" w:cs="Arial" w:eastAsia="Arial" w:hAnsi="Arial"/>
                <w:sz w:val="21"/>
                <w:szCs w:val="21"/>
                <w:color w:val="auto"/>
                <w:vertAlign w:val="superscript"/>
              </w:rPr>
              <w:t>(10)</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427,342</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1.4%</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427,342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Laurie Stelzer </w:t>
            </w:r>
            <w:r>
              <w:rPr>
                <w:rFonts w:ascii="Arial" w:cs="Arial" w:eastAsia="Arial" w:hAnsi="Arial"/>
                <w:sz w:val="21"/>
                <w:szCs w:val="21"/>
                <w:color w:val="auto"/>
                <w:vertAlign w:val="superscript"/>
              </w:rPr>
              <w:t>(11)</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1,815</w:t>
            </w:r>
          </w:p>
        </w:tc>
        <w:tc>
          <w:tcPr>
            <w:tcW w:w="14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1,815</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Arnold Oronsky, Ph.D.</w:t>
            </w:r>
            <w:r>
              <w:rPr>
                <w:rFonts w:ascii="Arial" w:cs="Arial" w:eastAsia="Arial" w:hAnsi="Arial"/>
                <w:sz w:val="21"/>
                <w:szCs w:val="21"/>
                <w:color w:val="auto"/>
                <w:vertAlign w:val="superscript"/>
              </w:rPr>
              <w:t>(1)</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6,414,356</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20.5%</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6,414,356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89"/>
        </w:trPr>
        <w:tc>
          <w:tcPr>
            <w:tcW w:w="6160" w:type="dxa"/>
            <w:vAlign w:val="bottom"/>
            <w:gridSpan w:val="2"/>
          </w:tcPr>
          <w:p>
            <w:pPr>
              <w:spacing w:after="0" w:line="189" w:lineRule="exact"/>
              <w:rPr>
                <w:sz w:val="20"/>
                <w:szCs w:val="20"/>
                <w:color w:val="auto"/>
              </w:rPr>
            </w:pPr>
            <w:r>
              <w:rPr>
                <w:rFonts w:ascii="Arial" w:cs="Arial" w:eastAsia="Arial" w:hAnsi="Arial"/>
                <w:sz w:val="13"/>
                <w:szCs w:val="13"/>
                <w:color w:val="auto"/>
              </w:rPr>
              <w:t>Peter Thompson, M.D.</w:t>
            </w:r>
            <w:r>
              <w:rPr>
                <w:rFonts w:ascii="Arial" w:cs="Arial" w:eastAsia="Arial" w:hAnsi="Arial"/>
                <w:sz w:val="21"/>
                <w:szCs w:val="21"/>
                <w:color w:val="auto"/>
                <w:vertAlign w:val="superscript"/>
              </w:rPr>
              <w:t>(2)</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6,380,423</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20.4%</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6,380,423</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189"/>
        </w:trPr>
        <w:tc>
          <w:tcPr>
            <w:tcW w:w="61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Thilo Schroeder, Ph.D.</w:t>
            </w:r>
            <w:r>
              <w:rPr>
                <w:rFonts w:ascii="Arial" w:cs="Arial" w:eastAsia="Arial" w:hAnsi="Arial"/>
                <w:sz w:val="21"/>
                <w:szCs w:val="21"/>
                <w:color w:val="auto"/>
                <w:vertAlign w:val="superscript"/>
              </w:rPr>
              <w:t>(4)</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2,528,290</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8.1%</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2,528,290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74"/>
        </w:trPr>
        <w:tc>
          <w:tcPr>
            <w:tcW w:w="6160" w:type="dxa"/>
            <w:vAlign w:val="bottom"/>
            <w:gridSpan w:val="2"/>
          </w:tcPr>
          <w:p>
            <w:pPr>
              <w:spacing w:after="0"/>
              <w:rPr>
                <w:sz w:val="20"/>
                <w:szCs w:val="20"/>
                <w:color w:val="auto"/>
              </w:rPr>
            </w:pPr>
            <w:r>
              <w:rPr>
                <w:rFonts w:ascii="Arial" w:cs="Arial" w:eastAsia="Arial" w:hAnsi="Arial"/>
                <w:sz w:val="16"/>
                <w:szCs w:val="16"/>
                <w:color w:val="auto"/>
              </w:rPr>
              <w:t>All executive officers and directors as a group (10 persons)</w:t>
            </w:r>
            <w:r>
              <w:rPr>
                <w:rFonts w:ascii="Arial" w:cs="Arial" w:eastAsia="Arial" w:hAnsi="Arial"/>
                <w:sz w:val="27"/>
                <w:szCs w:val="27"/>
                <w:color w:val="auto"/>
                <w:vertAlign w:val="superscript"/>
              </w:rPr>
              <w:t>(12)</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17,784,483</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color w:val="auto"/>
              </w:rPr>
              <w:t>53.9%</w:t>
            </w: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17,484,483</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-31115</wp:posOffset>
            </wp:positionV>
            <wp:extent cx="7715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660" w:hanging="544"/>
        <w:spacing w:after="0"/>
        <w:tabs>
          <w:tab w:leader="none" w:pos="6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3" w:lineRule="exact"/>
        <w:rPr>
          <w:sz w:val="20"/>
          <w:szCs w:val="20"/>
          <w:color w:val="auto"/>
        </w:rPr>
      </w:pPr>
    </w:p>
    <w:p>
      <w:pPr>
        <w:ind w:left="660" w:right="60" w:hanging="544"/>
        <w:spacing w:after="0" w:line="220" w:lineRule="auto"/>
        <w:tabs>
          <w:tab w:leader="none" w:pos="660" w:val="left"/>
        </w:tabs>
        <w:numPr>
          <w:ilvl w:val="0"/>
          <w:numId w:val="107"/>
        </w:numPr>
        <w:rPr>
          <w:rFonts w:ascii="Arial" w:cs="Arial" w:eastAsia="Arial" w:hAnsi="Arial"/>
          <w:sz w:val="24"/>
          <w:szCs w:val="24"/>
          <w:color w:val="auto"/>
          <w:vertAlign w:val="superscript"/>
        </w:rPr>
      </w:pPr>
      <w:r>
        <w:rPr>
          <w:rFonts w:ascii="Arial" w:cs="Arial" w:eastAsia="Arial" w:hAnsi="Arial"/>
          <w:sz w:val="14"/>
          <w:szCs w:val="14"/>
          <w:color w:val="auto"/>
        </w:rPr>
        <w:t>Consists of (i) 1,620,101 shares of common stock issuable upon conversion of Series Seed convertible preferred stock, (ii) 3,488,398 shares of common stock issuable upon conversion of Series A convertible preferred stock, (iii) 1,040,654 shares of common stock issuable upon conversion of Series B convertible preferred stock and (iv) 265,203 shares of common stock issuable upon conversion of Series C convertible preferred stock all held by InterWest Partners X, L.P., or IW10. InterWest Management Partners X, LLC, or IMP10, is the general partner of IW10. Gilbert H. Kliman and Arnold L. Oronsky are the managing directors of IMP10 and Keval Desai and Khaled A. Nasr are venture members of IMP10. Each managing director and venture member of IMP10, including Arnold L. Oronsky, shares voting and investment power with respect to the securities held by IW10. IW10 is affiliated with InterWest Venture Management Company and Arnold L. Oronsky, a member of our board of directors. The address for the InterWest entities is 467 First Street, Suite 201, Los Altos, CA 94022.</w:t>
      </w:r>
    </w:p>
    <w:p>
      <w:pPr>
        <w:spacing w:after="0" w:line="3" w:lineRule="exact"/>
        <w:rPr>
          <w:rFonts w:ascii="Arial" w:cs="Arial" w:eastAsia="Arial" w:hAnsi="Arial"/>
          <w:sz w:val="24"/>
          <w:szCs w:val="24"/>
          <w:color w:val="auto"/>
          <w:vertAlign w:val="superscript"/>
        </w:rPr>
      </w:pPr>
    </w:p>
    <w:p>
      <w:pPr>
        <w:ind w:left="660" w:right="40" w:hanging="544"/>
        <w:spacing w:after="0" w:line="223" w:lineRule="auto"/>
        <w:tabs>
          <w:tab w:leader="none" w:pos="660" w:val="left"/>
        </w:tabs>
        <w:numPr>
          <w:ilvl w:val="0"/>
          <w:numId w:val="107"/>
        </w:numPr>
        <w:rPr>
          <w:rFonts w:ascii="Arial" w:cs="Arial" w:eastAsia="Arial" w:hAnsi="Arial"/>
          <w:sz w:val="24"/>
          <w:szCs w:val="24"/>
          <w:color w:val="auto"/>
          <w:vertAlign w:val="superscript"/>
        </w:rPr>
      </w:pPr>
      <w:r>
        <w:rPr>
          <w:rFonts w:ascii="Arial" w:cs="Arial" w:eastAsia="Arial" w:hAnsi="Arial"/>
          <w:sz w:val="14"/>
          <w:szCs w:val="14"/>
          <w:color w:val="auto"/>
        </w:rPr>
        <w:t>Consists of (i) 6,000,291 shares held by OrbiMed Private Investments V, LP, or OPI V, (ii) 114,039 shares held by OrbiMed Genesis Master Fund, L.P., or Genesis Master Fund and (iii) 266,093 shares held by The Biotech Growth Trust PLC, or Biotech Growth Trust. Dr. Peter Thompson is an employee of OrbiMed Advisors LLC, or OrbiMed Advisors, and a member of our board of directors. OrbiMed Capital GP V LLC, or OrbiMed GP V, is the general partner of OPI V and OrbiMed Advisors is the managing member of OrbiMed GP V. OrbiMed Genesis GP LLC, or Genesis GP, is the general partner of Genesis Master Fund and OrbiMed Advisors is the managing member of Genesis GP. By virtue of such relationships, OrbiMed GP V, Genesis GP and OrbiMed Advisors may be deemed to have voting and investment power over the securities held by OPI V, Genesis Master Fund and Biotech Growth Trust and as a result, may be deemed to have beneficial ownership over such securities. OrbiMed Advisors exercises voting and investment power through a management committee comprised of Carl L. Gordon, Sven H. Borho and Jonathan T. Silverstein, each of whom disclaims beneficial ownership of the shares held by OPI V and Genesis Master Fund. The address of OPI V, Genesis Master Fund and Biotech Growth Trust is c/o OrbiMed Advisors LLC, 601 Lexington Avenue, 54th Floor, New York, NY 10022.</w:t>
      </w:r>
    </w:p>
    <w:p>
      <w:pPr>
        <w:spacing w:after="0" w:line="4" w:lineRule="exact"/>
        <w:rPr>
          <w:rFonts w:ascii="Arial" w:cs="Arial" w:eastAsia="Arial" w:hAnsi="Arial"/>
          <w:sz w:val="24"/>
          <w:szCs w:val="24"/>
          <w:color w:val="auto"/>
          <w:vertAlign w:val="superscript"/>
        </w:rPr>
      </w:pPr>
    </w:p>
    <w:p>
      <w:pPr>
        <w:ind w:left="660" w:right="160" w:hanging="544"/>
        <w:spacing w:after="0"/>
        <w:tabs>
          <w:tab w:leader="none" w:pos="660" w:val="left"/>
        </w:tabs>
        <w:numPr>
          <w:ilvl w:val="0"/>
          <w:numId w:val="107"/>
        </w:numPr>
        <w:rPr>
          <w:rFonts w:ascii="Arial" w:cs="Arial" w:eastAsia="Arial" w:hAnsi="Arial"/>
          <w:sz w:val="24"/>
          <w:szCs w:val="24"/>
          <w:color w:val="auto"/>
          <w:vertAlign w:val="superscript"/>
        </w:rPr>
      </w:pPr>
      <w:r>
        <w:rPr>
          <w:rFonts w:ascii="Arial" w:cs="Arial" w:eastAsia="Arial" w:hAnsi="Arial"/>
          <w:sz w:val="14"/>
          <w:szCs w:val="14"/>
          <w:color w:val="auto"/>
        </w:rPr>
        <w:t>Consists of (i) 693,769 shares held of record by Greenland A LLC, (ii) 751,409 shares held of record by Greenland FP LLC, (iii) 132,601 shares held of record by Greenland NFP LLC, and (iv) 2,601,637 shares held of record by Greenland NFP B Ltd., such record holders together, the Greenland Entities. Euclidean Capital LLC, the Manager or Vice President (as the case may be) of the Greenland Entities, may be deemed to have shared voting control and investment discretion over the shares held by the Greenland Entities. The address for Euclidean and the Greenland Entities is c/o Euclidean Capital LLC, 160 Fifth Ave, 9th Fl, New York, NY 10010.</w:t>
      </w:r>
    </w:p>
    <w:p>
      <w:pPr>
        <w:spacing w:after="0" w:line="51" w:lineRule="exact"/>
        <w:rPr>
          <w:rFonts w:ascii="Arial" w:cs="Arial" w:eastAsia="Arial" w:hAnsi="Arial"/>
          <w:sz w:val="24"/>
          <w:szCs w:val="24"/>
          <w:color w:val="auto"/>
          <w:vertAlign w:val="superscript"/>
        </w:rPr>
      </w:pPr>
    </w:p>
    <w:p>
      <w:pPr>
        <w:ind w:left="660" w:right="660" w:hanging="544"/>
        <w:spacing w:after="0" w:line="185" w:lineRule="auto"/>
        <w:tabs>
          <w:tab w:leader="none" w:pos="660" w:val="left"/>
        </w:tabs>
        <w:numPr>
          <w:ilvl w:val="0"/>
          <w:numId w:val="107"/>
        </w:numPr>
        <w:rPr>
          <w:rFonts w:ascii="Arial" w:cs="Arial" w:eastAsia="Arial" w:hAnsi="Arial"/>
          <w:sz w:val="24"/>
          <w:szCs w:val="24"/>
          <w:color w:val="auto"/>
          <w:vertAlign w:val="superscript"/>
        </w:rPr>
      </w:pPr>
      <w:r>
        <w:rPr>
          <w:rFonts w:ascii="Arial" w:cs="Arial" w:eastAsia="Arial" w:hAnsi="Arial"/>
          <w:sz w:val="14"/>
          <w:szCs w:val="14"/>
          <w:color w:val="auto"/>
        </w:rPr>
        <w:t>Consists of 2,528,290 shares held by Nextech V Oncology S.C.S., SICAV-SIF. Dr. Thilo Schroeder is a Partner at Nextech Invest AG and in the Investment Committee of Nextech Invest AG, with significant influence over Nextech V</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5" w:right="4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660" w:right="80"/>
        <w:spacing w:after="0" w:line="244" w:lineRule="auto"/>
        <w:rPr>
          <w:sz w:val="20"/>
          <w:szCs w:val="20"/>
          <w:color w:val="auto"/>
        </w:rPr>
      </w:pPr>
      <w:r>
        <w:rPr>
          <w:rFonts w:ascii="Arial" w:cs="Arial" w:eastAsia="Arial" w:hAnsi="Arial"/>
          <w:sz w:val="14"/>
          <w:szCs w:val="14"/>
          <w:color w:val="auto"/>
        </w:rPr>
        <w:t>Oncology S.C.S., SICAV-SIF in terms of investment decisions, selling strategy of shares and voting power and as a result, may be deemed to have beneficial ownership over such securities. Nextech V GP S.à r.l. is the general partner of Nextech V Oncology S.C.S., SICAV-SIF. Dalia Bleyer, James Pledger and Thomas Lips are Managers of Nextech V GP S.à r.l. and each of Nextech V GP S.à r.l. and Messrs. Dalia Bleyer, James Pledger and Thomas Lips may be deemed to share voting and investment power with respect to the shares reported herein and disclaim beneficial ownership over such shares, except to the extent of their respective pecuniary interest therein, if any. The address of the entities listed herein is 8 rue Lou Hemmer L-1748 Senningerberg, Luxembourg.</w:t>
      </w:r>
    </w:p>
    <w:p>
      <w:pPr>
        <w:spacing w:after="0" w:line="2" w:lineRule="exact"/>
        <w:rPr>
          <w:sz w:val="20"/>
          <w:szCs w:val="20"/>
          <w:color w:val="auto"/>
        </w:rPr>
      </w:pPr>
    </w:p>
    <w:p>
      <w:pPr>
        <w:ind w:left="660" w:right="200" w:hanging="544"/>
        <w:spacing w:after="0" w:line="217" w:lineRule="auto"/>
        <w:tabs>
          <w:tab w:leader="none" w:pos="660" w:val="left"/>
        </w:tabs>
        <w:numPr>
          <w:ilvl w:val="0"/>
          <w:numId w:val="108"/>
        </w:numPr>
        <w:rPr>
          <w:rFonts w:ascii="Arial" w:cs="Arial" w:eastAsia="Arial" w:hAnsi="Arial"/>
          <w:sz w:val="24"/>
          <w:szCs w:val="24"/>
          <w:color w:val="auto"/>
          <w:vertAlign w:val="superscript"/>
        </w:rPr>
      </w:pPr>
      <w:r>
        <w:rPr>
          <w:rFonts w:ascii="Arial" w:cs="Arial" w:eastAsia="Arial" w:hAnsi="Arial"/>
          <w:sz w:val="14"/>
          <w:szCs w:val="14"/>
          <w:color w:val="auto"/>
        </w:rPr>
        <w:t>Consists of 2,086,284 shares held by Viking Global Opportunities Illiquid Investments Sub-Master LP, or Opportunities Fund, which has the authority to dispose of and vote the shares directly owned by it, which power may be exercised by its general partner, Viking Global Opportunities Portfolio GP LLC, or Opportunities GP, and by Viking Global Investors LP, or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Opportunities GP. The address of the Opportunities Fund is c/o Viking Global Investors LP, 55 Railroad Avenue, Greenwich, Connecticut 06830.</w:t>
      </w:r>
    </w:p>
    <w:p>
      <w:pPr>
        <w:spacing w:after="0" w:line="2" w:lineRule="exact"/>
        <w:rPr>
          <w:rFonts w:ascii="Arial" w:cs="Arial" w:eastAsia="Arial" w:hAnsi="Arial"/>
          <w:sz w:val="24"/>
          <w:szCs w:val="24"/>
          <w:color w:val="auto"/>
          <w:vertAlign w:val="superscript"/>
        </w:rPr>
      </w:pPr>
    </w:p>
    <w:p>
      <w:pPr>
        <w:ind w:left="660" w:hanging="544"/>
        <w:spacing w:after="0" w:line="195" w:lineRule="auto"/>
        <w:tabs>
          <w:tab w:leader="none" w:pos="660" w:val="left"/>
        </w:tabs>
        <w:numPr>
          <w:ilvl w:val="0"/>
          <w:numId w:val="108"/>
        </w:numPr>
        <w:rPr>
          <w:rFonts w:ascii="Arial" w:cs="Arial" w:eastAsia="Arial" w:hAnsi="Arial"/>
          <w:sz w:val="24"/>
          <w:szCs w:val="24"/>
          <w:color w:val="auto"/>
          <w:vertAlign w:val="superscript"/>
        </w:rPr>
      </w:pPr>
      <w:r>
        <w:rPr>
          <w:rFonts w:ascii="Arial" w:cs="Arial" w:eastAsia="Arial" w:hAnsi="Arial"/>
          <w:sz w:val="14"/>
          <w:szCs w:val="14"/>
          <w:color w:val="auto"/>
        </w:rPr>
        <w:t>Consists of (i) 227,915 shares of common stock held by The Mack-Mulligan Revocable Trust, of which Dr. David Mack is a co-trustee, (ii) 56,978 shares of common stock held by Mack/Mulligan 2020 Irrevocable Descendants’ Trust, of which Dr. Mack is a co-trustee and (iii) 1,161,603 shares of common stock issuable pursuant to options held directly by Dr. Mack, exercisable within 60 days of August 31, 2020.</w:t>
      </w:r>
    </w:p>
    <w:p>
      <w:pPr>
        <w:ind w:left="660" w:hanging="544"/>
        <w:spacing w:after="0" w:line="187" w:lineRule="auto"/>
        <w:tabs>
          <w:tab w:leader="none" w:pos="660" w:val="left"/>
        </w:tabs>
        <w:numPr>
          <w:ilvl w:val="0"/>
          <w:numId w:val="108"/>
        </w:numPr>
        <w:rPr>
          <w:rFonts w:ascii="Arial" w:cs="Arial" w:eastAsia="Arial" w:hAnsi="Arial"/>
          <w:sz w:val="18"/>
          <w:szCs w:val="18"/>
          <w:color w:val="auto"/>
          <w:vertAlign w:val="superscript"/>
        </w:rPr>
      </w:pPr>
      <w:r>
        <w:rPr>
          <w:rFonts w:ascii="Arial" w:cs="Arial" w:eastAsia="Arial" w:hAnsi="Arial"/>
          <w:sz w:val="11"/>
          <w:szCs w:val="11"/>
          <w:color w:val="auto"/>
        </w:rPr>
        <w:t>Consists of 488,803 shares of common stock issuable pursuant to options held directly by Winston Kung, exercisable within 60 days of August 31, 2020.</w:t>
      </w:r>
    </w:p>
    <w:p>
      <w:pPr>
        <w:ind w:left="660" w:hanging="544"/>
        <w:spacing w:after="0" w:line="187" w:lineRule="auto"/>
        <w:tabs>
          <w:tab w:leader="none" w:pos="660" w:val="left"/>
        </w:tabs>
        <w:numPr>
          <w:ilvl w:val="0"/>
          <w:numId w:val="108"/>
        </w:numPr>
        <w:rPr>
          <w:rFonts w:ascii="Arial" w:cs="Arial" w:eastAsia="Arial" w:hAnsi="Arial"/>
          <w:sz w:val="18"/>
          <w:szCs w:val="18"/>
          <w:color w:val="auto"/>
          <w:vertAlign w:val="superscript"/>
        </w:rPr>
      </w:pPr>
      <w:r>
        <w:rPr>
          <w:rFonts w:ascii="Arial" w:cs="Arial" w:eastAsia="Arial" w:hAnsi="Arial"/>
          <w:sz w:val="11"/>
          <w:szCs w:val="11"/>
          <w:color w:val="auto"/>
        </w:rPr>
        <w:t>Consists of 32,565 shares of common stock issuable pursuant to options held directly by Dr. Deepika Jalota, exercisable within 60 days of August 31, 2020.</w:t>
      </w:r>
    </w:p>
    <w:p>
      <w:pPr>
        <w:ind w:left="660" w:hanging="544"/>
        <w:spacing w:after="0" w:line="187" w:lineRule="auto"/>
        <w:tabs>
          <w:tab w:leader="none" w:pos="660" w:val="left"/>
        </w:tabs>
        <w:numPr>
          <w:ilvl w:val="0"/>
          <w:numId w:val="108"/>
        </w:numPr>
        <w:rPr>
          <w:rFonts w:ascii="Arial" w:cs="Arial" w:eastAsia="Arial" w:hAnsi="Arial"/>
          <w:sz w:val="18"/>
          <w:szCs w:val="18"/>
          <w:color w:val="auto"/>
          <w:vertAlign w:val="superscript"/>
        </w:rPr>
      </w:pPr>
      <w:r>
        <w:rPr>
          <w:rFonts w:ascii="Arial" w:cs="Arial" w:eastAsia="Arial" w:hAnsi="Arial"/>
          <w:sz w:val="11"/>
          <w:szCs w:val="11"/>
          <w:color w:val="auto"/>
        </w:rPr>
        <w:t>Consists of 64,394 shares of common stock issuable pursuant to options held directly by Dr. Richard Heyman, exercisable within 60 days of August 31, 2020.</w:t>
      </w:r>
    </w:p>
    <w:p>
      <w:pPr>
        <w:ind w:left="660" w:hanging="544"/>
        <w:spacing w:after="0" w:line="187" w:lineRule="auto"/>
        <w:tabs>
          <w:tab w:leader="none" w:pos="660" w:val="left"/>
        </w:tabs>
        <w:numPr>
          <w:ilvl w:val="0"/>
          <w:numId w:val="108"/>
        </w:numPr>
        <w:rPr>
          <w:rFonts w:ascii="Arial" w:cs="Arial" w:eastAsia="Arial" w:hAnsi="Arial"/>
          <w:sz w:val="18"/>
          <w:szCs w:val="18"/>
          <w:color w:val="auto"/>
          <w:vertAlign w:val="superscript"/>
        </w:rPr>
      </w:pPr>
      <w:r>
        <w:rPr>
          <w:rFonts w:ascii="Arial" w:cs="Arial" w:eastAsia="Arial" w:hAnsi="Arial"/>
          <w:sz w:val="11"/>
          <w:szCs w:val="11"/>
          <w:color w:val="auto"/>
        </w:rPr>
        <w:t>Consists of 427,342 shares of common stock held directly by Dr. Arnold Levine.</w:t>
      </w:r>
    </w:p>
    <w:p>
      <w:pPr>
        <w:ind w:left="660" w:hanging="544"/>
        <w:spacing w:after="0" w:line="187" w:lineRule="auto"/>
        <w:tabs>
          <w:tab w:leader="none" w:pos="660" w:val="left"/>
        </w:tabs>
        <w:numPr>
          <w:ilvl w:val="0"/>
          <w:numId w:val="108"/>
        </w:numPr>
        <w:rPr>
          <w:rFonts w:ascii="Arial" w:cs="Arial" w:eastAsia="Arial" w:hAnsi="Arial"/>
          <w:sz w:val="18"/>
          <w:szCs w:val="18"/>
          <w:color w:val="auto"/>
          <w:vertAlign w:val="superscript"/>
        </w:rPr>
      </w:pPr>
      <w:r>
        <w:rPr>
          <w:rFonts w:ascii="Arial" w:cs="Arial" w:eastAsia="Arial" w:hAnsi="Arial"/>
          <w:sz w:val="11"/>
          <w:szCs w:val="11"/>
          <w:color w:val="auto"/>
        </w:rPr>
        <w:t>Consists of 1,814 shares of common stock issuable pursuant to options held directly by Laurie Stelzer, exercisable within 60 days of August 31, 2020.</w:t>
      </w:r>
    </w:p>
    <w:p>
      <w:pPr>
        <w:ind w:left="660" w:right="460" w:hanging="544"/>
        <w:spacing w:after="0" w:line="185" w:lineRule="auto"/>
        <w:tabs>
          <w:tab w:leader="none" w:pos="660" w:val="left"/>
        </w:tabs>
        <w:numPr>
          <w:ilvl w:val="0"/>
          <w:numId w:val="108"/>
        </w:numPr>
        <w:rPr>
          <w:rFonts w:ascii="Arial" w:cs="Arial" w:eastAsia="Arial" w:hAnsi="Arial"/>
          <w:sz w:val="24"/>
          <w:szCs w:val="24"/>
          <w:color w:val="auto"/>
          <w:vertAlign w:val="superscript"/>
        </w:rPr>
      </w:pPr>
      <w:r>
        <w:rPr>
          <w:rFonts w:ascii="Arial" w:cs="Arial" w:eastAsia="Arial" w:hAnsi="Arial"/>
          <w:sz w:val="14"/>
          <w:szCs w:val="14"/>
          <w:color w:val="auto"/>
        </w:rPr>
        <w:t>Consists of (i) 16,035,304 shares beneficially owned by our current executive officers and directors as of August 31, 2020 and (ii) 1,749,179 shares subject to options, exercisable within 60 days of August 31, 2020, of which 1,518,532 are vested as of such date.</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16" w:lineRule="exact"/>
        <w:rPr>
          <w:sz w:val="20"/>
          <w:szCs w:val="20"/>
          <w:color w:val="auto"/>
        </w:rPr>
      </w:pPr>
    </w:p>
    <w:p>
      <w:pPr>
        <w:ind w:left="120" w:right="100" w:firstLine="551"/>
        <w:spacing w:after="0" w:line="244" w:lineRule="auto"/>
        <w:rPr>
          <w:sz w:val="20"/>
          <w:szCs w:val="20"/>
          <w:color w:val="auto"/>
        </w:rPr>
      </w:pPr>
      <w:r>
        <w:rPr>
          <w:rFonts w:ascii="Arial" w:cs="Arial" w:eastAsia="Arial" w:hAnsi="Arial"/>
          <w:sz w:val="18"/>
          <w:szCs w:val="18"/>
          <w:i w:val="1"/>
          <w:iCs w:val="1"/>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immediately prior to the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w:t>
      </w:r>
    </w:p>
    <w:p>
      <w:pPr>
        <w:spacing w:after="0" w:line="214"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Upon the completion of this offering and the filing of our amended and restated certificate of incorporation in connection with this offering, our authorized capital stock will consist of 1,000,000,000 shares of common stock, par value $0.00001 per share, and 5,000,000 shares of preferred stock, par value $0.00001 per share.</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Based on 3,046,200 shares of common stock outstanding as of June 30, 2020, and after giving effect to the conversion of all of our outstanding convertible preferred stock into an aggregate of 28,188,110 shares of common stock, including the shares issuable upon the conversion of our Series D convertible preferred stock issued and sold in July 2020, which will occur immediately prior to the completion of this offering and the issuance of 7,350,000 shares of common stock in this offering, there will be 38,584,310 shares of common stock outstanding upon the completion of this offering. Upon the closing of our Series D convertible preferred stock financing in July 2020, we had 37 stockholders of record.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Our stockholders will not have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04"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Upon the completion of this offering, our board of directors will have the authority, without further action by the stockholders, to issue up to 5,000,000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Upon completion of this offering, no shares of preferred stock will be outstanding, and we have no present plan to issue any shares of preferred stock.</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 Options</w:t>
      </w:r>
    </w:p>
    <w:p>
      <w:pPr>
        <w:spacing w:after="0" w:line="214"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As of June 30, 2020, we had outstanding options to purchase an aggregate of 3,922,612 shares of our common stock, with a weighted-average exercise price of $2.66 per share, under our 2013 Equity Incentive Plan, or 2013 Plan. After June 30, 2020, we issued options to purchase an aggregate of 149,472 shares of our common stock, with a weighted-average exercise price of $8.53 per share, under our 2013 Plan.</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w:t>
      </w:r>
    </w:p>
    <w:p>
      <w:pPr>
        <w:spacing w:after="0" w:line="214" w:lineRule="exact"/>
        <w:rPr>
          <w:sz w:val="20"/>
          <w:szCs w:val="20"/>
          <w:color w:val="auto"/>
        </w:rPr>
      </w:pPr>
    </w:p>
    <w:p>
      <w:pPr>
        <w:ind w:left="120" w:right="340" w:firstLine="551"/>
        <w:spacing w:after="0" w:line="255" w:lineRule="auto"/>
        <w:rPr>
          <w:sz w:val="20"/>
          <w:szCs w:val="20"/>
          <w:color w:val="auto"/>
        </w:rPr>
      </w:pPr>
      <w:r>
        <w:rPr>
          <w:rFonts w:ascii="Arial" w:cs="Arial" w:eastAsia="Arial" w:hAnsi="Arial"/>
          <w:sz w:val="18"/>
          <w:szCs w:val="18"/>
          <w:color w:val="auto"/>
        </w:rPr>
        <w:t>As of June 30, 2020, we had an outstanding warrant to purchase an aggregate of 10,800 shares of our Series Seed convertible preferred stock at $1.8518 per share. The warrant will be converted into a warrant to purchase an aggregate of 10,800 shares of our common stock, with an exercise price of $1.8518 per share, upon the completion of this offering.</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After the completion of this offering, under our amended and restated investors’ rights agreement, holders of up to 28,198,910 shares of common stock or their transferees, have the right to require us to register the offer and sale of their shares, or to include their shares in any registration statement we file, in each case as described below.</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After the completion of this offering, holders of up to 28,198,910 shares of our common stock will be entitled to certain demand registration rights. At any time beginning after 180 days following the completion of this offering, or the subsequent date on which all market stand-off agreements applicable to this offering have terminated, the holders of at least 30% of the shares having registration rights then outstanding can request that we file a registration statement to register the offer and sale of their shares. We are only obligated to effect up to two such registrations. Each such request for registration must cover securities the anticipated aggregate gross proceeds of which, after deducting underwriting discounts and expenses, is at least $5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twice in any twelve-month period, for a period of up to 90 days.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04"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After the completion of this offering, holders of up to 28,198,910 shares of our common stock will be entitled to certain Form S-3 registration rights. At any time when we are eligible to file a registration statement on Form S-3, the holders of the shares having these rights then outstanding can request that we register the offer and sale of their shares of our common stock on a registration statement on Form S-3 so long as the request covers securities the anticipated aggregate public offering price of which is at least $5 million. These stockholders may make an unlimited number of requests for registration on a registration statement on Form S-3. However, we will not be required to effect a registration on Form S-3 if we have effected two such registrations within the twelve-month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twice in any twelve-month period, for a period of up to 90 days.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After the completion of this offering, holders of up to 28,198,910 shares of our common stock will be entitled to certain “piggyback” registration rights. If we propose to register the offer and sale of shares of our common stock under the Securities Act of 1933, as amended, or Securities Act, all holders of these shares then outstanding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(i) a registration related to any employee benefit plan, (ii) a registration relating to the offer and sale of debt securities, (iii) a registration relating to a corporate reorganization or other transaction covered by Rule 145 promulgated under the Securities Act, (iv) a registration on any registration form that does not permit secondary sales or (v) 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04" w:lineRule="exact"/>
        <w:rPr>
          <w:sz w:val="20"/>
          <w:szCs w:val="20"/>
          <w:color w:val="auto"/>
        </w:rPr>
      </w:pPr>
    </w:p>
    <w:p>
      <w:pPr>
        <w:ind w:left="120" w:right="600" w:firstLine="551"/>
        <w:spacing w:after="0" w:line="27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subject to specified limitations.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registration rights terminate upon the earliest of (i) the date that is five years after the completion of this offering,</w:t>
      </w:r>
    </w:p>
    <w:p>
      <w:pPr>
        <w:spacing w:after="0" w:line="18" w:lineRule="exact"/>
        <w:rPr>
          <w:sz w:val="20"/>
          <w:szCs w:val="20"/>
          <w:color w:val="auto"/>
        </w:rPr>
      </w:pPr>
    </w:p>
    <w:p>
      <w:pPr>
        <w:ind w:left="120" w:right="380" w:hanging="4"/>
        <w:spacing w:after="0" w:line="242" w:lineRule="auto"/>
        <w:tabs>
          <w:tab w:leader="none" w:pos="37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immediately prior to the completion of certain liquidation events and (iii) as to a given holder of registration rights, the date after the completion of this offering when such holder of registration rights can sell all of such holder’s registrable securities during any 90-day period pursuant to Rule 144 promulgated under the Securities Act.</w:t>
      </w:r>
    </w:p>
    <w:p>
      <w:pPr>
        <w:spacing w:after="0" w:line="281" w:lineRule="exact"/>
        <w:rPr>
          <w:sz w:val="20"/>
          <w:szCs w:val="20"/>
          <w:color w:val="auto"/>
        </w:rPr>
      </w:pPr>
    </w:p>
    <w:p>
      <w:pPr>
        <w:jc w:val="center"/>
        <w:ind w:left="440" w:right="140"/>
        <w:spacing w:after="0" w:line="287"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28"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amended and restated certificate of incorporation will contain provisions that permit our board of directors to issue, without any further vote or action by the stockholders, 5,000,000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0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Our amended and restated certificate of incorporation will provide that our board of directors is divided into three classes, designated Class I, Class II and Class III. Each class will be an equal number of directors, as nearly as possible, consisting of one third of the total number of directors constituting the entire board of directors. The term of the initial Class I directors shall terminate on the date of the 2021 annual meeting of stockholders, the term of the initial Class II directors shall terminate on the date of the 2022 annual meeting of stockholders, and the term of the initial Class III directors shall terminate on the date of the 2023 annual meeting of stockholders. At each annual meeting of stockholders beginning in 2021, successors to the class of directors whose term expires at that annual meeting will be elected for a three-year term.</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04"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Our amended and restated certificate of incorporation will provide that stockholders may only remove a director for cause by a vote of no less than a majority of the shares present in person or by proxy at a meeting of stockholders and entitled to vote.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amended and restated certificate of incorporation will authorize only our board of directors to fill vacant directorships.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4"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Our amended and restated certificate of incorporation will provide that stockholders do not have the right to cumulate votes in the election of directors.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0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except as otherwise required by law, special meetings of the stockholders may be called only by the chairperson of our board of directors, our Chief Executive Officer, our President or our board of directors acting pursuant to a resolution adopted by a majority of our board of directors.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bylaws will provide that stockholders seeking to nominate candidates for election as directors at an annual or special meeting of stockholders or seeking to propose matters that can be acted upon by stockholders at annual stockholder meetings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04"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General Corporation Law of the State of Delaware, or DGCL, except that amendment of certain provisions would require the approval of two-thirds of our then outstanding common stock. Our amended and restated bylaws may be adopted, amended, altered or repealed by stockholders only upon approval of at least majority of the voting power of all the then outstanding shares of the common stock, except for any amendment of certain provisions,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issuances without stockholder approval, except as required by the listing standards of the Nasdaq Stock Market LLC,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04" w:lineRule="exact"/>
        <w:rPr>
          <w:sz w:val="20"/>
          <w:szCs w:val="20"/>
          <w:color w:val="auto"/>
        </w:rPr>
      </w:pPr>
    </w:p>
    <w:p>
      <w:pPr>
        <w:ind w:left="120" w:right="700" w:firstLine="551"/>
        <w:spacing w:after="0" w:line="276" w:lineRule="auto"/>
        <w:rPr>
          <w:sz w:val="20"/>
          <w:szCs w:val="20"/>
          <w:color w:val="auto"/>
        </w:rPr>
      </w:pPr>
      <w:r>
        <w:rPr>
          <w:rFonts w:ascii="Arial" w:cs="Arial" w:eastAsia="Arial" w:hAnsi="Arial"/>
          <w:sz w:val="18"/>
          <w:szCs w:val="18"/>
          <w:color w:val="auto"/>
        </w:rPr>
        <w:t>Our amended and restated bylaws will provide that, unless we consent to the selection of an alternative forum, the Court of Chancery of the State of Delaware shall be the sole and exclusive forum</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We note that investors cannot waive compliance with the federal securities laws and the rules and regulations thereunder. Please also see the section titled “Risk Factors—Our amended and restated bylaws that will become effective upon the closing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are governed by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Liability and Indemnification</w:t>
      </w:r>
    </w:p>
    <w:p>
      <w:pPr>
        <w:spacing w:after="0" w:line="104"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7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limitation on liability and indemnification provisions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directors and officers pursuant to these indemnification provisions. See the section titled “Executive Compensation—Limitation of Liability and Indemnification” for additional information.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list our common stock on the Nasdaq Global Market under the symbol “PMVP.”</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04" w:lineRule="exact"/>
        <w:rPr>
          <w:sz w:val="20"/>
          <w:szCs w:val="20"/>
          <w:color w:val="auto"/>
        </w:rPr>
      </w:pPr>
    </w:p>
    <w:p>
      <w:pPr>
        <w:ind w:left="120" w:right="40" w:firstLine="551"/>
        <w:spacing w:after="0" w:line="306" w:lineRule="auto"/>
        <w:rPr>
          <w:sz w:val="20"/>
          <w:szCs w:val="20"/>
          <w:color w:val="auto"/>
        </w:rPr>
      </w:pPr>
      <w:r>
        <w:rPr>
          <w:rFonts w:ascii="Arial" w:cs="Arial" w:eastAsia="Arial" w:hAnsi="Arial"/>
          <w:sz w:val="17"/>
          <w:szCs w:val="17"/>
          <w:color w:val="auto"/>
        </w:rPr>
        <w:t>The transfer agent and registrar for our common stock is American Stock Transfer &amp; Trust Company, LLC. The transfer agent and registrar’s address is 6201 15th Avenue, Brooklyn, New York 11219. The transfer agent and registrar’s phone number is 800-937-5449.</w:t>
      </w:r>
    </w:p>
    <w:p>
      <w:pPr>
        <w:spacing w:after="0" w:line="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00"/>
          </w:cols>
          <w:pgMar w:left="320" w:top="455" w:right="57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SHARES ELIGIBLE FOR FUTURE SALE</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Prior to this offering, there has been no public market for our common stock, and although we expect that our common stock will be approved for listing on the Nasdaq Global Market,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79"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Upon completion of this offering, based on our shares of common stock outstanding as of June 30, 2020 and after giving effect to the conversion of all of the 22,866,246 shares of our convertible preferred stock outstanding at June 30, 2020 and the conversion of all of our Series D convertible preferred stock issued and sold in July 2020 into 5,321,864 shares of common stock, 38,584,310 shares of our common stock will be outstanding, or 39,686,810 shares of common stock if the underwriters exercise their option to purchase additional shares in full. All of the shares of common stock expected to be sold in this offering will be freely tradable without restriction or further registration under the Securities Act of 1933, as amended, or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80" w:lineRule="exact"/>
        <w:rPr>
          <w:sz w:val="20"/>
          <w:szCs w:val="20"/>
          <w:color w:val="auto"/>
        </w:rPr>
      </w:pPr>
    </w:p>
    <w:p>
      <w:pPr>
        <w:ind w:left="120" w:right="60" w:firstLine="551"/>
        <w:spacing w:after="0" w:line="268" w:lineRule="auto"/>
        <w:rPr>
          <w:sz w:val="20"/>
          <w:szCs w:val="20"/>
          <w:color w:val="auto"/>
        </w:rPr>
      </w:pPr>
      <w:r>
        <w:rPr>
          <w:rFonts w:ascii="Arial" w:cs="Arial" w:eastAsia="Arial" w:hAnsi="Arial"/>
          <w:sz w:val="17"/>
          <w:szCs w:val="17"/>
          <w:color w:val="auto"/>
        </w:rPr>
        <w:t>As a result of the lock-up agreements and market stand-off provisions described below and the provisions of Rules 144 or 701, the shares of our common stock (excluding the shares sold in this offering) that will be deemed “restricted securities” will be available for sale in the public market following the completion of this offering as follows: 31,234,310 shares will be eligible for sale upon expiration of the lock-up agreements and market stand-off provisions described below, beginning more than 180 days after the date of this prospectus.</w:t>
      </w:r>
    </w:p>
    <w:p>
      <w:pPr>
        <w:spacing w:after="0" w:line="153"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21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Our officers, directors and the holders of substantially all of our capital stock and options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Goldman Sachs &amp; Co. LLC, BofA Securities, Inc., Cowen and Company, LLC and Evercore Group L.L.C. See the section titled “Underwriting” for additional information.</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00"/>
          </w:cols>
          <w:pgMar w:left="320" w:top="455" w:right="47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Rule 144</w:t>
      </w:r>
    </w:p>
    <w:p>
      <w:pPr>
        <w:spacing w:after="0" w:line="214"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color w:val="auto"/>
        </w:rPr>
        <w:t>Rule 144, as currently in effect, generally provides that, once we have been subject to the public company reporting requirements of Section 13 or Section 15(d) of the Securities Exchange Act of 1934, or Exchange Act, for at least 90 days, a stockholder who is not deemed to have been one of our affiliates at any time during the preceding three months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conditions of Rule 144.</w:t>
      </w:r>
    </w:p>
    <w:p>
      <w:pPr>
        <w:spacing w:after="0" w:line="179"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within any three-month period beginning 90 days after the date of this prospectus a number of shares that does not exceed the greater of the following:</w:t>
      </w:r>
    </w:p>
    <w:p>
      <w:pPr>
        <w:spacing w:after="0" w:line="76" w:lineRule="exact"/>
        <w:rPr>
          <w:sz w:val="20"/>
          <w:szCs w:val="20"/>
          <w:color w:val="auto"/>
        </w:rPr>
      </w:pPr>
    </w:p>
    <w:p>
      <w:pPr>
        <w:ind w:left="880" w:hanging="224"/>
        <w:spacing w:after="0" w:line="306" w:lineRule="auto"/>
        <w:tabs>
          <w:tab w:leader="none" w:pos="8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1% of the number of shares of our capital stock then outstanding, which will equal 385,843 shares of common stock immediately after the completion of this offering, assuming no exercise by the underwriters of their option to purchase additional shares; or</w:t>
      </w:r>
    </w:p>
    <w:p>
      <w:pPr>
        <w:spacing w:after="0" w:line="28" w:lineRule="exact"/>
        <w:rPr>
          <w:rFonts w:ascii="Arial" w:cs="Arial" w:eastAsia="Arial" w:hAnsi="Arial"/>
          <w:sz w:val="17"/>
          <w:szCs w:val="17"/>
          <w:color w:val="auto"/>
        </w:rPr>
      </w:pPr>
    </w:p>
    <w:p>
      <w:pPr>
        <w:ind w:left="880" w:right="40" w:hanging="224"/>
        <w:spacing w:after="0" w:line="276"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such sale.</w:t>
      </w:r>
    </w:p>
    <w:p>
      <w:pPr>
        <w:spacing w:after="0" w:line="145" w:lineRule="exact"/>
        <w:rPr>
          <w:sz w:val="20"/>
          <w:szCs w:val="20"/>
          <w:color w:val="auto"/>
        </w:rPr>
      </w:pPr>
    </w:p>
    <w:p>
      <w:pPr>
        <w:ind w:left="120" w:firstLine="551"/>
        <w:spacing w:after="0" w:line="306" w:lineRule="auto"/>
        <w:rPr>
          <w:sz w:val="20"/>
          <w:szCs w:val="20"/>
          <w:color w:val="auto"/>
        </w:rPr>
      </w:pPr>
      <w:r>
        <w:rPr>
          <w:rFonts w:ascii="Arial" w:cs="Arial" w:eastAsia="Arial" w:hAnsi="Arial"/>
          <w:sz w:val="17"/>
          <w:szCs w:val="17"/>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Rule 701</w:t>
      </w:r>
    </w:p>
    <w:p>
      <w:pPr>
        <w:spacing w:after="0" w:line="21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three months may sell such shares (to the extent such shares are not subject to a lock-up agreement)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(subject to the lock-up agreement referred to above, if applicable). However, all stockholders who purchased shares of our common stock pursuant to a written compensatory benefit plan or contract are required to wait until 90 days after the date of this prospectus before selling such shares pursuant to Rule 701 (subject to the lock-up agreements and market stand-off agreements referred to above, if applicable).</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S-8 Registration Statement</w:t>
      </w:r>
    </w:p>
    <w:p>
      <w:pPr>
        <w:spacing w:after="0" w:line="214"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After the completion of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will be eligible for sale in the public market without</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80"/>
          </w:cols>
          <w:pgMar w:left="320" w:top="455" w:right="49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Compensation—Employee Benefit and Stock Plans” for a description of our equity compensation plans.</w:t>
      </w: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After the completion of this offering, holders of up to 28,198,910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0940"/>
          </w:cols>
          <w:pgMar w:left="320" w:top="455" w:right="63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MATERIAL U.S. FEDERAL INCOME TAX CONSEQUENCES FOR NON-U.S. HOLDERS OF OUR COMMON STOCK</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U.S. Internal Revenue Code of 1986, as amended, or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80"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This summary assumes that the non-U.S. holder holds our common stock as a capital asset within the meaning of Section 1221 of the Code (generally, property held for investment). This summary also does not address the tax considerations arising under the laws of any U.S. state or local or non-U.S. jurisdiction or under other U.S. federal tax laws, such as gift and estate tax laws. In addition, this discussion does not address tax considerations applicable to an investor’s particular circumstances or to investors that may be subject to special tax rules, including, without limitation:</w:t>
      </w:r>
    </w:p>
    <w:p>
      <w:pPr>
        <w:spacing w:after="0" w:line="78" w:lineRule="exact"/>
        <w:rPr>
          <w:sz w:val="20"/>
          <w:szCs w:val="20"/>
          <w:color w:val="auto"/>
        </w:rPr>
      </w:pPr>
    </w:p>
    <w:p>
      <w:pPr>
        <w:ind w:left="88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 (except to the extent specifically set forth below), regulated investment companies, real estate investment trusts or other financial institutions;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surtax on net investment income;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50"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traders in securities or other persons that elect to use a mark-to-market method of accounting for their securities holdings;</w:t>
      </w:r>
    </w:p>
    <w:p>
      <w:pPr>
        <w:spacing w:after="0" w:line="117"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U.S. expatriates or certain former citizens or long-term residents of the United States;</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 or integrated investment;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option or otherwise as compensation;</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 as defined in Section 451(b) of the Code;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80"/>
          </w:cols>
          <w:pgMar w:left="320" w:top="455" w:right="49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tax advisor regarding the tax consequences of the ownership and disposition of our common stock through a partnership or other such entity, as applicable.</w:t>
      </w:r>
    </w:p>
    <w:p>
      <w:pPr>
        <w:spacing w:after="0" w:line="172" w:lineRule="exact"/>
        <w:rPr>
          <w:sz w:val="20"/>
          <w:szCs w:val="20"/>
          <w:color w:val="auto"/>
        </w:rPr>
      </w:pPr>
    </w:p>
    <w:p>
      <w:pPr>
        <w:ind w:left="120" w:right="120" w:firstLine="551"/>
        <w:spacing w:after="0" w:line="251" w:lineRule="auto"/>
        <w:rPr>
          <w:sz w:val="20"/>
          <w:szCs w:val="20"/>
          <w:color w:val="auto"/>
        </w:rPr>
      </w:pPr>
      <w:r>
        <w:rPr>
          <w:rFonts w:ascii="Arial" w:cs="Arial" w:eastAsia="Arial" w:hAnsi="Arial"/>
          <w:sz w:val="18"/>
          <w:szCs w:val="18"/>
          <w:b w:val="1"/>
          <w:bCs w:val="1"/>
          <w:i w:val="1"/>
          <w:i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Non-U.S. Holder Defined</w:t>
      </w:r>
    </w:p>
    <w:p>
      <w:pPr>
        <w:spacing w:after="0" w:line="214" w:lineRule="exact"/>
        <w:rPr>
          <w:sz w:val="20"/>
          <w:szCs w:val="20"/>
          <w:color w:val="auto"/>
        </w:rPr>
      </w:pPr>
    </w:p>
    <w:p>
      <w:pPr>
        <w:ind w:left="120" w:right="300" w:firstLine="551"/>
        <w:spacing w:after="0" w:line="276" w:lineRule="auto"/>
        <w:rPr>
          <w:sz w:val="20"/>
          <w:szCs w:val="20"/>
          <w:color w:val="auto"/>
        </w:rPr>
      </w:pPr>
      <w:r>
        <w:rPr>
          <w:rFonts w:ascii="Arial" w:cs="Arial" w:eastAsia="Arial" w:hAnsi="Arial"/>
          <w:sz w:val="18"/>
          <w:szCs w:val="18"/>
          <w:color w:val="auto"/>
        </w:rPr>
        <w:t>For purposes of this discussion, a “non-U.S. holder” is a beneficial owner of our common stock that, for U.S. federal income tax purposes, is not a partnership and is not:</w:t>
      </w:r>
    </w:p>
    <w:p>
      <w:pPr>
        <w:spacing w:after="0" w:line="50" w:lineRule="exact"/>
        <w:rPr>
          <w:sz w:val="20"/>
          <w:szCs w:val="20"/>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17" w:lineRule="exact"/>
        <w:rPr>
          <w:rFonts w:ascii="Arial" w:cs="Arial" w:eastAsia="Arial" w:hAnsi="Arial"/>
          <w:sz w:val="18"/>
          <w:szCs w:val="18"/>
          <w:color w:val="auto"/>
        </w:rPr>
      </w:pPr>
    </w:p>
    <w:p>
      <w:pPr>
        <w:jc w:val="both"/>
        <w:ind w:left="880" w:right="40" w:hanging="224"/>
        <w:spacing w:after="0" w:line="255"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Distributions</w:t>
      </w:r>
    </w:p>
    <w:p>
      <w:pPr>
        <w:spacing w:after="0" w:line="214" w:lineRule="exact"/>
        <w:rPr>
          <w:sz w:val="20"/>
          <w:szCs w:val="20"/>
          <w:color w:val="auto"/>
        </w:rPr>
      </w:pPr>
    </w:p>
    <w:p>
      <w:pPr>
        <w:ind w:left="120" w:right="160" w:firstLine="551"/>
        <w:spacing w:after="0" w:line="241" w:lineRule="auto"/>
        <w:rPr>
          <w:sz w:val="20"/>
          <w:szCs w:val="20"/>
          <w:color w:val="auto"/>
        </w:rPr>
      </w:pPr>
      <w:r>
        <w:rPr>
          <w:rFonts w:ascii="Arial" w:cs="Arial" w:eastAsia="Arial" w:hAnsi="Arial"/>
          <w:sz w:val="18"/>
          <w:szCs w:val="18"/>
          <w:color w:val="auto"/>
        </w:rPr>
        <w:t>As described in the section titled “Dividend Policy,” we have not declared or paid cash dividends on our capital stock since our inception, and we do not anticipate paying any cash dividends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“—Gain on Disposition of Common Stock.”</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Subject to the discussions below on effectively connected income, backup withholding and the Foreign Account Tax Compliance Act, Treasury Regulations issued thereunder and official IRS guidance, collectively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an IRS Form W-8BEN or W-8BEN-E or other appropriate version of IRS Form W-8, including any required attachments, certifying qualification for the reduced rate. A non-U.S. holder of shares of our common stock eligible for a reduced rate of U.S. federal withholding tax pursuant to an income tax treaty may obtain a refund of any excess amounts withheld by filing an appropriate claim for refund with the IRS. If the non-U.S. holder holds our common stock through a financial institution or other agent, the non-U.S. holder will</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60"/>
          </w:cols>
          <w:pgMar w:left="320" w:top="455" w:right="51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be required to provide appropriate documentation to the agent, which then will be required to provide certification to us or our paying agent, either directly or through other intermediaries. You should consult your tax advisors regarding your entitlement to benefits under an applicable tax treaty.</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discussions below on backup withholding and FATCA. In order to obtain this exemption, you must provide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any applicable tax treaties that may provide for different rules.</w:t>
      </w: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Gain on Disposition of Common Stock</w:t>
      </w:r>
    </w:p>
    <w:p>
      <w:pPr>
        <w:spacing w:after="0" w:line="214"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Subject to the discussion below regarding backup withholding, you generally will not be required to pay U.S. federal income tax on any gain realized upon the sale or other disposition of our common stock unless:</w:t>
      </w:r>
    </w:p>
    <w:p>
      <w:pPr>
        <w:spacing w:after="0" w:line="50" w:lineRule="exact"/>
        <w:rPr>
          <w:sz w:val="20"/>
          <w:szCs w:val="20"/>
          <w:color w:val="auto"/>
        </w:rPr>
      </w:pPr>
    </w:p>
    <w:p>
      <w:pPr>
        <w:ind w:left="880" w:right="700" w:hanging="224"/>
        <w:spacing w:after="0" w:line="276" w:lineRule="auto"/>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50"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you are a non-resident alien individual who is present in the United States for a period or periods aggregating 183 days or more during the calendar year in which the sale or disposition occurs and certain other conditions are met; or</w:t>
      </w:r>
    </w:p>
    <w:p>
      <w:pPr>
        <w:spacing w:after="0" w:line="50" w:lineRule="exact"/>
        <w:rPr>
          <w:rFonts w:ascii="Arial" w:cs="Arial" w:eastAsia="Arial" w:hAnsi="Arial"/>
          <w:sz w:val="18"/>
          <w:szCs w:val="18"/>
          <w:color w:val="auto"/>
        </w:rPr>
      </w:pPr>
    </w:p>
    <w:p>
      <w:pPr>
        <w:jc w:val="both"/>
        <w:ind w:left="880" w:right="360" w:hanging="224"/>
        <w:spacing w:after="0" w:line="255" w:lineRule="auto"/>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6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believe that we are not currently and will not become a USRPHC for U.S. federal income tax purposes. However, because the determination of whether we are a USRPHC depends on the fair market value of our U.S. real property relative to the fair market value of our U.S. and worldwide real property plus our other business assets, there can be no assurance that we will not become a USRPHC in the future. Even if we become a USRPHC, however, as long as our common stock is regularly traded on an established securities market, your common stock will be treated as United States real property interests only if you actually (directly or indirectly) or constructively held more than five percent of such regularly traded common stock at any time during the shorter of the five-year period preceding your disposition of, or your holding period for, our common stock.</w:t>
      </w:r>
    </w:p>
    <w:p>
      <w:pPr>
        <w:spacing w:after="0" w:line="179"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gain derived from the sale (net of certain deductions and credits) under regular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sale, which gain may be offset by certain U.S. source capital losses, provided you have timely filed U.S. federal income tax returns with respect to such losses. You should consult your tax advisor regarding any applicable income tax or other treaties that may provide for different rules.</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14" w:lineRule="exact"/>
        <w:rPr>
          <w:sz w:val="20"/>
          <w:szCs w:val="20"/>
          <w:color w:val="auto"/>
        </w:rPr>
      </w:pPr>
    </w:p>
    <w:p>
      <w:pPr>
        <w:jc w:val="both"/>
        <w:ind w:left="120" w:right="420" w:firstLine="551"/>
        <w:spacing w:after="0" w:line="257" w:lineRule="auto"/>
        <w:rPr>
          <w:sz w:val="20"/>
          <w:szCs w:val="20"/>
          <w:color w:val="auto"/>
        </w:rPr>
      </w:pPr>
      <w:r>
        <w:rPr>
          <w:rFonts w:ascii="Arial" w:cs="Arial" w:eastAsia="Arial" w:hAnsi="Arial"/>
          <w:sz w:val="17"/>
          <w:szCs w:val="17"/>
          <w:color w:val="auto"/>
        </w:rPr>
        <w:t>Payments of dividends on or of proceeds from the disposition of our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w:t>
      </w:r>
    </w:p>
    <w:p>
      <w:pPr>
        <w:spacing w:after="0" w:line="2" w:lineRule="exact"/>
        <w:rPr>
          <w:sz w:val="20"/>
          <w:szCs w:val="20"/>
          <w:color w:val="auto"/>
        </w:rPr>
      </w:pPr>
    </w:p>
    <w:p>
      <w:pPr>
        <w:ind w:left="120" w:right="680"/>
        <w:spacing w:after="0" w:line="250" w:lineRule="auto"/>
        <w:rPr>
          <w:sz w:val="20"/>
          <w:szCs w:val="20"/>
          <w:color w:val="auto"/>
        </w:rPr>
      </w:pPr>
      <w:r>
        <w:rPr>
          <w:rFonts w:ascii="Arial" w:cs="Arial" w:eastAsia="Arial" w:hAnsi="Arial"/>
          <w:sz w:val="18"/>
          <w:szCs w:val="18"/>
          <w:color w:val="auto"/>
        </w:rPr>
        <w:t>Notwithstanding the foregoing, backup withholding and information reporting may apply if either we or our paying agent has actual knowledge, or reason to know, that you are a U.S. person.</w:t>
      </w:r>
    </w:p>
    <w:p>
      <w:pPr>
        <w:spacing w:after="0" w:line="168"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backup withholding results in an overpayment of taxes, a refund or credit may generally be obtained from the IRS, provided that the required information is furnished to the IRS in a timely manner.</w:t>
      </w:r>
    </w:p>
    <w:p>
      <w:pPr>
        <w:spacing w:after="0" w:line="16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Notwithstanding the foregoing, generally, we must report annually to the IRS the amount of distributions paid to you, your name and address and the amount of tax withheld, if any. Pursuant to applicable income tax treaties or other agreements, the IRS may make these reports available to tax authorities in your country of residence.</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FATCA generally imposes a U.S. federal withholding tax of 30% on dividends on, and (subject to the proposed Treasury Regulations discussed below) the gross proceeds from a sale or other disposition of our common stock, paid to a “foreign financial institution” (as specially defined under these rules), unless otherwise provided by the Treasury Secretary or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(subject to the proposed Treasury Regulations discussed below) the gross proceeds from a sale or other disposition of our common stock paid to a “non-financial foreign entity” (as specially defined under these rules), unless otherwise provided by the Treasury Secretary or such entity provides the withholding agent with a certification identifying the substantial direct and indirect U.S. owners of the entity, certifies that it does not have any substantial U.S. owners, or otherwise establishes an exemption.</w:t>
      </w:r>
    </w:p>
    <w:p>
      <w:pPr>
        <w:spacing w:after="0" w:line="176"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The withholding obligations under FATCA generally apply to dividends on our common stock. The withholding tax will apply regardless of whether the payment otherwise would be exempt from U.S. nonresident and backup withholding tax, including under the other exemptions described above. Under certain circumstances, a non-U.S. holder might be eligible for refunds or credits of amounts so withheld. The Treasury Secretary has issued proposed regulations providing that the withholding provisions under FATCA do not apply with respect to payment of gross proceeds from a sale or other disposition of our common stock, which may be relied upon by a taxpayer (including an applicable withholding agent) until final regulations are issued.</w:t>
      </w:r>
    </w:p>
    <w:p>
      <w:pPr>
        <w:spacing w:after="0" w:line="174" w:lineRule="exact"/>
        <w:rPr>
          <w:sz w:val="20"/>
          <w:szCs w:val="20"/>
          <w:color w:val="auto"/>
        </w:rPr>
      </w:pPr>
    </w:p>
    <w:p>
      <w:pPr>
        <w:ind w:left="120" w:right="600" w:firstLine="551"/>
        <w:spacing w:after="0" w:line="276" w:lineRule="auto"/>
        <w:rPr>
          <w:sz w:val="20"/>
          <w:szCs w:val="20"/>
          <w:color w:val="auto"/>
        </w:rPr>
      </w:pPr>
      <w:r>
        <w:rPr>
          <w:rFonts w:ascii="Arial" w:cs="Arial" w:eastAsia="Arial" w:hAnsi="Arial"/>
          <w:sz w:val="18"/>
          <w:szCs w:val="18"/>
          <w:color w:val="auto"/>
        </w:rPr>
        <w:t>An intergovernmental agreement between the United States and an applicable foreign country may modify the requirements described in this section. Prospective investors should consult with their</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tax advisors regarding the application of FATCA withholding to their investment in, and ownership and disposition of, our common stock.</w:t>
      </w:r>
    </w:p>
    <w:p>
      <w:pPr>
        <w:spacing w:after="0" w:line="221" w:lineRule="exact"/>
        <w:rPr>
          <w:sz w:val="20"/>
          <w:szCs w:val="20"/>
          <w:color w:val="auto"/>
        </w:rPr>
      </w:pPr>
    </w:p>
    <w:p>
      <w:pPr>
        <w:jc w:val="both"/>
        <w:ind w:left="120" w:right="140" w:firstLine="551"/>
        <w:spacing w:after="0" w:line="252" w:lineRule="auto"/>
        <w:rPr>
          <w:sz w:val="20"/>
          <w:szCs w:val="20"/>
          <w:color w:val="auto"/>
        </w:rPr>
      </w:pPr>
      <w:r>
        <w:rPr>
          <w:rFonts w:ascii="Arial" w:cs="Arial" w:eastAsia="Arial" w:hAnsi="Arial"/>
          <w:sz w:val="18"/>
          <w:szCs w:val="18"/>
          <w:b w:val="1"/>
          <w:bCs w:val="1"/>
          <w:color w:val="auto"/>
        </w:rPr>
        <w:t>The preceding discussion of U.S. federal income tax consequences is for general information only. It is not tax advice. Each prospective investor should consult his, her or its tax advisor regarding the particular U.S. federal, state and local and non-U.S. tax consequences of purchasing, holding and disposing of our common stock, including the consequences of any proposed change in applicable laws.</w:t>
      </w:r>
    </w:p>
    <w:p>
      <w:pPr>
        <w:spacing w:after="0" w:line="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0920"/>
          </w:cols>
          <w:pgMar w:left="320" w:top="455" w:right="6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left="120" w:right="300" w:firstLine="551"/>
        <w:spacing w:after="0" w:line="248"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BofA Securities, Inc., Cowen and Company, LLC and Evercore Group L.L.C. are the representatives of the underwriters.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972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Number of Shares</w:t>
            </w: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88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0"/>
        </w:trPr>
        <w:tc>
          <w:tcPr>
            <w:tcW w:w="9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1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9720" w:type="dxa"/>
            <w:vAlign w:val="bottom"/>
            <w:gridSpan w:val="2"/>
          </w:tcPr>
          <w:p>
            <w:pPr>
              <w:spacing w:after="0" w:line="202" w:lineRule="exact"/>
              <w:rPr>
                <w:sz w:val="20"/>
                <w:szCs w:val="20"/>
                <w:color w:val="auto"/>
              </w:rPr>
            </w:pPr>
            <w:r>
              <w:rPr>
                <w:rFonts w:ascii="Arial" w:cs="Arial" w:eastAsia="Arial" w:hAnsi="Arial"/>
                <w:sz w:val="18"/>
                <w:szCs w:val="18"/>
                <w:color w:val="auto"/>
              </w:rPr>
              <w:t>BofA Securities, Inc.</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Cowen and Company, LLC</w:t>
            </w: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9720" w:type="dxa"/>
            <w:vAlign w:val="bottom"/>
            <w:gridSpan w:val="2"/>
          </w:tcPr>
          <w:p>
            <w:pPr>
              <w:spacing w:after="0" w:line="202" w:lineRule="exact"/>
              <w:rPr>
                <w:sz w:val="20"/>
                <w:szCs w:val="20"/>
                <w:color w:val="auto"/>
              </w:rPr>
            </w:pPr>
            <w:r>
              <w:rPr>
                <w:rFonts w:ascii="Arial" w:cs="Arial" w:eastAsia="Arial" w:hAnsi="Arial"/>
                <w:sz w:val="18"/>
                <w:szCs w:val="18"/>
                <w:color w:val="auto"/>
              </w:rPr>
              <w:t>Evercore Group L.L.C.</w:t>
            </w:r>
          </w:p>
        </w:tc>
        <w:tc>
          <w:tcPr>
            <w:tcW w:w="12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7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7,350,000</w:t>
            </w:r>
          </w:p>
        </w:tc>
      </w:tr>
      <w:tr>
        <w:trPr>
          <w:trHeight w:val="20"/>
        </w:trPr>
        <w:tc>
          <w:tcPr>
            <w:tcW w:w="88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The underwriters have an option to buy up to an additional 1,102,500 shares from us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 1,102,500 additional shares.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7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39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Total</w:t>
            </w:r>
          </w:p>
        </w:tc>
        <w:tc>
          <w:tcPr>
            <w:tcW w:w="4760" w:type="dxa"/>
            <w:vAlign w:val="bottom"/>
            <w:gridSpan w:val="2"/>
          </w:tcPr>
          <w:p>
            <w:pPr>
              <w:ind w:left="39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bl>
    <w:p>
      <w:pPr>
        <w:spacing w:after="0" w:line="153" w:lineRule="exact"/>
        <w:rPr>
          <w:sz w:val="20"/>
          <w:szCs w:val="20"/>
          <w:color w:val="auto"/>
        </w:rPr>
      </w:pPr>
    </w:p>
    <w:p>
      <w:pPr>
        <w:ind w:left="120" w:right="240" w:firstLine="551"/>
        <w:spacing w:after="0" w:line="306" w:lineRule="auto"/>
        <w:rPr>
          <w:sz w:val="20"/>
          <w:szCs w:val="20"/>
          <w:color w:val="auto"/>
        </w:rPr>
      </w:pPr>
      <w:r>
        <w:rPr>
          <w:rFonts w:ascii="Arial" w:cs="Arial" w:eastAsia="Arial" w:hAnsi="Arial"/>
          <w:sz w:val="17"/>
          <w:szCs w:val="17"/>
          <w:color w:val="auto"/>
        </w:rPr>
        <w:t>We estimate that our total out of pocket expenses for this offering, excluding the underwriting discounts and commissions, will be approximately $3.4 million. We have also agreed to reimburse the underwriters certain of their expenses in an amount up to $35,000.</w:t>
      </w:r>
    </w:p>
    <w:p>
      <w:pPr>
        <w:spacing w:after="0" w:line="123"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18"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6" w:lineRule="exact"/>
        <w:rPr>
          <w:sz w:val="20"/>
          <w:szCs w:val="20"/>
          <w:color w:val="auto"/>
        </w:rPr>
      </w:pPr>
    </w:p>
    <w:p>
      <w:pPr>
        <w:ind w:left="120" w:right="140" w:firstLine="551"/>
        <w:spacing w:after="0" w:line="277" w:lineRule="auto"/>
        <w:rPr>
          <w:sz w:val="20"/>
          <w:szCs w:val="20"/>
          <w:color w:val="auto"/>
        </w:rPr>
      </w:pPr>
      <w:r>
        <w:rPr>
          <w:rFonts w:ascii="Arial" w:cs="Arial" w:eastAsia="Arial" w:hAnsi="Arial"/>
          <w:sz w:val="17"/>
          <w:szCs w:val="17"/>
          <w:color w:val="auto"/>
        </w:rPr>
        <w:t>We and our officers, directors and holders of substantially all of our common stock and securities convertible into or exchangeable for our common stock have agreed with the underwriters, subject to certain exceptions, not to dispose of or hedge any of their common stock or securities convertible into or exchangeable for shares of our common stock during the period from the date of this prospectus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40"/>
          </w:cols>
          <w:pgMar w:left="320" w:top="455" w:right="4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continuing through the date 180 days after the date of this prospectus, except with the prior written consent of the representatives. This agreement does not apply to any existing employee benefit plans. See the section titled “Shares Eligible for Future Sale” for a discussion of certain transfer restrictions.</w:t>
      </w:r>
    </w:p>
    <w:p>
      <w:pPr>
        <w:spacing w:after="0" w:line="16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list our common stock on the Nasdaq Global Market under the symbol “PMVP.”</w:t>
      </w:r>
    </w:p>
    <w:p>
      <w:pPr>
        <w:spacing w:after="0" w:line="21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7"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74"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80"/>
          </w:cols>
          <w:pgMar w:left="320" w:top="455" w:right="49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21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relation to each Member State of the European Economic Area and the United Kingdom, or each, a Relevant State, no shares of our common stock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79" w:lineRule="exact"/>
        <w:rPr>
          <w:sz w:val="20"/>
          <w:szCs w:val="20"/>
          <w:color w:val="auto"/>
        </w:rPr>
      </w:pPr>
    </w:p>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420"/>
        <w:spacing w:after="0" w:line="27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of our common stock shall require us or any representatives to publish a prospectus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3 of the Prospectus Regulation or supplement a prospectus pursuant to Article 23 of the Prospectus Regulation.</w:t>
      </w:r>
    </w:p>
    <w:p>
      <w:pPr>
        <w:spacing w:after="0" w:line="145"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880" w:right="140" w:hanging="224"/>
        <w:spacing w:after="0" w:line="248"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or the FSMA) received by it in connection with the issue or sale of the shares in circumstances in which Section 21(1) of the FSMA does not apply to the company; and</w:t>
      </w:r>
    </w:p>
    <w:p>
      <w:pPr>
        <w:spacing w:after="0" w:line="75"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Canada</w:t>
      </w:r>
    </w:p>
    <w:p>
      <w:pPr>
        <w:spacing w:after="0" w:line="21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2"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Hong Kong</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Singapore</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00"/>
          </w:cols>
          <w:pgMar w:left="320" w:top="455" w:right="47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Japan</w:t>
      </w:r>
    </w:p>
    <w:p>
      <w:pPr>
        <w:spacing w:after="0" w:line="21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80"/>
          </w:cols>
          <w:pgMar w:left="320" w:top="455" w:right="49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issuance of our common stock offered in this prospectus will be passed upon for us by Wilson Sonsini</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Goodrich &amp; Rosati, Professional Corporation, Palo Alto, California. Certain legal matters relating to the offering will be passed upon for the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underwriters by Latham &amp; Watkins LLP, Menlo Park, California. Certain members of, and investment partnerships comprised of members</w:t>
      </w:r>
    </w:p>
    <w:p>
      <w:pPr>
        <w:ind w:left="120"/>
        <w:spacing w:after="0" w:line="234" w:lineRule="auto"/>
        <w:rPr>
          <w:sz w:val="20"/>
          <w:szCs w:val="20"/>
          <w:color w:val="auto"/>
        </w:rPr>
      </w:pPr>
      <w:r>
        <w:rPr>
          <w:rFonts w:ascii="Arial" w:cs="Arial" w:eastAsia="Arial" w:hAnsi="Arial"/>
          <w:sz w:val="18"/>
          <w:szCs w:val="18"/>
          <w:color w:val="auto"/>
        </w:rPr>
        <w:t>of, and persons associated with, Wilson Sonsini Goodrich &amp; Rosati, Professional Corporation, own an interest representing less than one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percent of the shares of our common stock.</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at December 31, 2018 and 2019, and for the years then ended, as set forth in their report. We have included our financial statements in the prospectus and elsewhere in the registration statement in reliance on Ernst &amp; Young LLP’s report, given on their authority as experts in accounting and auditing.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080"/>
          </w:cols>
          <w:pgMar w:left="320" w:top="455" w:right="49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filed with the Securities and Exchange Commission, or SEC, a registration statement on Form S-1 under the Securities Act of 1933, as amended, with respect to the shares of our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8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of 1934, as amended, and, in accordance with this law, will file periodic reports, proxy statements and other information with the SEC. We also maintain a website at www.pmvpharma.com where these materials will be available. Upon the completion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80"/>
          </w:cols>
          <w:pgMar w:left="320" w:top="455" w:right="49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38"/>
        </w:trPr>
        <w:tc>
          <w:tcPr>
            <w:tcW w:w="10520" w:type="dxa"/>
            <w:vAlign w:val="bottom"/>
            <w:gridSpan w:val="5"/>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6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9"/>
              </w:rPr>
              <w:t>INDEX TO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520" w:type="dxa"/>
            <w:vAlign w:val="bottom"/>
            <w:gridSpan w:val="5"/>
          </w:tcPr>
          <w:p>
            <w:pPr>
              <w:ind w:left="120"/>
              <w:spacing w:after="0"/>
              <w:rPr>
                <w:sz w:val="20"/>
                <w:szCs w:val="20"/>
                <w:color w:val="auto"/>
              </w:rPr>
            </w:pPr>
            <w:r>
              <w:rPr>
                <w:rFonts w:ascii="Arial" w:cs="Arial" w:eastAsia="Arial" w:hAnsi="Arial"/>
                <w:sz w:val="18"/>
                <w:szCs w:val="18"/>
                <w:b w:val="1"/>
                <w:bCs w:val="1"/>
                <w:color w:val="auto"/>
              </w:rPr>
              <w:t>Audited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Report of 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Balance Sheets as of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Statements of Operations and Comprehensive Loss for the Years Ended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Statements of Convertible Preferred Stock and Stockholders’ Deficit for the Years Ended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Statements of Cash Flows for the Years Ended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43"/>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Notes to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26"/>
        </w:trPr>
        <w:tc>
          <w:tcPr>
            <w:tcW w:w="10520" w:type="dxa"/>
            <w:vAlign w:val="bottom"/>
            <w:gridSpan w:val="5"/>
          </w:tcPr>
          <w:p>
            <w:pPr>
              <w:ind w:left="120"/>
              <w:spacing w:after="0"/>
              <w:rPr>
                <w:sz w:val="20"/>
                <w:szCs w:val="20"/>
                <w:color w:val="auto"/>
              </w:rPr>
            </w:pPr>
            <w:r>
              <w:rPr>
                <w:rFonts w:ascii="Arial" w:cs="Arial" w:eastAsia="Arial" w:hAnsi="Arial"/>
                <w:sz w:val="18"/>
                <w:szCs w:val="18"/>
                <w:b w:val="1"/>
                <w:bCs w:val="1"/>
                <w:color w:val="auto"/>
              </w:rPr>
              <w:t>Unaudited Condensed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Condensed Balance Sheets as of December 31, 2019 and June 30, 2020</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Condensed Statements of Operations and Comprehensive Loss for the Six Months Ended June 30, 2019 and 2020</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8"/>
        </w:trPr>
        <w:tc>
          <w:tcPr>
            <w:tcW w:w="10520" w:type="dxa"/>
            <w:vAlign w:val="bottom"/>
            <w:gridSpan w:val="5"/>
          </w:tcPr>
          <w:p>
            <w:pPr>
              <w:ind w:left="480"/>
              <w:spacing w:after="0" w:line="198" w:lineRule="exact"/>
              <w:rPr>
                <w:rFonts w:ascii="Arial" w:cs="Arial" w:eastAsia="Arial" w:hAnsi="Arial"/>
                <w:sz w:val="18"/>
                <w:szCs w:val="18"/>
                <w:color w:val="0000EE"/>
              </w:rPr>
            </w:pPr>
            <w:hyperlink w:anchor="page239">
              <w:r>
                <w:rPr>
                  <w:rFonts w:ascii="Arial" w:cs="Arial" w:eastAsia="Arial" w:hAnsi="Arial"/>
                  <w:sz w:val="18"/>
                  <w:szCs w:val="18"/>
                  <w:color w:val="0000EE"/>
                </w:rPr>
                <w:t>Condensed Statements of Convertible Preferred Stock and Stockholders’ (Deficit) Equity for the Six Months Ended June 30,</w:t>
              </w:r>
            </w:hyperlink>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239">
              <w:r>
                <w:rPr>
                  <w:rFonts w:ascii="Arial" w:cs="Arial" w:eastAsia="Arial" w:hAnsi="Arial"/>
                  <w:sz w:val="18"/>
                  <w:szCs w:val="18"/>
                  <w:color w:val="0000EE"/>
                  <w:w w:val="98"/>
                </w:rPr>
                <w:t>2019 and 2020</w:t>
              </w:r>
            </w:hyperlink>
          </w:p>
        </w:tc>
        <w:tc>
          <w:tcPr>
            <w:tcW w:w="846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60" w:type="dxa"/>
            <w:vAlign w:val="bottom"/>
            <w:gridSpan w:val="2"/>
          </w:tcPr>
          <w:p>
            <w:pPr>
              <w:spacing w:after="0"/>
              <w:rPr>
                <w:sz w:val="16"/>
                <w:szCs w:val="16"/>
                <w:color w:val="auto"/>
              </w:rPr>
            </w:pPr>
          </w:p>
        </w:tc>
        <w:tc>
          <w:tcPr>
            <w:tcW w:w="9860" w:type="dxa"/>
            <w:vAlign w:val="bottom"/>
            <w:gridSpan w:val="3"/>
          </w:tcPr>
          <w:p>
            <w:pPr>
              <w:spacing w:after="0" w:line="187" w:lineRule="exact"/>
              <w:rPr>
                <w:rFonts w:ascii="Arial" w:cs="Arial" w:eastAsia="Arial" w:hAnsi="Arial"/>
                <w:sz w:val="18"/>
                <w:szCs w:val="18"/>
                <w:u w:val="single" w:color="auto"/>
                <w:color w:val="0000EE"/>
              </w:rPr>
            </w:pPr>
            <w:hyperlink w:anchor="page240">
              <w:r>
                <w:rPr>
                  <w:rFonts w:ascii="Arial" w:cs="Arial" w:eastAsia="Arial" w:hAnsi="Arial"/>
                  <w:sz w:val="18"/>
                  <w:szCs w:val="18"/>
                  <w:u w:val="single" w:color="auto"/>
                  <w:color w:val="0000EE"/>
                </w:rPr>
                <w:t>Condensed Statements of Cash Flows for the Six Months Ended June 30, 2019 and 2020</w:t>
              </w:r>
            </w:hyperlink>
          </w:p>
        </w:tc>
        <w:tc>
          <w:tcPr>
            <w:tcW w:w="540" w:type="dxa"/>
            <w:vAlign w:val="bottom"/>
          </w:tcPr>
          <w:p>
            <w:pPr>
              <w:jc w:val="right"/>
              <w:spacing w:after="0" w:line="187" w:lineRule="exact"/>
              <w:rPr>
                <w:sz w:val="20"/>
                <w:szCs w:val="20"/>
                <w:color w:val="auto"/>
              </w:rPr>
            </w:pPr>
            <w:r>
              <w:rPr>
                <w:rFonts w:ascii="Arial" w:cs="Arial" w:eastAsia="Arial" w:hAnsi="Arial"/>
                <w:sz w:val="18"/>
                <w:szCs w:val="18"/>
                <w:color w:val="auto"/>
              </w:rPr>
              <w:t>F-30</w:t>
            </w:r>
          </w:p>
        </w:tc>
        <w:tc>
          <w:tcPr>
            <w:tcW w:w="0" w:type="dxa"/>
            <w:vAlign w:val="bottom"/>
          </w:tcPr>
          <w:p>
            <w:pPr>
              <w:spacing w:after="0"/>
              <w:rPr>
                <w:sz w:val="1"/>
                <w:szCs w:val="1"/>
                <w:color w:val="auto"/>
              </w:rPr>
            </w:pPr>
          </w:p>
        </w:tc>
      </w:tr>
      <w:tr>
        <w:trPr>
          <w:trHeight w:val="243"/>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Notes to Condensed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F-31</w:t>
            </w:r>
          </w:p>
        </w:tc>
        <w:tc>
          <w:tcPr>
            <w:tcW w:w="0" w:type="dxa"/>
            <w:vAlign w:val="bottom"/>
          </w:tcPr>
          <w:p>
            <w:pPr>
              <w:spacing w:after="0"/>
              <w:rPr>
                <w:sz w:val="1"/>
                <w:szCs w:val="1"/>
                <w:color w:val="auto"/>
              </w:rPr>
            </w:pPr>
          </w:p>
        </w:tc>
      </w:tr>
      <w:tr>
        <w:trPr>
          <w:trHeight w:val="351"/>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60" w:type="dxa"/>
            <w:vAlign w:val="bottom"/>
            <w:gridSpan w:val="2"/>
          </w:tcPr>
          <w:p>
            <w:pPr>
              <w:jc w:val="center"/>
              <w:ind w:right="114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60"/>
          </w:cols>
          <w:pgMar w:left="320" w:top="455"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PMV Pharmaceuticals, Inc.</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6"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We have audited the accompanying balance sheets of PMV Pharmaceuticals, Inc. (the Company) as of December 31, 2018 and 2019, the related statements of operations and comprehensive loss, changes in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06"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Pennsylvania</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26, 2020, except for the reverse stock split described in Note 2, as to which the date is September 21, 2020</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55" w:right="51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20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31,600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28,208</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332</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9"/>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1,018</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0"/>
        </w:trPr>
        <w:tc>
          <w:tcPr>
            <w:tcW w:w="83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63,458</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103,033</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1,038</w:t>
            </w:r>
          </w:p>
        </w:tc>
        <w:tc>
          <w:tcPr>
            <w:tcW w:w="4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1,289</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09"/>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(see Note 6)</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8360" w:type="dxa"/>
            <w:vAlign w:val="bottom"/>
          </w:tcPr>
          <w:p>
            <w:pPr>
              <w:spacing w:after="0" w:line="180" w:lineRule="exact"/>
              <w:rPr>
                <w:sz w:val="20"/>
                <w:szCs w:val="20"/>
                <w:color w:val="auto"/>
              </w:rPr>
            </w:pPr>
            <w:r>
              <w:rPr>
                <w:rFonts w:ascii="Arial" w:cs="Arial" w:eastAsia="Arial" w:hAnsi="Arial"/>
                <w:sz w:val="18"/>
                <w:szCs w:val="18"/>
                <w:color w:val="auto"/>
              </w:rPr>
              <w:t>Convertible preferred stock, accumulated liquidation value of $107,512 and $169,385 at</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180"/>
              <w:spacing w:after="0"/>
              <w:rPr>
                <w:sz w:val="20"/>
                <w:szCs w:val="20"/>
                <w:color w:val="auto"/>
              </w:rPr>
            </w:pPr>
            <w:r>
              <w:rPr>
                <w:rFonts w:ascii="Arial" w:cs="Arial" w:eastAsia="Arial" w:hAnsi="Arial"/>
                <w:sz w:val="18"/>
                <w:szCs w:val="18"/>
                <w:color w:val="auto"/>
              </w:rPr>
              <w:t>December 31, 2018 and 2019, respectively (see Note 7)</w:t>
            </w:r>
          </w:p>
        </w:tc>
        <w:tc>
          <w:tcPr>
            <w:tcW w:w="2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107,228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360"/>
              <w:spacing w:after="0" w:line="180" w:lineRule="exact"/>
              <w:rPr>
                <w:sz w:val="20"/>
                <w:szCs w:val="20"/>
                <w:color w:val="auto"/>
              </w:rPr>
            </w:pPr>
            <w:r>
              <w:rPr>
                <w:rFonts w:ascii="Arial" w:cs="Arial" w:eastAsia="Arial" w:hAnsi="Arial"/>
                <w:sz w:val="18"/>
                <w:szCs w:val="18"/>
                <w:color w:val="auto"/>
              </w:rPr>
              <w:t>Common stock, $0.00001 par value, 24,690,889 and 33,250,829 shares authorized;</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540"/>
              <w:spacing w:after="0" w:line="202" w:lineRule="exact"/>
              <w:rPr>
                <w:sz w:val="20"/>
                <w:szCs w:val="20"/>
                <w:color w:val="auto"/>
              </w:rPr>
            </w:pPr>
            <w:r>
              <w:rPr>
                <w:rFonts w:ascii="Arial" w:cs="Arial" w:eastAsia="Arial" w:hAnsi="Arial"/>
                <w:sz w:val="18"/>
                <w:szCs w:val="18"/>
                <w:color w:val="auto"/>
              </w:rPr>
              <w:t>3,012,284 and 3,046,200 shares issued and outstanding at December 31, 2018 and 2019,</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3,961</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4,969</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(50,088)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(75,440)</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8360" w:type="dxa"/>
            <w:vAlign w:val="bottom"/>
          </w:tcPr>
          <w:p>
            <w:pPr>
              <w:ind w:left="72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(46,140)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convertible preferred stock, and stockholders’ deficit</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63,458</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103,033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Statements of Operations and Comprehensive Loss</w:t>
      </w: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1680" w:type="dxa"/>
            <w:vAlign w:val="bottom"/>
            <w:gridSpan w:val="3"/>
          </w:tcPr>
          <w:p>
            <w:pPr>
              <w:jc w:val="right"/>
              <w:ind w:right="7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820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8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82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20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661"/>
              <w:spacing w:after="0" w:line="202" w:lineRule="exact"/>
              <w:rPr>
                <w:sz w:val="20"/>
                <w:szCs w:val="20"/>
                <w:color w:val="auto"/>
              </w:rPr>
            </w:pPr>
            <w:r>
              <w:rPr>
                <w:rFonts w:ascii="Arial" w:cs="Arial" w:eastAsia="Arial" w:hAnsi="Arial"/>
                <w:sz w:val="18"/>
                <w:szCs w:val="18"/>
                <w:color w:val="auto"/>
              </w:rPr>
              <w:t>13,853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20,759</w:t>
            </w: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5,039</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5,878</w:t>
            </w:r>
          </w:p>
        </w:tc>
      </w:tr>
      <w:tr>
        <w:trPr>
          <w:trHeight w:val="217"/>
        </w:trPr>
        <w:tc>
          <w:tcPr>
            <w:tcW w:w="82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7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120" w:type="dxa"/>
            <w:vAlign w:val="bottom"/>
          </w:tcPr>
          <w:p>
            <w:pPr>
              <w:spacing w:after="0"/>
              <w:rPr>
                <w:sz w:val="18"/>
                <w:szCs w:val="18"/>
                <w:color w:val="auto"/>
              </w:rPr>
            </w:pP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01"/>
              <w:spacing w:after="0" w:line="202" w:lineRule="exact"/>
              <w:rPr>
                <w:sz w:val="20"/>
                <w:szCs w:val="20"/>
                <w:color w:val="auto"/>
              </w:rPr>
            </w:pPr>
            <w:r>
              <w:rPr>
                <w:rFonts w:ascii="Arial" w:cs="Arial" w:eastAsia="Arial" w:hAnsi="Arial"/>
                <w:sz w:val="18"/>
                <w:szCs w:val="18"/>
                <w:color w:val="auto"/>
              </w:rPr>
              <w:t>(18,892)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(26,637)</w:t>
            </w:r>
          </w:p>
        </w:tc>
      </w:tr>
      <w:tr>
        <w:trPr>
          <w:trHeight w:val="203"/>
        </w:trPr>
        <w:tc>
          <w:tcPr>
            <w:tcW w:w="820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1,301</w:t>
            </w:r>
          </w:p>
        </w:tc>
      </w:tr>
      <w:tr>
        <w:trPr>
          <w:trHeight w:val="203"/>
        </w:trPr>
        <w:tc>
          <w:tcPr>
            <w:tcW w:w="820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7"/>
                <w:szCs w:val="17"/>
                <w:color w:val="auto"/>
              </w:rPr>
            </w:pPr>
          </w:p>
        </w:tc>
        <w:tc>
          <w:tcPr>
            <w:tcW w:w="1560" w:type="dxa"/>
            <w:vAlign w:val="bottom"/>
            <w:gridSpan w:val="2"/>
          </w:tcPr>
          <w:p>
            <w:pPr>
              <w:jc w:val="right"/>
              <w:ind w:right="661"/>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w:t>
            </w:r>
          </w:p>
        </w:tc>
      </w:tr>
      <w:tr>
        <w:trPr>
          <w:trHeight w:val="27"/>
        </w:trPr>
        <w:tc>
          <w:tcPr>
            <w:tcW w:w="8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other income (expense)</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1,293</w:t>
            </w:r>
          </w:p>
        </w:tc>
      </w:tr>
      <w:tr>
        <w:trPr>
          <w:trHeight w:val="210"/>
        </w:trPr>
        <w:tc>
          <w:tcPr>
            <w:tcW w:w="8200" w:type="dxa"/>
            <w:vAlign w:val="bottom"/>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(17,535)</w:t>
            </w: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(25,344)</w:t>
            </w:r>
          </w:p>
        </w:tc>
        <w:tc>
          <w:tcPr>
            <w:tcW w:w="120" w:type="dxa"/>
            <w:vAlign w:val="bottom"/>
          </w:tcPr>
          <w:p>
            <w:pPr>
              <w:spacing w:after="0"/>
              <w:rPr>
                <w:sz w:val="18"/>
                <w:szCs w:val="18"/>
                <w:color w:val="auto"/>
              </w:rPr>
            </w:pPr>
          </w:p>
        </w:tc>
      </w:tr>
      <w:tr>
        <w:trPr>
          <w:trHeight w:val="203"/>
        </w:trPr>
        <w:tc>
          <w:tcPr>
            <w:tcW w:w="82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w:t>
            </w:r>
          </w:p>
        </w:tc>
      </w:tr>
      <w:tr>
        <w:trPr>
          <w:trHeight w:val="209"/>
        </w:trPr>
        <w:tc>
          <w:tcPr>
            <w:tcW w:w="82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(17,538)</w:t>
            </w: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(25,352)</w:t>
            </w:r>
          </w:p>
        </w:tc>
        <w:tc>
          <w:tcPr>
            <w:tcW w:w="120" w:type="dxa"/>
            <w:vAlign w:val="bottom"/>
          </w:tcPr>
          <w:p>
            <w:pPr>
              <w:spacing w:after="0"/>
              <w:rPr>
                <w:sz w:val="18"/>
                <w:szCs w:val="18"/>
                <w:color w:val="auto"/>
              </w:rPr>
            </w:pP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Unrealized gains on marketable securities, net of tax</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10</w:t>
            </w:r>
          </w:p>
        </w:tc>
      </w:tr>
      <w:tr>
        <w:trPr>
          <w:trHeight w:val="209"/>
        </w:trPr>
        <w:tc>
          <w:tcPr>
            <w:tcW w:w="8200" w:type="dxa"/>
            <w:vAlign w:val="bottom"/>
          </w:tcPr>
          <w:p>
            <w:pPr>
              <w:ind w:left="360"/>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(17,486</w:t>
            </w:r>
          </w:p>
        </w:tc>
        <w:tc>
          <w:tcPr>
            <w:tcW w:w="740" w:type="dxa"/>
            <w:vAlign w:val="bottom"/>
          </w:tcPr>
          <w:p>
            <w:pPr>
              <w:jc w:val="right"/>
              <w:ind w:right="6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20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Net loss per share—basic and diluted</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601"/>
              <w:spacing w:after="0" w:line="196" w:lineRule="exact"/>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(8.35)</w:t>
            </w:r>
          </w:p>
        </w:tc>
      </w:tr>
      <w:tr>
        <w:trPr>
          <w:trHeight w:val="203"/>
        </w:trPr>
        <w:tc>
          <w:tcPr>
            <w:tcW w:w="8200" w:type="dxa"/>
            <w:vAlign w:val="bottom"/>
          </w:tcPr>
          <w:p>
            <w:pPr>
              <w:ind w:left="36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120" w:type="dxa"/>
            <w:vAlign w:val="bottom"/>
          </w:tcPr>
          <w:p>
            <w:pPr>
              <w:spacing w:after="0"/>
              <w:rPr>
                <w:sz w:val="17"/>
                <w:szCs w:val="17"/>
                <w:color w:val="auto"/>
              </w:rPr>
            </w:pPr>
          </w:p>
        </w:tc>
        <w:tc>
          <w:tcPr>
            <w:tcW w:w="1560" w:type="dxa"/>
            <w:vAlign w:val="bottom"/>
            <w:gridSpan w:val="2"/>
          </w:tcPr>
          <w:p>
            <w:pPr>
              <w:jc w:val="right"/>
              <w:ind w:right="661"/>
              <w:spacing w:after="0" w:line="202" w:lineRule="exact"/>
              <w:rPr>
                <w:sz w:val="20"/>
                <w:szCs w:val="20"/>
                <w:color w:val="auto"/>
              </w:rPr>
            </w:pPr>
            <w:r>
              <w:rPr>
                <w:rFonts w:ascii="Arial" w:cs="Arial" w:eastAsia="Arial" w:hAnsi="Arial"/>
                <w:sz w:val="18"/>
                <w:szCs w:val="18"/>
                <w:color w:val="auto"/>
                <w:w w:val="99"/>
              </w:rPr>
              <w:t>3,012,284</w:t>
            </w:r>
          </w:p>
        </w:tc>
        <w:tc>
          <w:tcPr>
            <w:tcW w:w="100" w:type="dxa"/>
            <w:vAlign w:val="bottom"/>
          </w:tcPr>
          <w:p>
            <w:pPr>
              <w:spacing w:after="0"/>
              <w:rPr>
                <w:sz w:val="17"/>
                <w:szCs w:val="17"/>
                <w:color w:val="auto"/>
              </w:rPr>
            </w:pPr>
          </w:p>
        </w:tc>
        <w:tc>
          <w:tcPr>
            <w:tcW w:w="10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3,035,243</w:t>
            </w:r>
          </w:p>
        </w:tc>
      </w:tr>
      <w:tr>
        <w:trPr>
          <w:trHeight w:val="203"/>
        </w:trPr>
        <w:tc>
          <w:tcPr>
            <w:tcW w:w="8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net loss per share—basic and diluted (unaudited)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(0.81)</w:t>
            </w:r>
          </w:p>
        </w:tc>
      </w:tr>
      <w:tr>
        <w:trPr>
          <w:trHeight w:val="243"/>
        </w:trPr>
        <w:tc>
          <w:tcPr>
            <w:tcW w:w="8200" w:type="dxa"/>
            <w:vAlign w:val="bottom"/>
          </w:tcPr>
          <w:p>
            <w:pPr>
              <w:ind w:left="360"/>
              <w:spacing w:after="0"/>
              <w:rPr>
                <w:sz w:val="20"/>
                <w:szCs w:val="20"/>
                <w:color w:val="auto"/>
              </w:rPr>
            </w:pPr>
            <w:r>
              <w:rPr>
                <w:rFonts w:ascii="Arial" w:cs="Arial" w:eastAsia="Arial" w:hAnsi="Arial"/>
                <w:sz w:val="18"/>
                <w:szCs w:val="18"/>
                <w:color w:val="auto"/>
              </w:rPr>
              <w:t>Pro forma weighted-average common shares outstanding (unaudited)</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w w:val="99"/>
              </w:rPr>
              <w:t>31,223,353</w:t>
            </w: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jc w:val="center"/>
        <w:ind w:right="-15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080"/>
          </w:cols>
          <w:pgMar w:left="320" w:top="455" w:right="499" w:bottom="1440" w:gutter="0" w:footer="0" w:header="0"/>
        </w:sectPr>
      </w:pP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9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2360" w:type="dxa"/>
            <w:vAlign w:val="bottom"/>
          </w:tcPr>
          <w:p>
            <w:pPr>
              <w:spacing w:after="0"/>
              <w:rPr>
                <w:sz w:val="15"/>
                <w:szCs w:val="15"/>
                <w:color w:val="auto"/>
              </w:rPr>
            </w:pPr>
          </w:p>
        </w:tc>
        <w:tc>
          <w:tcPr>
            <w:tcW w:w="192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10"/>
        </w:trPr>
        <w:tc>
          <w:tcPr>
            <w:tcW w:w="2360" w:type="dxa"/>
            <w:vAlign w:val="bottom"/>
            <w:vMerge w:val="restart"/>
          </w:tcPr>
          <w:p>
            <w:pPr>
              <w:spacing w:after="0"/>
              <w:rPr>
                <w:sz w:val="20"/>
                <w:szCs w:val="20"/>
                <w:color w:val="auto"/>
              </w:rPr>
            </w:pPr>
            <w:r>
              <w:rPr>
                <w:rFonts w:ascii="Arial" w:cs="Arial" w:eastAsia="Arial" w:hAnsi="Arial"/>
                <w:sz w:val="18"/>
                <w:szCs w:val="18"/>
                <w:color w:val="auto"/>
              </w:rPr>
              <w:t>Balances at December 31,</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2017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17,396,640</w:t>
            </w:r>
          </w:p>
        </w:tc>
        <w:tc>
          <w:tcPr>
            <w:tcW w:w="1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$107,228</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expense</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Unrealized gain 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360" w:type="dxa"/>
            <w:vAlign w:val="bottom"/>
          </w:tcPr>
          <w:p>
            <w:pPr>
              <w:spacing w:after="0" w:line="187" w:lineRule="exact"/>
              <w:rPr>
                <w:sz w:val="20"/>
                <w:szCs w:val="20"/>
                <w:color w:val="auto"/>
              </w:rPr>
            </w:pPr>
            <w:r>
              <w:rPr>
                <w:rFonts w:ascii="Arial" w:cs="Arial" w:eastAsia="Arial" w:hAnsi="Arial"/>
                <w:sz w:val="18"/>
                <w:szCs w:val="18"/>
                <w:color w:val="auto"/>
              </w:rPr>
              <w:t>Balances at December 31,</w:t>
            </w: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60" w:type="dxa"/>
            <w:vAlign w:val="bottom"/>
          </w:tcPr>
          <w:p>
            <w:pPr>
              <w:ind w:left="180"/>
              <w:spacing w:after="0"/>
              <w:rPr>
                <w:sz w:val="20"/>
                <w:szCs w:val="20"/>
                <w:color w:val="auto"/>
              </w:rPr>
            </w:pPr>
            <w:r>
              <w:rPr>
                <w:rFonts w:ascii="Arial" w:cs="Arial" w:eastAsia="Arial" w:hAnsi="Arial"/>
                <w:sz w:val="18"/>
                <w:szCs w:val="18"/>
                <w:color w:val="auto"/>
              </w:rPr>
              <w:t>2018</w:t>
            </w:r>
          </w:p>
        </w:tc>
        <w:tc>
          <w:tcPr>
            <w:tcW w:w="960" w:type="dxa"/>
            <w:vAlign w:val="bottom"/>
          </w:tcPr>
          <w:p>
            <w:pPr>
              <w:jc w:val="right"/>
              <w:spacing w:after="0"/>
              <w:rPr>
                <w:sz w:val="20"/>
                <w:szCs w:val="20"/>
                <w:color w:val="auto"/>
              </w:rPr>
            </w:pPr>
            <w:r>
              <w:rPr>
                <w:rFonts w:ascii="Arial" w:cs="Arial" w:eastAsia="Arial" w:hAnsi="Arial"/>
                <w:sz w:val="18"/>
                <w:szCs w:val="18"/>
                <w:color w:val="auto"/>
              </w:rPr>
              <w:t>17,396,640</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107,228</w:t>
            </w:r>
          </w:p>
        </w:tc>
        <w:tc>
          <w:tcPr>
            <w:tcW w:w="0" w:type="dxa"/>
            <w:vAlign w:val="bottom"/>
          </w:tcPr>
          <w:p>
            <w:pPr>
              <w:spacing w:after="0"/>
              <w:rPr>
                <w:sz w:val="1"/>
                <w:szCs w:val="1"/>
                <w:color w:val="auto"/>
              </w:rPr>
            </w:pPr>
          </w:p>
        </w:tc>
      </w:tr>
      <w:tr>
        <w:trPr>
          <w:trHeight w:val="187"/>
        </w:trPr>
        <w:tc>
          <w:tcPr>
            <w:tcW w:w="2360" w:type="dxa"/>
            <w:vAlign w:val="bottom"/>
          </w:tcPr>
          <w:p>
            <w:pPr>
              <w:spacing w:after="0" w:line="187" w:lineRule="exact"/>
              <w:rPr>
                <w:sz w:val="20"/>
                <w:szCs w:val="20"/>
                <w:color w:val="auto"/>
              </w:rPr>
            </w:pPr>
            <w:r>
              <w:rPr>
                <w:rFonts w:ascii="Arial" w:cs="Arial" w:eastAsia="Arial" w:hAnsi="Arial"/>
                <w:sz w:val="18"/>
                <w:szCs w:val="18"/>
                <w:color w:val="auto"/>
              </w:rPr>
              <w:t>Issuance of Series C</w:t>
            </w: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convertible preferred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stock, net of issuance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costs of $168</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5,469,606</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61,705</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Exercise of stock options</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expense</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color w:val="auto"/>
              </w:rPr>
              <w:t>Unrealized gain 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360" w:type="dxa"/>
            <w:vAlign w:val="bottom"/>
          </w:tcPr>
          <w:p>
            <w:pPr>
              <w:spacing w:after="0" w:line="187" w:lineRule="exact"/>
              <w:rPr>
                <w:sz w:val="20"/>
                <w:szCs w:val="20"/>
                <w:color w:val="auto"/>
              </w:rPr>
            </w:pPr>
            <w:r>
              <w:rPr>
                <w:rFonts w:ascii="Arial" w:cs="Arial" w:eastAsia="Arial" w:hAnsi="Arial"/>
                <w:sz w:val="18"/>
                <w:szCs w:val="18"/>
                <w:color w:val="auto"/>
              </w:rPr>
              <w:t>Balances at December 31,</w:t>
            </w: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60" w:type="dxa"/>
            <w:vAlign w:val="bottom"/>
          </w:tcPr>
          <w:p>
            <w:pPr>
              <w:ind w:left="180"/>
              <w:spacing w:after="0"/>
              <w:rPr>
                <w:sz w:val="20"/>
                <w:szCs w:val="20"/>
                <w:color w:val="auto"/>
              </w:rPr>
            </w:pPr>
            <w:r>
              <w:rPr>
                <w:rFonts w:ascii="Arial" w:cs="Arial" w:eastAsia="Arial" w:hAnsi="Arial"/>
                <w:sz w:val="18"/>
                <w:szCs w:val="18"/>
                <w:color w:val="auto"/>
              </w:rPr>
              <w:t>2019</w:t>
            </w:r>
          </w:p>
        </w:tc>
        <w:tc>
          <w:tcPr>
            <w:tcW w:w="960" w:type="dxa"/>
            <w:vAlign w:val="bottom"/>
          </w:tcPr>
          <w:p>
            <w:pPr>
              <w:jc w:val="right"/>
              <w:spacing w:after="0"/>
              <w:rPr>
                <w:sz w:val="20"/>
                <w:szCs w:val="20"/>
                <w:color w:val="auto"/>
              </w:rPr>
            </w:pPr>
            <w:r>
              <w:rPr>
                <w:rFonts w:ascii="Arial" w:cs="Arial" w:eastAsia="Arial" w:hAnsi="Arial"/>
                <w:sz w:val="18"/>
                <w:szCs w:val="18"/>
                <w:color w:val="auto"/>
              </w:rPr>
              <w:t>22,866,246</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0"/>
        </w:trPr>
        <w:tc>
          <w:tcPr>
            <w:tcW w:w="1400" w:type="dxa"/>
            <w:vAlign w:val="bottom"/>
            <w:tcBorders>
              <w:bottom w:val="single" w:sz="8" w:color="auto"/>
            </w:tcBorders>
            <w:gridSpan w:val="3"/>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9"/>
                <w:szCs w:val="9"/>
                <w:color w:val="auto"/>
              </w:rPr>
            </w:pPr>
          </w:p>
        </w:tc>
        <w:tc>
          <w:tcPr>
            <w:tcW w:w="13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2"/>
        </w:trPr>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880" w:type="dxa"/>
            <w:vAlign w:val="bottom"/>
          </w:tcPr>
          <w:p>
            <w:pPr>
              <w:jc w:val="right"/>
              <w:ind w:right="11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880" w:type="dxa"/>
            <w:vAlign w:val="bottom"/>
          </w:tcPr>
          <w:p>
            <w:pPr>
              <w:jc w:val="right"/>
              <w:spacing w:after="0"/>
              <w:rPr>
                <w:sz w:val="20"/>
                <w:szCs w:val="20"/>
                <w:color w:val="auto"/>
              </w:rPr>
            </w:pPr>
            <w:r>
              <w:rPr>
                <w:rFonts w:ascii="Arial" w:cs="Arial" w:eastAsia="Arial" w:hAnsi="Arial"/>
                <w:sz w:val="18"/>
                <w:szCs w:val="18"/>
                <w:color w:val="auto"/>
              </w:rPr>
              <w:t>3,012,284</w:t>
            </w:r>
          </w:p>
        </w:tc>
        <w:tc>
          <w:tcPr>
            <w:tcW w:w="5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2,882</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(32,550)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(29,733)</w:t>
            </w:r>
          </w:p>
        </w:tc>
        <w:tc>
          <w:tcPr>
            <w:tcW w:w="0" w:type="dxa"/>
            <w:vAlign w:val="bottom"/>
          </w:tcPr>
          <w:p>
            <w:pPr>
              <w:spacing w:after="0"/>
              <w:rPr>
                <w:sz w:val="1"/>
                <w:szCs w:val="1"/>
                <w:color w:val="auto"/>
              </w:rPr>
            </w:pPr>
          </w:p>
        </w:tc>
      </w:tr>
      <w:tr>
        <w:trPr>
          <w:trHeight w:val="365"/>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43"/>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(17,538)</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(17,538)</w:t>
            </w:r>
          </w:p>
        </w:tc>
        <w:tc>
          <w:tcPr>
            <w:tcW w:w="0" w:type="dxa"/>
            <w:vAlign w:val="bottom"/>
          </w:tcPr>
          <w:p>
            <w:pPr>
              <w:spacing w:after="0"/>
              <w:rPr>
                <w:sz w:val="1"/>
                <w:szCs w:val="1"/>
                <w:color w:val="auto"/>
              </w:rPr>
            </w:pPr>
          </w:p>
        </w:tc>
      </w:tr>
      <w:tr>
        <w:trPr>
          <w:trHeight w:val="590"/>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3,012,284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(50,088)</w:t>
            </w:r>
          </w:p>
        </w:tc>
        <w:tc>
          <w:tcPr>
            <w:tcW w:w="1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(46,140)</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 w:type="dxa"/>
            <w:vAlign w:val="bottom"/>
          </w:tcPr>
          <w:p>
            <w:pPr>
              <w:jc w:val="right"/>
              <w:spacing w:after="0"/>
              <w:rPr>
                <w:sz w:val="20"/>
                <w:szCs w:val="20"/>
                <w:color w:val="auto"/>
              </w:rPr>
            </w:pPr>
            <w:r>
              <w:rPr>
                <w:rFonts w:ascii="Arial" w:cs="Arial" w:eastAsia="Arial" w:hAnsi="Arial"/>
                <w:sz w:val="18"/>
                <w:szCs w:val="18"/>
                <w:color w:val="auto"/>
              </w:rPr>
              <w:t>33,916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43"/>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(25,352)</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590"/>
        </w:trPr>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3,046,200</w:t>
            </w:r>
          </w:p>
        </w:tc>
        <w:tc>
          <w:tcPr>
            <w:tcW w:w="52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4,969</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(75,440)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(70,474)</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-3445510</wp:posOffset>
            </wp:positionV>
            <wp:extent cx="6995160" cy="3454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3454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460"/>
            <w:col w:w="6220"/>
          </w:cols>
          <w:pgMar w:left="320" w:top="455" w:right="499" w:bottom="1440" w:gutter="0" w:footer="0" w:header="0"/>
          <w:type w:val="continuous"/>
        </w:sectPr>
      </w:pP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320" w:top="455" w:right="499" w:bottom="1440" w:gutter="0" w:footer="0" w:header="0"/>
          <w:type w:val="continuous"/>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(17,538)</w:t>
            </w:r>
          </w:p>
        </w:tc>
        <w:tc>
          <w:tcPr>
            <w:tcW w:w="5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1,079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premiums on marketable securities</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9"/>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(15,178)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property and equipment</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(452)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Purchase of marketable securities</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(48,678)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(43,452)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70,823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46,792</w:t>
            </w:r>
          </w:p>
        </w:tc>
        <w:tc>
          <w:tcPr>
            <w:tcW w:w="0" w:type="dxa"/>
            <w:vAlign w:val="bottom"/>
          </w:tcPr>
          <w:p>
            <w:pPr>
              <w:spacing w:after="0"/>
              <w:rPr>
                <w:sz w:val="1"/>
                <w:szCs w:val="1"/>
                <w:color w:val="auto"/>
              </w:rPr>
            </w:pPr>
          </w:p>
        </w:tc>
      </w:tr>
      <w:tr>
        <w:trPr>
          <w:trHeight w:val="217"/>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Proceeds from issuance of convertible preferred stock</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61,873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equity issuance costs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9"/>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61,805</w:t>
            </w:r>
          </w:p>
        </w:tc>
        <w:tc>
          <w:tcPr>
            <w:tcW w:w="0" w:type="dxa"/>
            <w:vAlign w:val="bottom"/>
          </w:tcPr>
          <w:p>
            <w:pPr>
              <w:spacing w:after="0"/>
              <w:rPr>
                <w:sz w:val="1"/>
                <w:szCs w:val="1"/>
                <w:color w:val="auto"/>
              </w:rPr>
            </w:pPr>
          </w:p>
        </w:tc>
      </w:tr>
      <w:tr>
        <w:trPr>
          <w:trHeight w:val="210"/>
        </w:trPr>
        <w:tc>
          <w:tcPr>
            <w:tcW w:w="8360" w:type="dxa"/>
            <w:vAlign w:val="bottom"/>
          </w:tcPr>
          <w:p>
            <w:pPr>
              <w:ind w:left="108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line="202" w:lineRule="exact"/>
              <w:rPr>
                <w:sz w:val="20"/>
                <w:szCs w:val="20"/>
                <w:color w:val="auto"/>
              </w:rPr>
            </w:pPr>
            <w:r>
              <w:rPr>
                <w:rFonts w:ascii="Arial" w:cs="Arial" w:eastAsia="Arial" w:hAnsi="Arial"/>
                <w:sz w:val="18"/>
                <w:szCs w:val="18"/>
                <w:color w:val="auto"/>
              </w:rPr>
              <w:t>Cash and cash equivalents—beginning of period</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23,792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equivalents—end of period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5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paid for income tax</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 Formation and Business of the Company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Organization</w:t>
      </w:r>
    </w:p>
    <w:p>
      <w:pPr>
        <w:spacing w:after="0" w:line="104" w:lineRule="exact"/>
        <w:rPr>
          <w:sz w:val="20"/>
          <w:szCs w:val="20"/>
          <w:color w:val="auto"/>
        </w:rPr>
      </w:pPr>
    </w:p>
    <w:p>
      <w:pPr>
        <w:ind w:left="120" w:right="240" w:firstLine="551"/>
        <w:spacing w:after="0" w:line="248" w:lineRule="auto"/>
        <w:rPr>
          <w:sz w:val="20"/>
          <w:szCs w:val="20"/>
          <w:color w:val="auto"/>
        </w:rPr>
      </w:pPr>
      <w:r>
        <w:rPr>
          <w:rFonts w:ascii="Arial" w:cs="Arial" w:eastAsia="Arial" w:hAnsi="Arial"/>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mutations. The Company’s headquarters are located in Cranbury, New Jersey.</w:t>
      </w:r>
    </w:p>
    <w:p>
      <w:pPr>
        <w:spacing w:after="0" w:line="170"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8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The Company has incurred net losses and negative cash flows from operations. During the year ended December 31, 2019, the Company incurred a net loss of $25,352 and used $22,065 of cash for operations. At December 31, 2019, the Company had accumulated deficit of $75,440. Cash, cash equivalents and short-term marketable securities at December 31, 2019 were $101,486. Management expects to incur substantial additional operating losses for the next several years and will need to obtain additional debt or equity financings in order to complete development of its products, obtain regulatory approvals, launch and commercialize its products and continue research and development programs. The Company believes it has adequate cash and financial resources to operate for at least the next twelve months from the date of issuance of these financial statements.</w:t>
      </w:r>
    </w:p>
    <w:p>
      <w:pPr>
        <w:spacing w:after="0" w:line="287" w:lineRule="exact"/>
        <w:rPr>
          <w:sz w:val="20"/>
          <w:szCs w:val="20"/>
          <w:color w:val="auto"/>
        </w:rPr>
      </w:pPr>
    </w:p>
    <w:p>
      <w:pPr>
        <w:ind w:left="660" w:right="6980" w:hanging="544"/>
        <w:spacing w:after="0" w:line="360" w:lineRule="auto"/>
        <w:tabs>
          <w:tab w:leader="none" w:pos="309" w:val="left"/>
        </w:tabs>
        <w:numPr>
          <w:ilvl w:val="0"/>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Presentation</w:t>
      </w:r>
    </w:p>
    <w:p>
      <w:pPr>
        <w:ind w:left="120" w:right="180" w:firstLine="551"/>
        <w:spacing w:after="0" w:line="260" w:lineRule="auto"/>
        <w:rPr>
          <w:sz w:val="20"/>
          <w:szCs w:val="20"/>
          <w:color w:val="auto"/>
        </w:rPr>
      </w:pPr>
      <w:r>
        <w:rPr>
          <w:rFonts w:ascii="Arial" w:cs="Arial" w:eastAsia="Arial" w:hAnsi="Arial"/>
          <w:sz w:val="17"/>
          <w:szCs w:val="17"/>
          <w:color w:val="auto"/>
        </w:rPr>
        <w:t>The accompanying financial statements have been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 The accompanying financial statements have been prepared on a going concern basis, which contemplates the realization of assets and the satisfaction of liabilities and commitments in the ordinary course of business. The Company has limited operating history and its prospects are subject to risks, expenses and uncertainties frequently encountered by companies in the biotechnology industry.</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4"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In September 2020, the Company’s Board of Directors and stockholders approved an amendment to the Company’s amended and restated certificate of incorporation to effect a 5.2651-for-1 reverse stock split of the Company’s common stock and convertible preferred stock,</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55" w:right="49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color w:val="auto"/>
        </w:rPr>
        <w:t>which was effected on September 18, 2020. The par value of the common stock and convertible preferred stock were not adjusted as a result of the reverse stock split. Accordingly, all common stock, convertible preferred stock, stock options, and related per share amounts in these audited annual and unaudited interm financial statements have been retroactively adjusted for all periods presented to give effect to the reverse stock split.</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0" w:right="300" w:firstLine="551"/>
        <w:spacing w:after="0" w:line="24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the fair values of common stock, convertible preferred stock and stock-based compensation. Actual results could differ materially from those estimates.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left="120" w:right="500" w:firstLine="551"/>
        <w:spacing w:after="0" w:line="243"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9" w:lineRule="exact"/>
        <w:rPr>
          <w:sz w:val="20"/>
          <w:szCs w:val="20"/>
          <w:color w:val="auto"/>
        </w:rPr>
      </w:pPr>
    </w:p>
    <w:p>
      <w:pPr>
        <w:ind w:left="880" w:right="100" w:hanging="224"/>
        <w:spacing w:after="0" w:line="276"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1 - Inputs that reflect unadjusted quoted prices in active markets for identical assets or liabilities that the Company has the ability to access at the measurement date.</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observable for the asset or liability either directly or indirectly, including inputs in markets that are not considered to be active.</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Level 3 - Inputs are unobservable in which there is little or no market data available, which require the reporting entity to develop its own assumptions that are unobservable.</w:t>
      </w:r>
    </w:p>
    <w:p>
      <w:pPr>
        <w:spacing w:after="0" w:line="145"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212"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Company’s marketable debt securities have been classified and accounted for as available-for-sale. The Company classifies its marketable debt securities as either short-term or long-</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5" w:right="4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deficit. Premiums and discounts on marketable debt securities are amortized into earnings over the life of the security, which is recorded in Interest income, net. For the years ending December 31, 2018 and 2019, the Company recorded $319 and $62 of amortization, respectively.</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Property and equipment are recorded at cost net of accumulated depreciation. Property and equipment are depreciated using the straight-line method over the estimated useful lives of the assets, generally five years, except for leasehold improvements, which are amortized over the remaining term of the lease.</w:t>
      </w:r>
    </w:p>
    <w:p>
      <w:pPr>
        <w:spacing w:after="0" w:line="164" w:lineRule="exact"/>
        <w:rPr>
          <w:sz w:val="20"/>
          <w:szCs w:val="20"/>
          <w:color w:val="auto"/>
        </w:rPr>
      </w:pPr>
    </w:p>
    <w:p>
      <w:pPr>
        <w:ind w:left="120" w:right="400" w:firstLine="551"/>
        <w:spacing w:after="0" w:line="276" w:lineRule="auto"/>
        <w:rPr>
          <w:sz w:val="20"/>
          <w:szCs w:val="20"/>
          <w:color w:val="auto"/>
        </w:rPr>
      </w:pPr>
      <w:r>
        <w:rPr>
          <w:rFonts w:ascii="Arial" w:cs="Arial" w:eastAsia="Arial" w:hAnsi="Arial"/>
          <w:sz w:val="18"/>
          <w:szCs w:val="18"/>
          <w:color w:val="auto"/>
        </w:rPr>
        <w:t>Upon retirement or sale of assets, the cost and related accumulated depreciation are removed from the balance sheet and the resulting gain or loss is reflected in operations. Repairs and maintenance costs are charged to operations as incurred.</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Long-lived assets, which are comprised of property and equipment to be held and used are tested for recoverability whenever events or changes in the business environment indicate that the carrying amount of the assets may not be fully recoverable. Factors considered by the Company when deciding when to perform an impairment review include significant underperformance of the business against expectations, significant negative industry or economic trends and significant changes or planned changes in the use of the assets. If an impairment review is performed to evaluate a long-lived asset for recoverability, the Company compares forecasts of undiscounted cash flows resulting from the use and eventual disposition of the long-lived asset to its carrying value. An impairment loss would be recognized when estimated undiscounted future cash flows resulting from the use of an asset are less than its carrying amount. The impairment loss would be based on the excess of the carrying value of the impaired asset over its current fair value. To date, the Company has not recorded any impairment losses on long-lived assets.</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04"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The Company recorded $52 and $10 in other comprehensive income related to unrealized gains on marketable securities, net of tax for the years ended December 31, 2018 and 2019, respectively. The Company presents comprehensive income in a single statement within its financial statements.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jc w:val="both"/>
        <w:ind w:left="120" w:right="300" w:firstLine="551"/>
        <w:spacing w:after="0" w:line="277" w:lineRule="auto"/>
        <w:rPr>
          <w:sz w:val="20"/>
          <w:szCs w:val="20"/>
          <w:color w:val="auto"/>
        </w:rPr>
      </w:pPr>
      <w:r>
        <w:rPr>
          <w:rFonts w:ascii="Arial" w:cs="Arial" w:eastAsia="Arial" w:hAnsi="Arial"/>
          <w:sz w:val="17"/>
          <w:szCs w:val="17"/>
          <w:color w:val="auto"/>
        </w:rPr>
        <w:t>Research and development expenses include costs directly attributable to the conduct of research and development programs, including compensation costs, which includes allocated stock-based compensation, salary payroll taxes, employee benefits; materials; supplies; depreciation on and maintenance of research equipment; the cost of services provided by outside contractors; and the</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5" w:right="49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allocable portions of facility costs, such as rent, utilities, insurance, repairs and maintenance, depreciation, and general support services. Costs for certain research and development activities are recognized based on the terms of the individual arrangements, which may differ from the pattern of costs incurred, and are reflected in the financial statements as a prepaid expenses or as accrued research and development expenses. All costs associated with research and development are expensed as incurred.</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0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The Company’s convertible preferred stock is classified outside of stockholders’ deficit because the shares contain deemed liquidation rights that are a contingent redemption feature not solely within the control of the Company. The Company’s policy is not to accrete the carrying value and related issuance costs of the convertible preferred stock to its redemption value until it is probable that the security will become redeemable.</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0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Company may issue certain financial instruments with embedded features which may be accounted for as separate derivative assets or liabilities, dependent on their specific contractual terms or other conditions. These derivative assets or liabilities are required to be measured at fair value at issuance and remeasured at the end of each reporting period. To determine the fair value of these instruments the Company uses a discounted cash flow analysis, as these instruments are not quoted on an active market. Increases or decreases in fair value from initial measurement and each reporting period are recorded in the statement of operations and comprehensive loss as change in fair value of derivative liabilities.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The Company’s share-based compensation program allows for grants of stock options and restricted stock awards. Grants are awarded to employees and non-employees, including directors.</w:t>
      </w:r>
    </w:p>
    <w:p>
      <w:pPr>
        <w:spacing w:after="0" w:line="14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The Company accounts for stock-based employee compensation arrangements in accordance with provisions of ASC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w:t>
      </w:r>
      <w:r>
        <w:rPr>
          <w:rFonts w:ascii="Arial" w:cs="Arial" w:eastAsia="Arial" w:hAnsi="Arial"/>
          <w:sz w:val="18"/>
          <w:szCs w:val="18"/>
          <w:i w:val="1"/>
          <w:iCs w:val="1"/>
          <w:color w:val="auto"/>
        </w:rPr>
        <w:t xml:space="preserve">. </w:t>
      </w:r>
      <w:r>
        <w:rPr>
          <w:rFonts w:ascii="Arial" w:cs="Arial" w:eastAsia="Arial" w:hAnsi="Arial"/>
          <w:sz w:val="18"/>
          <w:szCs w:val="18"/>
          <w:color w:val="auto"/>
        </w:rPr>
        <w:t>ASC 718 requires the recognition of compensation expense, using a fair-value based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for costs related to all share-based payments including stock options. ASC 718 requires companies to estimate the fair value of share-based payment awards on the date of grant using an option pricing or equity valuation model that is applied in a manner consistent with the fair value measurement objectives of ASC 718, is based on established principles of financial theory and reflects all of the substantive terms and conditions of the award. The Company uses the Black-Scholes option-pricing model (“Black-Scholes”) to value stock option grants to employees, non-employees and directors. The fair value of the Company’s common stock is used to determine the fair value of restricted stock awards and stock options.</w:t>
      </w:r>
    </w:p>
    <w:p>
      <w:pPr>
        <w:spacing w:after="0" w:line="180"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The Company’s stock-based compensation awards are subject to either service or performance-based vesting conditions.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40"/>
          </w:cols>
          <w:pgMar w:left="320" w:top="455" w:right="5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800"/>
        <w:spacing w:after="0" w:line="276" w:lineRule="auto"/>
        <w:rPr>
          <w:sz w:val="20"/>
          <w:szCs w:val="20"/>
          <w:color w:val="auto"/>
        </w:rPr>
      </w:pPr>
      <w:r>
        <w:rPr>
          <w:rFonts w:ascii="Arial" w:cs="Arial" w:eastAsia="Arial" w:hAnsi="Arial"/>
          <w:sz w:val="18"/>
          <w:szCs w:val="18"/>
          <w:color w:val="auto"/>
        </w:rPr>
        <w:t>recognized based on grant date fair value over the requisite service period using the accelerated attribution method to the extent achievement of the of performance condition is probable.</w:t>
      </w:r>
    </w:p>
    <w:p>
      <w:pPr>
        <w:spacing w:after="0" w:line="145"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Black-Scholes option pricing model requires inputs based on certain subjective assumptions, including (i) the expected stock price volatility, (ii) the expected term of the award, (iii) the risk-free interest rate and (iv) 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76"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Non-employee option awards are measured at the earlier of the commitment date for performance by the counterparty or the date when performance is complete, and compensation expense is recognized in the same manner as if we had paid cash for goods or services.</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Due to the absence of an active market for the Company’s common stock, the Company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Company’s capital stock (including convertible preferred stock), the effect of the rights and preferences of the preferred shareholders,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04"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Operating Decision Maker to make decisions with respect to resource allocation and assessment of performance. To date, the Company has viewed its operations and manages its business as one operating segment.</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04" w:lineRule="exact"/>
        <w:rPr>
          <w:sz w:val="20"/>
          <w:szCs w:val="20"/>
          <w:color w:val="auto"/>
        </w:rPr>
      </w:pPr>
    </w:p>
    <w:p>
      <w:pPr>
        <w:ind w:left="120" w:right="520" w:firstLine="551"/>
        <w:spacing w:after="0" w:line="276" w:lineRule="auto"/>
        <w:rPr>
          <w:sz w:val="20"/>
          <w:szCs w:val="20"/>
          <w:color w:val="auto"/>
        </w:rPr>
      </w:pPr>
      <w:r>
        <w:rPr>
          <w:rFonts w:ascii="Arial" w:cs="Arial" w:eastAsia="Arial" w:hAnsi="Arial"/>
          <w:sz w:val="18"/>
          <w:szCs w:val="18"/>
          <w:color w:val="auto"/>
        </w:rPr>
        <w:t>Basic net loss per share is computed using the “two-class” method which includes the weighted average number of shares of common stock outstanding during the period and other securities that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participate in dividends (a participating security). The Company’s convertible preferred stock are participating securities as defined by ASC 260-10,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During the periods where the Company incurs net losses, the Company allocates no loss to participating securities because these securities have no contractual obligation to share in the losses of the Company. Under the two-class method, basic net loss per share applicable to common stockholders is computed by dividing the net loss applicable to common stockholders by the weighted average number of common shares outstanding for the period. Diluted net loss per share is computed similar to basic net loss per share except that the denominator is increased to include the number of additional shares for the potential dilutive effects of a warrant, convertible preferred stock and stock options outstanding during the period calculated in accordance with the treasury stock method, or the two-class method, whichever is more dilutive. The Company allocates net earnings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(equal) basis to both common and preferred stockholders. Net losses are not allocated to preferred stockholders as they do not have an obligation to share in the Company’s net losses. For all periods presented, basic and diluted net loss per share are the same, as any additional share equivalents would be anti-dilutive.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 outstanding shares of convertible preferred stock during the year ended December 31, 2019 into shares of common stock as if such conversion had occurred at January 1, 2019, or the date of original issuance, if later.</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 xml:space="preserve">The Company accounts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 that will be in effect when the differences are expected to reverse. ASC 740 also requires that deferred tax assets be reduced by a valuation allowance if it is more likely than not that some or all of the deferred tax assets will not be realized. The Company evaluates annually the realizability of the deferred tax assets by assessing the valuation allowance and by adjusting the amount of such allowance, if necessary. The factors used to assess the likelihood of realization include forecast of future taxable income and available tax planning strategies that could be implemented to realize the net deferred tax assets. In 2018 and 2019, the Company has recorded a full valuation allowance for the deferred tax assets based on the historical loss and the uncertainty regarding the ability to project future taxable income. In future periods if the Company is able to generate income, the Company may reduce or eliminate the valuation allowance.</w:t>
      </w:r>
    </w:p>
    <w:p>
      <w:pPr>
        <w:spacing w:after="0" w:line="183"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Company accounts for uncertain tax positions in accordance with ASC 740.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this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accounting policy, the Company recognizes accrued interest and penalties related to unrecognized tax benefits as a component of income tax.</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requiring lessees to recognize operating and financing lease liabilities on the balance sheet, as well as corresponding right-of-use assets. The new lease standard also makes some changes to lessor accounting and aligns key aspects of the lessor accounting model with the revenue recognition standard. In addition, disclosures will be required to enable users of financial statements to assess the amount, timing, and uncertainty of cash flows arising from leases. In June 2020, the FASB also issued ASU 2020-05, </w:t>
      </w:r>
      <w:r>
        <w:rPr>
          <w:rFonts w:ascii="Arial" w:cs="Arial" w:eastAsia="Arial" w:hAnsi="Arial"/>
          <w:sz w:val="18"/>
          <w:szCs w:val="18"/>
          <w:i w:val="1"/>
          <w:iCs w:val="1"/>
          <w:color w:val="auto"/>
        </w:rPr>
        <w:t>Revenue from Contracts with Customers (Topic 606) and Leases (Topic 842): Effective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Dates for Certain Entities, </w:t>
      </w:r>
      <w:r>
        <w:rPr>
          <w:rFonts w:ascii="Arial" w:cs="Arial" w:eastAsia="Arial" w:hAnsi="Arial"/>
          <w:sz w:val="18"/>
          <w:szCs w:val="18"/>
          <w:color w:val="auto"/>
        </w:rPr>
        <w:t>which requires nonpublic entities to adopt the provisions of ASU 2016-02 for fiscal years beginning after</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15, 2021, and for interim periods within fiscal years beginning after December 15, 2022.</w:t>
      </w:r>
    </w:p>
    <w:p>
      <w:pPr>
        <w:spacing w:after="0" w:line="179"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Company expects to qualify as an emerging growth company (“EGC”) upon issuance of its initial public offering. Qualifying as an EGC allows the Company to employ extended transition provisions by using nonpublic business entity adoption dates for new or revised accounting standards, so long as the issuer maintains its status as an EGC. The Company expects to retain its status as an EGC through December 31, 2022, and therefore expects to adopt ASU 2016-02 for the annual period ended December 31, 2022, with the provisions of the new standard reflected in quarterly periods thereafter. The Company is currently evaluating the impact of this accounting standard update on its financial statements.</w:t>
      </w:r>
    </w:p>
    <w:p>
      <w:pPr>
        <w:spacing w:after="0" w:line="174" w:lineRule="exact"/>
        <w:rPr>
          <w:sz w:val="20"/>
          <w:szCs w:val="20"/>
          <w:color w:val="auto"/>
        </w:rPr>
      </w:pPr>
    </w:p>
    <w:p>
      <w:pPr>
        <w:jc w:val="both"/>
        <w:ind w:left="120" w:right="620" w:firstLine="551"/>
        <w:spacing w:after="0" w:line="255"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related to the classification of certain cash receipts and cash payments on the Statement of Cash Flows. The Company adopted the accounting standard effective January 1, 2019. There was no material impact on the financial statements.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I. Accounting for Certain Financial Instrument with Down Round Features II.</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of the Indefinite Deferral for Mandatorily Redeemable Financial Instruments of Certain nonpublic Entities and Certain Mandatorily Redeemable Noncontrolling Interests with a Scope Exception</w:t>
      </w:r>
      <w:r>
        <w:rPr>
          <w:rFonts w:ascii="Arial" w:cs="Arial" w:eastAsia="Arial" w:hAnsi="Arial"/>
          <w:sz w:val="18"/>
          <w:szCs w:val="18"/>
          <w:color w:val="auto"/>
        </w:rPr>
        <w:t>. Part I of the ASU simplifies the accounting for certain equity-linked financial instruments and embedded features with down round features that reduce the exercise price when the pricing of a future round of financing is lower (down round protection). Current accounting guidance provides that instruments with down round protection be classified as derivative liabilities with changes in fair value recorded through earnings. The updated guidance provides that instruments with down round protection are no longer precluded from being classified as equity. This guidance is effective for fiscal years beginning after December 15, 2018 and early adoption is permitted. This guidance must be applied retrospectively. The Company adopted this guidance on January 1, 2019 and the adoption did not have a material impact on its financial statements.</w:t>
      </w:r>
    </w:p>
    <w:p>
      <w:pPr>
        <w:spacing w:after="0" w:line="176"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(which currently only includes share-based payments to employees) to include share-based payments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for goods or services. Consequently, the accounting for share-based payments to nonemployees and</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5" w:right="49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employees will be substantially aligned. The ASU supersedes Subtopic 505-50, Equity—Equity-Based Payments to Non-Employees. The pronouncement is effective for the Company in the annual period beginning after December 15, 2019, and early adoption is permitted. The Company will adopt this guidance on January 1, 2020. The Company is currently evaluating the impact of adopting this standard on its financial statements.</w:t>
      </w:r>
    </w:p>
    <w:p>
      <w:pPr>
        <w:spacing w:after="0" w:line="17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This standard modifies disclosure requirements related to fair value measurement and is effective for all entities for fiscal years beginning after December 15, 2019. Early adoption is permitted. Implementation on a prospective or retrospective basis varies by specific disclosure requirement. The standard also allows for early adoption of any removed or modified disclosures upon issuance while delaying adoption of the additional disclosures until their effective date. The Company is currently evaluating the impact of adopting this standard on its financial statements.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and cash equivalents and marketable securities. Cash and cash equivalents are held in a checking account held at one financial institution. At times, such deposits may be in excess of insured limits. The Company has not experienced any losses on its deposits of cash and cash equivalents. The Company’s marketable debt securities are carried at fair value with unrealized gains and losses. Any investments with unrealized losses are considered to be temporarily impaired.</w:t>
      </w:r>
    </w:p>
    <w:p>
      <w:pPr>
        <w:spacing w:after="0" w:line="172" w:lineRule="exact"/>
        <w:rPr>
          <w:sz w:val="20"/>
          <w:szCs w:val="20"/>
          <w:color w:val="auto"/>
        </w:rPr>
      </w:pPr>
    </w:p>
    <w:p>
      <w:pPr>
        <w:ind w:left="120" w:right="300" w:firstLine="551"/>
        <w:spacing w:after="0" w:line="248"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strategic relationships and dependence on key individuals.</w:t>
      </w:r>
    </w:p>
    <w:p>
      <w:pPr>
        <w:spacing w:after="0" w:line="170"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Products developed by the Company require clearances from the Food and Drug Administration or other international regulatory agencies prior to commercial sales. There can be no assurance the Company’s future products will receive the necessary clearances. If the Company was denied clearance, clearance was delayed or it was unable to maintain clearance, it could have a materially adverse impact on the Company.</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Financial Instruments and Fair Value Measurements</w:t>
      </w:r>
    </w:p>
    <w:p>
      <w:pPr>
        <w:spacing w:after="0" w:line="10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The Company’s financial instruments consist of money market funds, U.S. government debt securities and corporate debt securities. The following tables show the Company’s cash equivalents and available-for-sale securities’ carrying amounts and fair values at December 31, 2018 and 2019:</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2019</w:t>
            </w: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ind w:right="600"/>
              <w:spacing w:after="0" w:line="141" w:lineRule="exact"/>
              <w:rPr>
                <w:sz w:val="20"/>
                <w:szCs w:val="20"/>
                <w:color w:val="auto"/>
              </w:rPr>
            </w:pPr>
            <w:r>
              <w:rPr>
                <w:rFonts w:ascii="Arial" w:cs="Arial" w:eastAsia="Arial" w:hAnsi="Arial"/>
                <w:sz w:val="14"/>
                <w:szCs w:val="14"/>
                <w:b w:val="1"/>
                <w:bCs w:val="1"/>
                <w:color w:val="auto"/>
              </w:rPr>
              <w:t>Quoted Priced in</w:t>
            </w:r>
          </w:p>
        </w:tc>
        <w:tc>
          <w:tcPr>
            <w:tcW w:w="146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Active Markets</w:t>
            </w:r>
          </w:p>
        </w:tc>
        <w:tc>
          <w:tcPr>
            <w:tcW w:w="14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Observable</w:t>
            </w:r>
          </w:p>
        </w:tc>
        <w:tc>
          <w:tcPr>
            <w:tcW w:w="32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(Level 1)</w:t>
            </w: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Inputs (Level 2)</w:t>
            </w:r>
          </w:p>
        </w:tc>
        <w:tc>
          <w:tcPr>
            <w:tcW w:w="32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1,680</w:t>
            </w:r>
          </w:p>
        </w:tc>
        <w:tc>
          <w:tcPr>
            <w:tcW w:w="280" w:type="dxa"/>
            <w:vAlign w:val="bottom"/>
          </w:tcPr>
          <w:p>
            <w:pPr>
              <w:spacing w:after="0"/>
              <w:rPr>
                <w:sz w:val="17"/>
                <w:szCs w:val="17"/>
                <w:color w:val="auto"/>
              </w:rPr>
            </w:pP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1,680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1,680</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58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97,819</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97,816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97,816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290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99,499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$ 99,496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6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97,816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412"/>
        </w:trPr>
        <w:tc>
          <w:tcPr>
            <w:tcW w:w="5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2018</w:t>
            </w: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ind w:right="600"/>
              <w:spacing w:after="0" w:line="141" w:lineRule="exact"/>
              <w:rPr>
                <w:sz w:val="20"/>
                <w:szCs w:val="20"/>
                <w:color w:val="auto"/>
              </w:rPr>
            </w:pPr>
            <w:r>
              <w:rPr>
                <w:rFonts w:ascii="Arial" w:cs="Arial" w:eastAsia="Arial" w:hAnsi="Arial"/>
                <w:sz w:val="14"/>
                <w:szCs w:val="14"/>
                <w:b w:val="1"/>
                <w:bCs w:val="1"/>
                <w:color w:val="auto"/>
              </w:rPr>
              <w:t>Quoted Priced in</w:t>
            </w:r>
          </w:p>
        </w:tc>
        <w:tc>
          <w:tcPr>
            <w:tcW w:w="146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Active Markets</w:t>
            </w:r>
          </w:p>
        </w:tc>
        <w:tc>
          <w:tcPr>
            <w:tcW w:w="14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Observable</w:t>
            </w:r>
          </w:p>
        </w:tc>
        <w:tc>
          <w:tcPr>
            <w:tcW w:w="32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(Level 1)</w:t>
            </w: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Inputs (Level 2)</w:t>
            </w:r>
          </w:p>
        </w:tc>
        <w:tc>
          <w:tcPr>
            <w:tcW w:w="32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86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82</w:t>
            </w: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82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82</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w:t>
            </w:r>
          </w:p>
        </w:tc>
        <w:tc>
          <w:tcPr>
            <w:tcW w:w="186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3,977</w:t>
            </w: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3,977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3,977</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Corporate debt securities</w:t>
            </w:r>
          </w:p>
        </w:tc>
        <w:tc>
          <w:tcPr>
            <w:tcW w:w="900" w:type="dxa"/>
            <w:vAlign w:val="bottom"/>
            <w:gridSpan w:val="2"/>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56,734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56,721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56,721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29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60,793</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$ 60,780</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4,059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56,721</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Cash Equivalents</w:t>
      </w:r>
      <w:r>
        <w:rPr>
          <w:rFonts w:ascii="Arial" w:cs="Arial" w:eastAsia="Arial" w:hAnsi="Arial"/>
          <w:sz w:val="18"/>
          <w:szCs w:val="18"/>
          <w:b w:val="1"/>
          <w:bCs w:val="1"/>
          <w:color w:val="auto"/>
        </w:rPr>
        <w:t>—</w:t>
      </w:r>
      <w:r>
        <w:rPr>
          <w:rFonts w:ascii="Arial" w:cs="Arial" w:eastAsia="Arial" w:hAnsi="Arial"/>
          <w:sz w:val="18"/>
          <w:szCs w:val="18"/>
          <w:color w:val="auto"/>
        </w:rPr>
        <w:t>Cash equivalents of $29.2 million as of December 31, 2018 consisted of money market funds of</w:t>
      </w:r>
    </w:p>
    <w:p>
      <w:pPr>
        <w:spacing w:after="0" w:line="20" w:lineRule="exact"/>
        <w:rPr>
          <w:sz w:val="20"/>
          <w:szCs w:val="20"/>
          <w:color w:val="auto"/>
        </w:rPr>
      </w:pPr>
    </w:p>
    <w:p>
      <w:pPr>
        <w:ind w:left="660" w:right="40"/>
        <w:spacing w:after="0" w:line="239" w:lineRule="auto"/>
        <w:rPr>
          <w:sz w:val="20"/>
          <w:szCs w:val="20"/>
          <w:color w:val="auto"/>
        </w:rPr>
      </w:pPr>
      <w:r>
        <w:rPr>
          <w:rFonts w:ascii="Arial" w:cs="Arial" w:eastAsia="Arial" w:hAnsi="Arial"/>
          <w:sz w:val="18"/>
          <w:szCs w:val="18"/>
          <w:color w:val="auto"/>
        </w:rPr>
        <w:t>$0.1 million, and corporate debt securities of $29.1 million. Cash equivalents of $71.3 million as of December 31, 2019 consisted of money market funds of $1.7 million, and corporate debt securities of $69.6 million. Money market funds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66" w:lineRule="exact"/>
        <w:rPr>
          <w:sz w:val="20"/>
          <w:szCs w:val="20"/>
          <w:color w:val="auto"/>
        </w:rPr>
      </w:pPr>
    </w:p>
    <w:p>
      <w:pPr>
        <w:ind w:left="660" w:right="20" w:firstLine="523"/>
        <w:spacing w:after="0" w:line="256"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b w:val="1"/>
          <w:bCs w:val="1"/>
          <w:color w:val="auto"/>
        </w:rPr>
        <w:t>—</w:t>
      </w:r>
      <w:r>
        <w:rPr>
          <w:rFonts w:ascii="Arial" w:cs="Arial" w:eastAsia="Arial" w:hAnsi="Arial"/>
          <w:sz w:val="18"/>
          <w:szCs w:val="18"/>
          <w:color w:val="auto"/>
        </w:rPr>
        <w:t>Marketable securities of $31.6 million and $28.2 million as of December 31, 2018 and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consisted of corporate debt securities classified within level 2 of the fair value hierarchy because they are valued using inputs other than quoted prices that are observable for the asset or liability either directly or indirectly.</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280" w:type="dxa"/>
            <w:vAlign w:val="bottom"/>
          </w:tcPr>
          <w:p>
            <w:pPr>
              <w:spacing w:after="0"/>
              <w:rPr>
                <w:sz w:val="12"/>
                <w:szCs w:val="12"/>
                <w:color w:val="auto"/>
              </w:rPr>
            </w:pPr>
          </w:p>
        </w:tc>
        <w:tc>
          <w:tcPr>
            <w:tcW w:w="13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Machinery &amp; equipment</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1,789</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1,898</w:t>
            </w:r>
          </w:p>
        </w:tc>
        <w:tc>
          <w:tcPr>
            <w:tcW w:w="120" w:type="dxa"/>
            <w:vAlign w:val="bottom"/>
            <w:shd w:val="clear" w:color="auto" w:fill="CCEEFF"/>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Computers</w:t>
            </w:r>
          </w:p>
        </w:tc>
        <w:tc>
          <w:tcPr>
            <w:tcW w:w="2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&amp; fixtures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w:t>
            </w:r>
          </w:p>
        </w:tc>
      </w:tr>
      <w:tr>
        <w:trPr>
          <w:trHeight w:val="202"/>
        </w:trPr>
        <w:tc>
          <w:tcPr>
            <w:tcW w:w="82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w:t>
            </w:r>
          </w:p>
        </w:tc>
      </w:tr>
      <w:tr>
        <w:trPr>
          <w:trHeight w:val="27"/>
        </w:trPr>
        <w:tc>
          <w:tcPr>
            <w:tcW w:w="8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1,873</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1,982</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(855)</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(1,243)</w:t>
            </w:r>
          </w:p>
        </w:tc>
      </w:tr>
      <w:tr>
        <w:trPr>
          <w:trHeight w:val="27"/>
        </w:trPr>
        <w:tc>
          <w:tcPr>
            <w:tcW w:w="8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1,018</w:t>
            </w:r>
          </w:p>
        </w:tc>
        <w:tc>
          <w:tcPr>
            <w:tcW w:w="5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739</w:t>
            </w:r>
          </w:p>
        </w:tc>
      </w:tr>
      <w:tr>
        <w:trPr>
          <w:trHeight w:val="20"/>
        </w:trPr>
        <w:tc>
          <w:tcPr>
            <w:tcW w:w="8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for the years ended December 31, 2018 and 2019 was $338 and $388, respectively.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Accrued Expense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 consists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4"/>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r>
      <w:tr>
        <w:trPr>
          <w:trHeight w:val="177"/>
        </w:trPr>
        <w:tc>
          <w:tcPr>
            <w:tcW w:w="83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bonuses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893</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1,281</w:t>
            </w:r>
          </w:p>
        </w:tc>
        <w:tc>
          <w:tcPr>
            <w:tcW w:w="60" w:type="dxa"/>
            <w:vAlign w:val="bottom"/>
            <w:shd w:val="clear" w:color="auto" w:fill="CCEEFF"/>
          </w:tcPr>
          <w:p>
            <w:pPr>
              <w:spacing w:after="0"/>
              <w:rPr>
                <w:sz w:val="17"/>
                <w:szCs w:val="17"/>
                <w:color w:val="auto"/>
              </w:rPr>
            </w:pP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Accrued vacation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279</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367</w:t>
            </w: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117</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w:t>
            </w: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60" w:type="dxa"/>
            <w:vAlign w:val="bottom"/>
          </w:tcPr>
          <w:p>
            <w:pPr>
              <w:spacing w:after="0"/>
              <w:rPr>
                <w:sz w:val="18"/>
                <w:szCs w:val="18"/>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 Commitments and Contingencies</w:t>
      </w:r>
    </w:p>
    <w:p>
      <w:pPr>
        <w:spacing w:after="0" w:line="10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In April 2017, the Company amended an existing operating lease for 18,446 square feet of office and laboratory space in Cranbury, New Jersey, that expires in June 2022. In August 2018, the Company signed an operating lease for 6,297 square feet of additional office and laboratory space in Cranbury, New Jersey, which expires in July 2022. In September 2018, the Company signed an operating lease for 3,292 square feet of additional office and laboratory space in Bedford, Massachusetts, which expires in August 2023.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minimum lease payments under these leases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1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2020</w:t>
            </w:r>
          </w:p>
        </w:tc>
        <w:tc>
          <w:tcPr>
            <w:tcW w:w="248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479</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24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479</w:t>
            </w: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2480" w:type="dxa"/>
            <w:vAlign w:val="bottom"/>
            <w:shd w:val="clear" w:color="auto" w:fill="CCEEFF"/>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251</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4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3"/>
        </w:trPr>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6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Total future minimum lease payments</w:t>
            </w:r>
          </w:p>
        </w:tc>
        <w:tc>
          <w:tcPr>
            <w:tcW w:w="60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1,213</w:t>
            </w:r>
          </w:p>
        </w:tc>
        <w:tc>
          <w:tcPr>
            <w:tcW w:w="60" w:type="dxa"/>
            <w:vAlign w:val="bottom"/>
          </w:tcPr>
          <w:p>
            <w:pPr>
              <w:spacing w:after="0"/>
              <w:rPr>
                <w:sz w:val="18"/>
                <w:szCs w:val="18"/>
                <w:color w:val="auto"/>
              </w:rPr>
            </w:pPr>
          </w:p>
        </w:tc>
      </w:tr>
      <w:tr>
        <w:trPr>
          <w:trHeight w:val="20"/>
        </w:trPr>
        <w:tc>
          <w:tcPr>
            <w:tcW w:w="18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1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180" w:type="dxa"/>
            <w:vAlign w:val="bottom"/>
            <w:gridSpan w:val="2"/>
          </w:tcPr>
          <w:p>
            <w:pPr>
              <w:jc w:val="right"/>
              <w:ind w:right="4730"/>
              <w:spacing w:after="0"/>
              <w:rPr>
                <w:sz w:val="20"/>
                <w:szCs w:val="20"/>
                <w:color w:val="auto"/>
              </w:rPr>
            </w:pPr>
            <w:r>
              <w:rPr>
                <w:rFonts w:ascii="Arial" w:cs="Arial" w:eastAsia="Arial" w:hAnsi="Arial"/>
                <w:sz w:val="18"/>
                <w:szCs w:val="18"/>
                <w:color w:val="auto"/>
              </w:rPr>
              <w:t>F-16</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recorded during the years ended December 31, 2018 and 2019 was $479 and $580, respectively.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there were no purchase commitments with third-party suppliers.</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Contingencies</w:t>
      </w:r>
    </w:p>
    <w:p>
      <w:pPr>
        <w:spacing w:after="0" w:line="104"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 Convertible Preferred Stock</w:t>
      </w:r>
    </w:p>
    <w:p>
      <w:pPr>
        <w:spacing w:after="0" w:line="10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Company is authorized to issue up to 22,883,426 shares of convertible preferred stock with a par value of $0.00001 per share. 1,657,903 shares have been designated as Series Seed convertible preferred stock (Series Seed Preferred), 8,076,985 shares have been designated as Series A convertible preferred stock (Series A Preferred), 7,672,560 shares have been designated as Series B convertible preferred stock (Series B Preferred) and 5,475,978 shares have been designated as Series C convertible preferred stock (Series C Preferred). At December 31, 2019, the Company had an aggregate of 22,866,246 shares of Series Seed Preferred, Series A Preferred, Series B Preferred and Series C Preferred (collectively, “Preferred Stock”) issued and outstanding.</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Preferred Stock consisted of the following (in thousands except for share data):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Common Stock</w:t>
            </w:r>
          </w:p>
        </w:tc>
      </w:tr>
      <w:tr>
        <w:trPr>
          <w:trHeight w:val="162"/>
        </w:trPr>
        <w:tc>
          <w:tcPr>
            <w:tcW w:w="428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Preferred Stock</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Liquidation</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Issuable Upon</w:t>
            </w:r>
          </w:p>
        </w:tc>
      </w:tr>
      <w:tr>
        <w:trPr>
          <w:trHeight w:val="177"/>
        </w:trPr>
        <w:tc>
          <w:tcPr>
            <w:tcW w:w="4280" w:type="dxa"/>
            <w:vAlign w:val="bottom"/>
          </w:tcPr>
          <w:p>
            <w:pPr>
              <w:spacing w:after="0"/>
              <w:rPr>
                <w:sz w:val="15"/>
                <w:szCs w:val="15"/>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Authorized</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 Value</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Seed Preferred</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1,657,903</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1,647,102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3,008</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3,050</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1,647,102</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Series A Preferred</w:t>
            </w:r>
          </w:p>
        </w:tc>
        <w:tc>
          <w:tcPr>
            <w:tcW w:w="14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8,076,985</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8,076,982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30,593</w:t>
            </w:r>
          </w:p>
        </w:tc>
        <w:tc>
          <w:tcPr>
            <w:tcW w:w="120" w:type="dxa"/>
            <w:vAlign w:val="bottom"/>
          </w:tcPr>
          <w:p>
            <w:pPr>
              <w:spacing w:after="0"/>
              <w:rPr>
                <w:sz w:val="17"/>
                <w:szCs w:val="17"/>
                <w:color w:val="auto"/>
              </w:rPr>
            </w:pP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30,734</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8,076,982</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Preferred</w:t>
            </w:r>
          </w:p>
        </w:tc>
        <w:tc>
          <w:tcPr>
            <w:tcW w:w="14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7,672,560</w:t>
            </w: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7,672,556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73,627</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73,728</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7,672,556</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Series C Preferred</w:t>
            </w:r>
          </w:p>
        </w:tc>
        <w:tc>
          <w:tcPr>
            <w:tcW w:w="14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5,475,978</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5,469,606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61,705</w:t>
            </w:r>
          </w:p>
        </w:tc>
        <w:tc>
          <w:tcPr>
            <w:tcW w:w="120" w:type="dxa"/>
            <w:vAlign w:val="bottom"/>
          </w:tcPr>
          <w:p>
            <w:pPr>
              <w:spacing w:after="0"/>
              <w:rPr>
                <w:sz w:val="17"/>
                <w:szCs w:val="17"/>
                <w:color w:val="auto"/>
              </w:rPr>
            </w:pP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61,873</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5,469,606</w:t>
            </w:r>
          </w:p>
        </w:tc>
      </w:tr>
      <w:tr>
        <w:trPr>
          <w:trHeight w:val="27"/>
        </w:trPr>
        <w:tc>
          <w:tcPr>
            <w:tcW w:w="4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22,883,426</w:t>
            </w: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22,866,246</w:t>
            </w:r>
          </w:p>
        </w:tc>
        <w:tc>
          <w:tcPr>
            <w:tcW w:w="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168,933</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169,385</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22,866,246</w:t>
            </w: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Preferred Stock have the rights, preferences, privileges and restrictions as set forth below:</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660" w:right="100" w:firstLine="523"/>
        <w:spacing w:after="0" w:line="248" w:lineRule="auto"/>
        <w:rPr>
          <w:sz w:val="20"/>
          <w:szCs w:val="20"/>
          <w:color w:val="auto"/>
        </w:rPr>
      </w:pPr>
      <w:r>
        <w:rPr>
          <w:rFonts w:ascii="Arial" w:cs="Arial" w:eastAsia="Arial" w:hAnsi="Arial"/>
          <w:sz w:val="18"/>
          <w:szCs w:val="18"/>
          <w:color w:val="auto"/>
        </w:rPr>
        <w:t>The holders of Preferred Stock are entitled to receive non-cumulative dividends prior to and in preference to any declaration of payment of dividends on common stock, when and if declared by the Board of Directors. Any additional dividends will be paid ratably to holders of common and Preferred Stock, with the holders of Preferred Stock participating on an as-if converted basis. No dividends have been declared or paid as of December 31, 2019.</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660" w:firstLine="523"/>
        <w:spacing w:after="0" w:line="276" w:lineRule="auto"/>
        <w:rPr>
          <w:sz w:val="20"/>
          <w:szCs w:val="20"/>
          <w:color w:val="auto"/>
        </w:rPr>
      </w:pPr>
      <w:r>
        <w:rPr>
          <w:rFonts w:ascii="Arial" w:cs="Arial" w:eastAsia="Arial" w:hAnsi="Arial"/>
          <w:sz w:val="18"/>
          <w:szCs w:val="18"/>
          <w:color w:val="auto"/>
        </w:rPr>
        <w:t>The holders of each share of Preferred Stock are entitled to voting rights equal to the number of shares of common stock into which the shares could be converted. As long as any</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right="160"/>
        <w:spacing w:after="0" w:line="248" w:lineRule="auto"/>
        <w:rPr>
          <w:sz w:val="20"/>
          <w:szCs w:val="20"/>
          <w:color w:val="auto"/>
        </w:rPr>
      </w:pPr>
      <w:r>
        <w:rPr>
          <w:rFonts w:ascii="Arial" w:cs="Arial" w:eastAsia="Arial" w:hAnsi="Arial"/>
          <w:sz w:val="18"/>
          <w:szCs w:val="18"/>
          <w:color w:val="auto"/>
        </w:rPr>
        <w:t>shares of Preferred Stock remain outstanding, the holders of Preferred Stock, voting together as a class, shall be entitled to elect four members of the Company’s Board of Directors. The holders of common stock, voting together as a single class, shall be entitled to elect two members of the Company’s Board of Directors. Remaining members of the Company’s Board of Directors will be elected by the holders of a majority of the shares of Preferred Stock and common stock, voting together as a single class.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04" w:lineRule="exact"/>
        <w:rPr>
          <w:sz w:val="20"/>
          <w:szCs w:val="20"/>
          <w:color w:val="auto"/>
        </w:rPr>
      </w:pPr>
    </w:p>
    <w:p>
      <w:pPr>
        <w:ind w:left="660" w:firstLine="523"/>
        <w:spacing w:after="0"/>
        <w:rPr>
          <w:sz w:val="20"/>
          <w:szCs w:val="20"/>
          <w:color w:val="auto"/>
        </w:rPr>
      </w:pPr>
      <w:r>
        <w:rPr>
          <w:rFonts w:ascii="Arial" w:cs="Arial" w:eastAsia="Arial" w:hAnsi="Arial"/>
          <w:sz w:val="18"/>
          <w:szCs w:val="18"/>
          <w:color w:val="auto"/>
        </w:rPr>
        <w:t>In the event of any liquidation, dissolution or winding up of the Company, whether voluntary or involuntary, the holders of Preferred Stock have liquidation preferences, before any distribution or payment is made to holders of any common stock, in an amount per share equal to the original issue price of $1.8517 for Series Seed Preferred, $3.7266 for Series A Preferred, $9.6093 for Series B Preferred and $11.3121 for Series C Preferred, as adjusted for stock splits, stock dividends, combinations, recapitalizations and the like, plus any declared but unpaid dividends.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72" w:lineRule="exact"/>
        <w:rPr>
          <w:sz w:val="20"/>
          <w:szCs w:val="20"/>
          <w:color w:val="auto"/>
        </w:rPr>
      </w:pPr>
    </w:p>
    <w:p>
      <w:pPr>
        <w:ind w:left="660" w:firstLine="523"/>
        <w:spacing w:after="0" w:line="241" w:lineRule="auto"/>
        <w:rPr>
          <w:sz w:val="20"/>
          <w:szCs w:val="20"/>
          <w:color w:val="auto"/>
        </w:rPr>
      </w:pPr>
      <w:r>
        <w:rPr>
          <w:rFonts w:ascii="Arial" w:cs="Arial" w:eastAsia="Arial" w:hAnsi="Arial"/>
          <w:sz w:val="18"/>
          <w:szCs w:val="18"/>
          <w:color w:val="auto"/>
        </w:rPr>
        <w:t>Upon completion of the payment of the full liquidation preference of Preferred Stock, the remaining assets of the Company, if any, shall be distributed with equal priority and ratably to the holders of common stock and Preferred Stock, with the Preferred Stock being treated as if the Preferred Stock had been converted to shares of common stock at the then applicable conversion rate. Notwithstanding the foregoing, the aggregate distributions made with respect to any shares of Preferred Stock may not exceed the greater of (i) an amount equal to two times the original issue price plus any declared but unpaid dividends on such share or (ii) the amount the holder would have received if all shares of the Preferred Stock were deemed to have been converted into common stock as of immediately prior to such liquidation, dissolution or winding up of the Company.</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ind w:left="660" w:right="80" w:firstLine="523"/>
        <w:spacing w:after="0" w:line="241" w:lineRule="auto"/>
        <w:rPr>
          <w:sz w:val="20"/>
          <w:szCs w:val="20"/>
          <w:color w:val="auto"/>
        </w:rPr>
      </w:pPr>
      <w:r>
        <w:rPr>
          <w:rFonts w:ascii="Arial" w:cs="Arial" w:eastAsia="Arial" w:hAnsi="Arial"/>
          <w:sz w:val="18"/>
          <w:szCs w:val="18"/>
          <w:color w:val="auto"/>
        </w:rPr>
        <w:t>Each share of Preferred Stock is convertible into shares of common stock, at the option of the holder, at any time after date of issuance. Each share of Preferred Stock automatically converts to the number of shares of common stock determined in accordance with the conversion rate upon the earlier of (i) written consent of two-thirds of the then outstanding shares of Preferred Stock, voting together as a single class, and written consent of the majority of the then outstanding shares of Series C Preferred or</w:t>
      </w:r>
    </w:p>
    <w:p>
      <w:pPr>
        <w:spacing w:after="0" w:line="1" w:lineRule="exact"/>
        <w:rPr>
          <w:sz w:val="20"/>
          <w:szCs w:val="20"/>
          <w:color w:val="auto"/>
        </w:rPr>
      </w:pPr>
    </w:p>
    <w:p>
      <w:pPr>
        <w:ind w:left="660" w:right="20" w:firstLine="7"/>
        <w:spacing w:after="0"/>
        <w:tabs>
          <w:tab w:leader="none" w:pos="91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closing of a public offering, in which the gross cash proceeds are at least $40,000 and the initial offering price to the public is at least $11.3121 per share (as adjusted for any stock splits, stock dividends, combinations, subdivisions, recapitalizations, reorganizations, reclassifications or the like). At December 31, 2019, the conversion price for each share of Series Seed Preferred, Series A Preferred, Series B Preferred and Series C Preferred is $1.8517, $3.7266, $9.6093 and $11.3121, respectively.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w:t>
      </w:r>
    </w:p>
    <w:p>
      <w:pPr>
        <w:spacing w:after="0" w:line="104" w:lineRule="exact"/>
        <w:rPr>
          <w:sz w:val="20"/>
          <w:szCs w:val="20"/>
          <w:color w:val="auto"/>
        </w:rPr>
      </w:pPr>
    </w:p>
    <w:p>
      <w:pPr>
        <w:ind w:left="660" w:right="220" w:firstLine="523"/>
        <w:spacing w:after="0" w:line="276" w:lineRule="auto"/>
        <w:rPr>
          <w:sz w:val="20"/>
          <w:szCs w:val="20"/>
          <w:color w:val="auto"/>
        </w:rPr>
      </w:pPr>
      <w:r>
        <w:rPr>
          <w:rFonts w:ascii="Arial" w:cs="Arial" w:eastAsia="Arial" w:hAnsi="Arial"/>
          <w:sz w:val="18"/>
          <w:szCs w:val="18"/>
          <w:color w:val="auto"/>
        </w:rPr>
        <w:t>The Preferred Stock is not currently redeemable. Upon certain change in control events that are outside of the Company’s control, including liquidation, sale or transfer of control of the Company, the Preferred Stock is contingently redeemable.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Protective Provisions:</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holders of preferred stock have certain protective provisions.</w:t>
      </w:r>
    </w:p>
    <w:p>
      <w:pPr>
        <w:spacing w:after="0" w:line="104" w:lineRule="exact"/>
        <w:rPr>
          <w:sz w:val="20"/>
          <w:szCs w:val="20"/>
          <w:color w:val="auto"/>
        </w:rPr>
      </w:pPr>
    </w:p>
    <w:p>
      <w:pPr>
        <w:ind w:left="660" w:firstLine="523"/>
        <w:spacing w:after="0" w:line="243" w:lineRule="auto"/>
        <w:rPr>
          <w:sz w:val="20"/>
          <w:szCs w:val="20"/>
          <w:color w:val="auto"/>
        </w:rPr>
      </w:pPr>
      <w:r>
        <w:rPr>
          <w:rFonts w:ascii="Arial" w:cs="Arial" w:eastAsia="Arial" w:hAnsi="Arial"/>
          <w:sz w:val="18"/>
          <w:szCs w:val="18"/>
          <w:color w:val="auto"/>
        </w:rPr>
        <w:t>As long as at least twenty percent (20%) of the shares of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Preferred Stock, or take certain other actions that would alter the rights, preferences, and privileges of Preferred Stock or effect liquidation, dissolution or winding up of the Company.</w:t>
      </w:r>
    </w:p>
    <w:p>
      <w:pPr>
        <w:spacing w:after="0" w:line="66" w:lineRule="exact"/>
        <w:rPr>
          <w:sz w:val="20"/>
          <w:szCs w:val="20"/>
          <w:color w:val="auto"/>
        </w:rPr>
      </w:pPr>
    </w:p>
    <w:p>
      <w:pPr>
        <w:ind w:left="660" w:right="6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A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A Preferred without first obtaining approval of a majority of the outstanding shares of Series A Preferred.</w:t>
      </w:r>
    </w:p>
    <w:p>
      <w:pPr>
        <w:spacing w:after="0" w:line="66" w:lineRule="exact"/>
        <w:rPr>
          <w:sz w:val="20"/>
          <w:szCs w:val="20"/>
          <w:color w:val="auto"/>
        </w:rPr>
      </w:pPr>
    </w:p>
    <w:p>
      <w:pPr>
        <w:ind w:left="660" w:right="6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B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B Preferred without first obtaining approval of a majority of the outstanding shares of Series B Preferred.</w:t>
      </w:r>
    </w:p>
    <w:p>
      <w:pPr>
        <w:spacing w:after="0" w:line="66" w:lineRule="exact"/>
        <w:rPr>
          <w:sz w:val="20"/>
          <w:szCs w:val="20"/>
          <w:color w:val="auto"/>
        </w:rPr>
      </w:pPr>
    </w:p>
    <w:p>
      <w:pPr>
        <w:ind w:left="660" w:right="60" w:firstLine="523"/>
        <w:spacing w:after="0" w:line="241" w:lineRule="auto"/>
        <w:rPr>
          <w:sz w:val="20"/>
          <w:szCs w:val="20"/>
          <w:color w:val="auto"/>
        </w:rPr>
      </w:pPr>
      <w:r>
        <w:rPr>
          <w:rFonts w:ascii="Arial" w:cs="Arial" w:eastAsia="Arial" w:hAnsi="Arial"/>
          <w:sz w:val="18"/>
          <w:szCs w:val="18"/>
          <w:color w:val="auto"/>
        </w:rPr>
        <w:t>As long as at least twenty percent (20%) of the shares of Series C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C Preferred or effect liquidation, dissolution or winding up of the Company, unless each share of Series C Preferred receives at least the original issue price of $11.3121 in any such transaction, without first obtaining approval of a majority of the outstanding shares of Series C Preferred.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8. Common Stock</w:t>
      </w:r>
    </w:p>
    <w:p>
      <w:pPr>
        <w:spacing w:after="0" w:line="104" w:lineRule="exact"/>
        <w:rPr>
          <w:sz w:val="20"/>
          <w:szCs w:val="20"/>
          <w:color w:val="auto"/>
        </w:rPr>
      </w:pPr>
    </w:p>
    <w:p>
      <w:pPr>
        <w:ind w:left="120" w:right="780" w:firstLine="551"/>
        <w:spacing w:after="0" w:line="276" w:lineRule="auto"/>
        <w:rPr>
          <w:sz w:val="20"/>
          <w:szCs w:val="20"/>
          <w:color w:val="auto"/>
        </w:rPr>
      </w:pPr>
      <w:r>
        <w:rPr>
          <w:rFonts w:ascii="Arial" w:cs="Arial" w:eastAsia="Arial" w:hAnsi="Arial"/>
          <w:sz w:val="18"/>
          <w:szCs w:val="18"/>
          <w:color w:val="auto"/>
        </w:rPr>
        <w:t>The Company is authorized to issue up to 33,250,829 shares of common stock with a par value of $0.00001 per share. At December 31, 2018 and 2019, there were 3,012,284 and 3,046,200 shares issued and outstanding, respectively.</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5" w:right="47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Common stockholders are entitled to dividends if and when declared by the Board of Directors subject to the rights of the preferred stockholders. As of December 31, 2019, no dividends on common stock had been declared by the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and 2019, the Company had reserved shares of common stock for issuance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84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outstanding</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17,396,640</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22,866,246</w:t>
            </w:r>
          </w:p>
        </w:tc>
        <w:tc>
          <w:tcPr>
            <w:tcW w:w="8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Options issued and outstanding</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2,685,615</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2,767,868</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issued and outstanding</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10,800</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10,800</w:t>
            </w: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Shares available for future stock option grants</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697,042</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1,530,523</w:t>
            </w:r>
          </w:p>
        </w:tc>
      </w:tr>
      <w:tr>
        <w:trPr>
          <w:trHeight w:val="27"/>
        </w:trPr>
        <w:tc>
          <w:tcPr>
            <w:tcW w:w="84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20,790,097</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27,175,437</w:t>
            </w:r>
          </w:p>
        </w:tc>
      </w:tr>
      <w:tr>
        <w:trPr>
          <w:trHeight w:val="20"/>
        </w:trPr>
        <w:tc>
          <w:tcPr>
            <w:tcW w:w="8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9. Stock Plan</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2013, the Company adopted the 2013 Stock Plan (the “Plan”). As of December 31, 2019, there were 4,437,507 shares of common stock authorized and 1,530,523 shares available for issuance under the Plan. Under the Plan, the Company may issue shares of common stock and options to purchase common stock to employees and consultants. Options granted under the Plan may be Incentive Stock Options or Non-statutory Stock Options, as determined by the Administrator at the time of grant. Stock Purchase Rights may also be granted under the Plan. The term shall be no more than ten years from the date of grant thereof. In the case of an Incentive Stock Option granted to an optionee who, at the time the option is granted, owns stock representing more than 10% of the voting power of all classes of stock of the Company or any Parent or Subsidiary, the term of the option shall be five years from the date of grant or such shorter term as may be provided in the option Agreement.</w:t>
      </w:r>
    </w:p>
    <w:p>
      <w:pPr>
        <w:spacing w:after="0" w:line="180"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In the case of an Incentive Stock Option, (i) granted to an employee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employee, the per share exercise price shall be no less than 100% of the Fair Market Value per Share on the date of grant. In the case of a Non-statutory Stock Option; (i) granted to a Service Provider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service provider, the per share exercise price shall be no less than 100% of the Fair Market Value per Share on the date of grant. Notwithstanding the foregoing, options may be granted with a per share exercise price other than as required above pursuant to a merger or other corporate transaction.</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options may include provisions permitting exercise of the option prior to full vesting. Any unvested shares so purchased shall be subject to repurchase by the Company at the original exercise price of the option.</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Available</w:t>
            </w:r>
          </w:p>
        </w:tc>
        <w:tc>
          <w:tcPr>
            <w:tcW w:w="13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Exercise</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Contractual Life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7"/>
        </w:trPr>
        <w:tc>
          <w:tcPr>
            <w:tcW w:w="4880" w:type="dxa"/>
            <w:vAlign w:val="bottom"/>
          </w:tcPr>
          <w:p>
            <w:pPr>
              <w:spacing w:after="0"/>
              <w:rPr>
                <w:sz w:val="15"/>
                <w:szCs w:val="15"/>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for Grant</w:t>
            </w:r>
          </w:p>
        </w:tc>
        <w:tc>
          <w:tcPr>
            <w:tcW w:w="13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5"/>
                <w:szCs w:val="15"/>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Price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000s)</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December 31, 2017</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1,224,846</w:t>
            </w: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2,157,811</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w:t>
            </w:r>
          </w:p>
        </w:tc>
        <w:tc>
          <w:tcPr>
            <w:tcW w:w="4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8.56</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3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(800,643)</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800,643</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3.21</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3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272,839</w:t>
            </w:r>
          </w:p>
        </w:tc>
        <w:tc>
          <w:tcPr>
            <w:tcW w:w="136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(272,839)</w:t>
            </w:r>
          </w:p>
        </w:tc>
        <w:tc>
          <w:tcPr>
            <w:tcW w:w="14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3.21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20"/>
                <w:szCs w:val="20"/>
                <w:color w:val="auto"/>
              </w:rPr>
            </w:pPr>
            <w:r>
              <w:rPr>
                <w:rFonts w:ascii="Arial" w:cs="Arial" w:eastAsia="Arial" w:hAnsi="Arial"/>
                <w:sz w:val="18"/>
                <w:szCs w:val="18"/>
                <w:b w:val="1"/>
                <w:bCs w:val="1"/>
                <w:color w:val="auto"/>
              </w:rPr>
              <w:t>Balances, December 31,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697,042</w:t>
            </w:r>
          </w:p>
        </w:tc>
        <w:tc>
          <w:tcPr>
            <w:tcW w:w="5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2,685,615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949,650</w:t>
            </w:r>
          </w:p>
        </w:tc>
        <w:tc>
          <w:tcPr>
            <w:tcW w:w="136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(249,758)</w:t>
            </w: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249,758</w:t>
            </w:r>
          </w:p>
        </w:tc>
        <w:tc>
          <w:tcPr>
            <w:tcW w:w="460" w:type="dxa"/>
            <w:vAlign w:val="bottom"/>
          </w:tcPr>
          <w:p>
            <w:pPr>
              <w:spacing w:after="0"/>
              <w:rPr>
                <w:sz w:val="17"/>
                <w:szCs w:val="17"/>
                <w:color w:val="auto"/>
              </w:rPr>
            </w:pPr>
          </w:p>
        </w:tc>
        <w:tc>
          <w:tcPr>
            <w:tcW w:w="14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3.53</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133,589</w:t>
            </w:r>
          </w:p>
        </w:tc>
        <w:tc>
          <w:tcPr>
            <w:tcW w:w="136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(133,589)</w:t>
            </w: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2.95</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3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(33,916)</w:t>
            </w:r>
          </w:p>
        </w:tc>
        <w:tc>
          <w:tcPr>
            <w:tcW w:w="14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3.00</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Balances, December 31, 2019</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1,530,523</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2,767,868</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2.05</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7.08</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2019</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1,877,381</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1.68</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6.59</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360"/>
              <w:spacing w:after="0"/>
              <w:rPr>
                <w:sz w:val="20"/>
                <w:szCs w:val="20"/>
                <w:color w:val="auto"/>
              </w:rPr>
            </w:pPr>
            <w:r>
              <w:rPr>
                <w:rFonts w:ascii="Arial" w:cs="Arial" w:eastAsia="Arial" w:hAnsi="Arial"/>
                <w:sz w:val="18"/>
                <w:szCs w:val="18"/>
                <w:color w:val="auto"/>
              </w:rPr>
              <w:t>Exercisable</w:t>
            </w: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1.79</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6.72</w:t>
            </w:r>
          </w:p>
        </w:tc>
        <w:tc>
          <w:tcPr>
            <w:tcW w:w="3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2,186,065</w:t>
            </w:r>
          </w:p>
        </w:tc>
        <w:tc>
          <w:tcPr>
            <w:tcW w:w="2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400" w:firstLine="551"/>
        <w:spacing w:after="0" w:line="255" w:lineRule="auto"/>
        <w:rPr>
          <w:sz w:val="20"/>
          <w:szCs w:val="20"/>
          <w:color w:val="auto"/>
        </w:rPr>
      </w:pPr>
      <w:r>
        <w:rPr>
          <w:rFonts w:ascii="Arial" w:cs="Arial" w:eastAsia="Arial" w:hAnsi="Arial"/>
          <w:sz w:val="18"/>
          <w:szCs w:val="18"/>
          <w:color w:val="auto"/>
        </w:rPr>
        <w:t>The aggregate intrinsic value of options vested and exercisable as of December 31, 2019 is calculated based on the difference between the exercise price and the current fair value of our common stock. The intrinsic value of options exercised in 2019 was $20. There were no stock option exercises in 2018.</w:t>
      </w:r>
    </w:p>
    <w:p>
      <w:pPr>
        <w:spacing w:after="0" w:line="164"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At December 31, 2019, the total compensation cost related to nonvested service-based awards not yet recognized is $1,481. The weighted-average period over which the nonvested awards is expected to be recognized is 1.9 years.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for Employees</w:t>
      </w:r>
    </w:p>
    <w:p>
      <w:pPr>
        <w:spacing w:after="0" w:line="104"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Employee options generally vest over four years. Stock-based compensation expense recognized during the years ended December 31, 2018 and 2019 for stock-based awards granted to employees based on the grant date fair value estimated in accordance with the provisions of ASC 718 was $847 and $854, respectively. The unrecognized compensation cost as of December 31, 2019 is expected to be recognized over a weighted-average amortization period of 2.0 years.</w:t>
      </w:r>
    </w:p>
    <w:p>
      <w:pPr>
        <w:spacing w:after="0" w:line="170" w:lineRule="exact"/>
        <w:rPr>
          <w:sz w:val="20"/>
          <w:szCs w:val="20"/>
          <w:color w:val="auto"/>
        </w:rPr>
      </w:pPr>
    </w:p>
    <w:p>
      <w:pPr>
        <w:ind w:left="120" w:right="840" w:firstLine="551"/>
        <w:spacing w:after="0" w:line="276" w:lineRule="auto"/>
        <w:rPr>
          <w:sz w:val="20"/>
          <w:szCs w:val="20"/>
          <w:color w:val="auto"/>
        </w:rPr>
      </w:pPr>
      <w:r>
        <w:rPr>
          <w:rFonts w:ascii="Arial" w:cs="Arial" w:eastAsia="Arial" w:hAnsi="Arial"/>
          <w:sz w:val="18"/>
          <w:szCs w:val="18"/>
          <w:color w:val="auto"/>
        </w:rPr>
        <w:t>The Company estimated the fair value of stock options using the Black-Scholes options valuation model. The fair value of employee stock options is being amortized on a straight-line basis over the</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requisite service period of the awards. The fair value of employee stock options was estimated using the following assumptions: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040" w:type="dxa"/>
            <w:vAlign w:val="bottom"/>
          </w:tcPr>
          <w:p>
            <w:pPr>
              <w:spacing w:after="0"/>
              <w:rPr>
                <w:sz w:val="15"/>
                <w:szCs w:val="15"/>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5"/>
                <w:szCs w:val="15"/>
                <w:color w:val="auto"/>
              </w:rPr>
            </w:pPr>
          </w:p>
        </w:tc>
      </w:tr>
      <w:tr>
        <w:trPr>
          <w:trHeight w:val="155"/>
        </w:trPr>
        <w:tc>
          <w:tcPr>
            <w:tcW w:w="704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grant date fair value of common stock</w:t>
            </w:r>
          </w:p>
        </w:tc>
        <w:tc>
          <w:tcPr>
            <w:tcW w:w="18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$3.21</w:t>
            </w:r>
          </w:p>
        </w:tc>
        <w:tc>
          <w:tcPr>
            <w:tcW w:w="2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rPr>
              <w:t>$3.53</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1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2.68% – 2.83%</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 2.51%</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(in years)</w:t>
            </w: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5.99</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6.37</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7"/>
                <w:szCs w:val="17"/>
                <w:color w:val="auto"/>
              </w:rPr>
            </w:pPr>
          </w:p>
        </w:tc>
        <w:tc>
          <w:tcPr>
            <w:tcW w:w="18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0%</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1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63.74% – 81.20%</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72.07%</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72.69%</w:t>
            </w:r>
          </w:p>
        </w:tc>
      </w:tr>
    </w:tbl>
    <w:p>
      <w:pPr>
        <w:spacing w:after="0" w:line="85" w:lineRule="exact"/>
        <w:rPr>
          <w:sz w:val="20"/>
          <w:szCs w:val="20"/>
          <w:color w:val="auto"/>
        </w:rPr>
      </w:pPr>
    </w:p>
    <w:p>
      <w:pPr>
        <w:jc w:val="both"/>
        <w:ind w:left="660" w:right="660" w:firstLine="523"/>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Company uses the simplified method to calculate expected term described in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Commission’s Staff Accounting Bulletin No. 107, which takes into account vesting term and expiration date of the options.</w:t>
      </w:r>
    </w:p>
    <w:p>
      <w:pPr>
        <w:spacing w:after="0" w:line="56" w:lineRule="exact"/>
        <w:rPr>
          <w:sz w:val="20"/>
          <w:szCs w:val="20"/>
          <w:color w:val="auto"/>
        </w:rPr>
      </w:pPr>
    </w:p>
    <w:p>
      <w:pPr>
        <w:ind w:left="660" w:right="640" w:firstLine="523"/>
        <w:spacing w:after="0" w:line="276"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based on an average of the historical volatilities of comparable publicly traded companies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37" w:lineRule="exact"/>
        <w:rPr>
          <w:sz w:val="20"/>
          <w:szCs w:val="20"/>
          <w:color w:val="auto"/>
        </w:rPr>
      </w:pPr>
    </w:p>
    <w:p>
      <w:pPr>
        <w:ind w:left="660" w:right="560" w:firstLine="523"/>
        <w:spacing w:after="0" w:line="276" w:lineRule="auto"/>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The risk-free rate is based on the U.S. Treasury yields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37" w:lineRule="exact"/>
        <w:rPr>
          <w:sz w:val="20"/>
          <w:szCs w:val="20"/>
          <w:color w:val="auto"/>
        </w:rPr>
      </w:pPr>
    </w:p>
    <w:p>
      <w:pPr>
        <w:ind w:left="660" w:right="60" w:firstLine="523"/>
        <w:spacing w:after="0" w:line="276"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Company has never declared or paid any cash dividends and does not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and therefore, used an expected dividend yield of zero in the valuation model.</w:t>
      </w:r>
    </w:p>
    <w:p>
      <w:pPr>
        <w:spacing w:after="0" w:line="145"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During the year ended December 31, 2018, the Company granted 119,012 stock options at a grant-date fair value of $2.58 per share to an executive that vests only upon the attainment of certain liquidity events. The Company does not believe that it is probable that the performance condition will be satisfied and did not record any stock compensation expense in the years ended December 31, 2018 and 2019 for this option grant. The unrecognized compensation cost associated with this award was $305, a portion of which will be cumulatively caught-up upon achievement of the liquidity event.</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for Non-Employees</w:t>
      </w:r>
    </w:p>
    <w:p>
      <w:pPr>
        <w:spacing w:after="0" w:line="104" w:lineRule="exact"/>
        <w:rPr>
          <w:sz w:val="20"/>
          <w:szCs w:val="20"/>
          <w:color w:val="auto"/>
        </w:rPr>
      </w:pPr>
    </w:p>
    <w:p>
      <w:pPr>
        <w:jc w:val="both"/>
        <w:ind w:left="120" w:right="480" w:firstLine="551"/>
        <w:spacing w:after="0" w:line="255" w:lineRule="auto"/>
        <w:rPr>
          <w:sz w:val="20"/>
          <w:szCs w:val="20"/>
          <w:color w:val="auto"/>
        </w:rPr>
      </w:pPr>
      <w:r>
        <w:rPr>
          <w:rFonts w:ascii="Arial" w:cs="Arial" w:eastAsia="Arial" w:hAnsi="Arial"/>
          <w:sz w:val="18"/>
          <w:szCs w:val="18"/>
          <w:color w:val="auto"/>
        </w:rPr>
        <w:t>Stock-based compensation expense related to stock options granted to non-employees is recognized as the stock options are earned. The Company believes that the estimated fair value of the stock options is more readily measurable than the fair value of the services. There were no stock options granted to non-employees during the years ended December 31, 2018 and 2019.</w:t>
      </w:r>
    </w:p>
    <w:p>
      <w:pPr>
        <w:spacing w:after="0" w:line="16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Non-employee options generally vest over two to three years. Stock-based compensation expense is remeasured every reporting period as the options vest in accordance with the provisions of ASC 505-50. Stock compensation expense recognized during the years ended December 31, 2018 and 2019 for stock-based awards granted to non-employees was $232 and $54, respectively.</w:t>
      </w:r>
    </w:p>
    <w:p>
      <w:pPr>
        <w:spacing w:after="0" w:line="164" w:lineRule="exact"/>
        <w:rPr>
          <w:sz w:val="20"/>
          <w:szCs w:val="20"/>
          <w:color w:val="auto"/>
        </w:rPr>
      </w:pPr>
    </w:p>
    <w:p>
      <w:pPr>
        <w:ind w:left="120" w:right="520" w:firstLine="551"/>
        <w:spacing w:after="0" w:line="276" w:lineRule="auto"/>
        <w:rPr>
          <w:sz w:val="20"/>
          <w:szCs w:val="20"/>
          <w:color w:val="auto"/>
        </w:rPr>
      </w:pPr>
      <w:r>
        <w:rPr>
          <w:rFonts w:ascii="Arial" w:cs="Arial" w:eastAsia="Arial" w:hAnsi="Arial"/>
          <w:sz w:val="18"/>
          <w:szCs w:val="18"/>
          <w:color w:val="auto"/>
        </w:rPr>
        <w:t>No income tax benefits have been recognized relating to stock-based compensation expenses and no tax benefits have been realized from exercised stock options.</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Total Stock-Based Compensation</w:t>
      </w:r>
    </w:p>
    <w:p>
      <w:pPr>
        <w:spacing w:after="0" w:line="104"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Total stock-based compensation expense recorded under ASC 718 and ASC 505-50 related to options granted to employees and nonemployees was allocated to research and development and general and administrative expense as follows: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8240" w:type="dxa"/>
            <w:vAlign w:val="bottom"/>
          </w:tcPr>
          <w:p>
            <w:pPr>
              <w:spacing w:after="0"/>
              <w:rPr>
                <w:sz w:val="12"/>
                <w:szCs w:val="12"/>
                <w:color w:val="auto"/>
              </w:rPr>
            </w:pPr>
          </w:p>
        </w:tc>
        <w:tc>
          <w:tcPr>
            <w:tcW w:w="17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r>
      <w:tr>
        <w:trPr>
          <w:trHeight w:val="177"/>
        </w:trPr>
        <w:tc>
          <w:tcPr>
            <w:tcW w:w="8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314</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7"/>
                <w:szCs w:val="17"/>
                <w:color w:val="auto"/>
              </w:rPr>
            </w:pPr>
          </w:p>
        </w:tc>
      </w:tr>
      <w:tr>
        <w:trPr>
          <w:trHeight w:val="210"/>
        </w:trPr>
        <w:tc>
          <w:tcPr>
            <w:tcW w:w="82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765</w:t>
            </w:r>
          </w:p>
        </w:tc>
        <w:tc>
          <w:tcPr>
            <w:tcW w:w="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606</w:t>
            </w:r>
          </w:p>
        </w:tc>
        <w:tc>
          <w:tcPr>
            <w:tcW w:w="60" w:type="dxa"/>
            <w:vAlign w:val="bottom"/>
          </w:tcPr>
          <w:p>
            <w:pPr>
              <w:spacing w:after="0"/>
              <w:rPr>
                <w:sz w:val="18"/>
                <w:szCs w:val="18"/>
                <w:color w:val="auto"/>
              </w:rPr>
            </w:pPr>
          </w:p>
        </w:tc>
      </w:tr>
      <w:tr>
        <w:trPr>
          <w:trHeight w:val="203"/>
        </w:trPr>
        <w:tc>
          <w:tcPr>
            <w:tcW w:w="8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stock-based compensation</w:t>
            </w:r>
          </w:p>
        </w:tc>
        <w:tc>
          <w:tcPr>
            <w:tcW w:w="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1,079</w:t>
            </w:r>
          </w:p>
        </w:tc>
        <w:tc>
          <w:tcPr>
            <w:tcW w:w="8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908</w:t>
            </w:r>
          </w:p>
        </w:tc>
        <w:tc>
          <w:tcPr>
            <w:tcW w:w="60" w:type="dxa"/>
            <w:vAlign w:val="bottom"/>
            <w:shd w:val="clear" w:color="auto" w:fill="CCEEFF"/>
          </w:tcPr>
          <w:p>
            <w:pPr>
              <w:spacing w:after="0"/>
              <w:rPr>
                <w:sz w:val="17"/>
                <w:szCs w:val="17"/>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10. Income Taxes</w:t>
      </w:r>
    </w:p>
    <w:p>
      <w:pPr>
        <w:spacing w:after="0" w:line="104" w:lineRule="exact"/>
        <w:rPr>
          <w:sz w:val="20"/>
          <w:szCs w:val="20"/>
          <w:color w:val="auto"/>
        </w:rPr>
      </w:pPr>
    </w:p>
    <w:p>
      <w:pPr>
        <w:jc w:val="both"/>
        <w:ind w:left="120" w:right="300" w:firstLine="551"/>
        <w:spacing w:after="0" w:line="248" w:lineRule="auto"/>
        <w:rPr>
          <w:sz w:val="20"/>
          <w:szCs w:val="20"/>
          <w:color w:val="auto"/>
        </w:rPr>
      </w:pPr>
      <w:r>
        <w:rPr>
          <w:rFonts w:ascii="Arial" w:cs="Arial" w:eastAsia="Arial" w:hAnsi="Arial"/>
          <w:sz w:val="18"/>
          <w:szCs w:val="18"/>
          <w:color w:val="auto"/>
        </w:rPr>
        <w:t>The provision for income taxes consisted of current state taxes of $3 and $ 8 for the years ended December 31, 2018 and 2019, respectively. The effective tax rate for the Company for the year ended December 31, 2018 and for the year ended December 31, 2019 was zero percent. A reconciliation of income tax computed at the statutory federal income tax rate to the provision (benefit) for income taxes included in the accompanying statements of operations for the Company is as follows: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8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Years Ended</w:t>
            </w: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800" w:type="dxa"/>
            <w:vAlign w:val="bottom"/>
          </w:tcPr>
          <w:p>
            <w:pPr>
              <w:spacing w:after="0"/>
              <w:rPr>
                <w:sz w:val="12"/>
                <w:szCs w:val="12"/>
                <w:color w:val="auto"/>
              </w:rPr>
            </w:pPr>
          </w:p>
        </w:tc>
        <w:tc>
          <w:tcPr>
            <w:tcW w:w="2060" w:type="dxa"/>
            <w:vAlign w:val="bottom"/>
            <w:gridSpan w:val="2"/>
          </w:tcPr>
          <w:p>
            <w:pPr>
              <w:jc w:val="center"/>
              <w:ind w:right="1048"/>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8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provision at statutory federal rate</w:t>
            </w:r>
          </w:p>
        </w:tc>
        <w:tc>
          <w:tcPr>
            <w:tcW w:w="2060" w:type="dxa"/>
            <w:vAlign w:val="bottom"/>
            <w:gridSpan w:val="2"/>
            <w:shd w:val="clear" w:color="auto" w:fill="CCEEFF"/>
          </w:tcPr>
          <w:p>
            <w:pPr>
              <w:jc w:val="right"/>
              <w:ind w:right="888"/>
              <w:spacing w:after="0" w:line="196" w:lineRule="exact"/>
              <w:rPr>
                <w:sz w:val="20"/>
                <w:szCs w:val="20"/>
                <w:color w:val="auto"/>
              </w:rPr>
            </w:pPr>
            <w:r>
              <w:rPr>
                <w:rFonts w:ascii="Arial" w:cs="Arial" w:eastAsia="Arial" w:hAnsi="Arial"/>
                <w:sz w:val="18"/>
                <w:szCs w:val="18"/>
                <w:color w:val="auto"/>
              </w:rPr>
              <w:t>21%</w:t>
            </w:r>
          </w:p>
        </w:tc>
        <w:tc>
          <w:tcPr>
            <w:tcW w:w="11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State tax—net of federal benefit</w:t>
            </w:r>
          </w:p>
        </w:tc>
        <w:tc>
          <w:tcPr>
            <w:tcW w:w="2060" w:type="dxa"/>
            <w:vAlign w:val="bottom"/>
            <w:gridSpan w:val="2"/>
          </w:tcPr>
          <w:p>
            <w:pPr>
              <w:jc w:val="right"/>
              <w:ind w:right="888"/>
              <w:spacing w:after="0" w:line="202" w:lineRule="exact"/>
              <w:rPr>
                <w:sz w:val="20"/>
                <w:szCs w:val="20"/>
                <w:color w:val="auto"/>
              </w:rPr>
            </w:pPr>
            <w:r>
              <w:rPr>
                <w:rFonts w:ascii="Arial" w:cs="Arial" w:eastAsia="Arial" w:hAnsi="Arial"/>
                <w:sz w:val="18"/>
                <w:szCs w:val="18"/>
                <w:color w:val="auto"/>
              </w:rPr>
              <w:t>8%</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credits</w:t>
            </w:r>
          </w:p>
        </w:tc>
        <w:tc>
          <w:tcPr>
            <w:tcW w:w="2060" w:type="dxa"/>
            <w:vAlign w:val="bottom"/>
            <w:gridSpan w:val="2"/>
            <w:shd w:val="clear" w:color="auto" w:fill="CCEEFF"/>
          </w:tcPr>
          <w:p>
            <w:pPr>
              <w:jc w:val="right"/>
              <w:ind w:right="888"/>
              <w:spacing w:after="0" w:line="202" w:lineRule="exact"/>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060" w:type="dxa"/>
            <w:vAlign w:val="bottom"/>
            <w:gridSpan w:val="2"/>
          </w:tcPr>
          <w:p>
            <w:pPr>
              <w:jc w:val="right"/>
              <w:ind w:right="888"/>
              <w:spacing w:after="0" w:line="202" w:lineRule="exact"/>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valuation allowance</w:t>
            </w:r>
          </w:p>
        </w:tc>
        <w:tc>
          <w:tcPr>
            <w:tcW w:w="2060" w:type="dxa"/>
            <w:vAlign w:val="bottom"/>
            <w:gridSpan w:val="2"/>
            <w:shd w:val="clear" w:color="auto" w:fill="CCEEFF"/>
          </w:tcPr>
          <w:p>
            <w:pPr>
              <w:jc w:val="right"/>
              <w:ind w:right="888"/>
              <w:spacing w:after="0" w:line="202" w:lineRule="exact"/>
              <w:rPr>
                <w:sz w:val="20"/>
                <w:szCs w:val="20"/>
                <w:color w:val="auto"/>
              </w:rPr>
            </w:pPr>
            <w:r>
              <w:rPr>
                <w:rFonts w:ascii="Arial" w:cs="Arial" w:eastAsia="Arial" w:hAnsi="Arial"/>
                <w:sz w:val="18"/>
                <w:szCs w:val="18"/>
                <w:color w:val="auto"/>
              </w:rPr>
              <w:t>-29%</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9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vMerge w:val="continue"/>
          </w:tcPr>
          <w:p>
            <w:pPr>
              <w:spacing w:after="0"/>
              <w:rPr>
                <w:sz w:val="18"/>
                <w:szCs w:val="18"/>
                <w:color w:val="auto"/>
              </w:rPr>
            </w:pPr>
          </w:p>
        </w:tc>
        <w:tc>
          <w:tcPr>
            <w:tcW w:w="2060" w:type="dxa"/>
            <w:vAlign w:val="bottom"/>
            <w:gridSpan w:val="2"/>
          </w:tcPr>
          <w:p>
            <w:pPr>
              <w:jc w:val="right"/>
              <w:ind w:right="888"/>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120" w:right="140" w:firstLine="551"/>
        <w:spacing w:after="0" w:line="255" w:lineRule="auto"/>
        <w:rPr>
          <w:sz w:val="20"/>
          <w:szCs w:val="20"/>
          <w:color w:val="auto"/>
        </w:rPr>
      </w:pPr>
      <w:r>
        <w:rPr>
          <w:rFonts w:ascii="Arial" w:cs="Arial" w:eastAsia="Arial" w:hAnsi="Arial"/>
          <w:sz w:val="18"/>
          <w:szCs w:val="18"/>
          <w:color w:val="auto"/>
        </w:rPr>
        <w:t>For the years ended December 31, 2018 and 2019, the Company’s effective tax rate is below the federal statutory income tax rate of 21% primarily due to state income taxes, net of federal benefit and the Company’s position to establish a full valuation allowance on its deferred tax assets.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net deferred tax assets are presented below:</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360" w:type="dxa"/>
            <w:vAlign w:val="bottom"/>
          </w:tcPr>
          <w:p>
            <w:pPr>
              <w:spacing w:after="0"/>
              <w:rPr>
                <w:sz w:val="12"/>
                <w:szCs w:val="12"/>
                <w:color w:val="auto"/>
              </w:rPr>
            </w:pPr>
          </w:p>
        </w:tc>
        <w:tc>
          <w:tcPr>
            <w:tcW w:w="1300" w:type="dxa"/>
            <w:vAlign w:val="bottom"/>
            <w:gridSpan w:val="4"/>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12,098</w:t>
            </w:r>
          </w:p>
        </w:tc>
        <w:tc>
          <w:tcPr>
            <w:tcW w:w="5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18,707</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 compensation</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315</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473</w:t>
            </w: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 credits</w:t>
            </w:r>
          </w:p>
        </w:tc>
        <w:tc>
          <w:tcPr>
            <w:tcW w:w="22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1,115</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1,497</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Accruals and reserves</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353</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490</w:t>
            </w:r>
          </w:p>
        </w:tc>
      </w:tr>
      <w:tr>
        <w:trPr>
          <w:trHeight w:val="209"/>
        </w:trPr>
        <w:tc>
          <w:tcPr>
            <w:tcW w:w="836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21,167</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(13,812)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(21,106)</w:t>
            </w: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Deferred tax assets recognized</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Fixed assets and depreciation</w:t>
            </w:r>
          </w:p>
        </w:tc>
        <w:tc>
          <w:tcPr>
            <w:tcW w:w="220" w:type="dxa"/>
            <w:vAlign w:val="bottom"/>
          </w:tcPr>
          <w:p>
            <w:pPr>
              <w:spacing w:after="0"/>
              <w:rPr>
                <w:sz w:val="17"/>
                <w:szCs w:val="17"/>
                <w:color w:val="auto"/>
              </w:rPr>
            </w:pPr>
          </w:p>
        </w:tc>
        <w:tc>
          <w:tcPr>
            <w:tcW w:w="10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(69)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w:t>
            </w:r>
          </w:p>
        </w:tc>
      </w:tr>
      <w:tr>
        <w:trPr>
          <w:trHeight w:val="27"/>
        </w:trPr>
        <w:tc>
          <w:tcPr>
            <w:tcW w:w="8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liabilities</w:t>
            </w: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w:t>
            </w:r>
          </w:p>
        </w:tc>
      </w:tr>
      <w:tr>
        <w:trPr>
          <w:trHeight w:val="209"/>
        </w:trPr>
        <w:tc>
          <w:tcPr>
            <w:tcW w:w="83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The Company has recorded a valuation allowance for its deferred tax assets that it does not believe will be realizable at a more likely than not level based on analysis of all available sources of taxable income.</w:t>
      </w:r>
    </w:p>
    <w:p>
      <w:pPr>
        <w:spacing w:after="0" w:line="145"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At December 31, 2018 and 2019, the Company had net operating loss carryforwards of $43,045 and $66,352, respectively. At December 31, 2018, the Company had state net operating loss carryforwards for New Jersey, California and Massachusetts of approximately $ 38,822, $4,912 and $363, respectively. At December 31, 2019, the Company had state net operating loss carryforwards for New Jersey, California and Massachusetts of approximately $61,503, $4,912 and $901, respectively. The federal and state net operating loss carryforwards expire beginning in the year 2033. The Company also has federal and state research and development credit carryforward of approximately $1,658 and $2,169, respectively, at December 31, 2018 and 2019. The federal credits will begin to expire in 2034 if not utilized. The California state credits carryforward indefinitely and the New Jersey state credits expire starting in 2021. The above net operating losses and research and development credits are subject to Sections 382 and 383 of the Internal Revenue Code. In the event of a change in ownership as defined by these code sections, the usage of the net operating losses and research and development credits may be limited.</w:t>
      </w:r>
    </w:p>
    <w:p>
      <w:pPr>
        <w:spacing w:after="0" w:line="180"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The Company accrues interest and penalties related to unrecognized tax benefits in the Provision for income taxes line item in the statements of operations and comprehensive loss. As of December 31, 2018 and 2019, the Company had not accrued any interest or penalties related to uncertain tax positions.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If the ending balance of $415 and $ 543 of unrecognized tax benefits as of December 31, 2018 and 2019, respectively, were recognized, none of the recognition would affect the income tax rate. The following table summarizes the activity related to the Company’s unrecognized tax benefits: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0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tax benefits, beginning of year</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7"/>
                <w:szCs w:val="17"/>
                <w:color w:val="auto"/>
              </w:rPr>
            </w:pP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Reductions based on prior year tax positions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based on current year tax positions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163</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w:t>
            </w:r>
          </w:p>
        </w:tc>
      </w:tr>
      <w:tr>
        <w:trPr>
          <w:trHeight w:val="209"/>
        </w:trPr>
        <w:tc>
          <w:tcPr>
            <w:tcW w:w="8080" w:type="dxa"/>
            <w:vAlign w:val="bottom"/>
          </w:tcPr>
          <w:p>
            <w:pPr>
              <w:spacing w:after="0"/>
              <w:rPr>
                <w:sz w:val="20"/>
                <w:szCs w:val="20"/>
                <w:color w:val="auto"/>
              </w:rPr>
            </w:pPr>
            <w:r>
              <w:rPr>
                <w:rFonts w:ascii="Arial" w:cs="Arial" w:eastAsia="Arial" w:hAnsi="Arial"/>
                <w:sz w:val="18"/>
                <w:szCs w:val="18"/>
                <w:color w:val="auto"/>
              </w:rPr>
              <w:t>Unrecognized tax benefits, end of year</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900" w:firstLine="551"/>
        <w:spacing w:after="0" w:line="276" w:lineRule="auto"/>
        <w:rPr>
          <w:sz w:val="20"/>
          <w:szCs w:val="20"/>
          <w:color w:val="auto"/>
        </w:rPr>
      </w:pPr>
      <w:r>
        <w:rPr>
          <w:rFonts w:ascii="Arial" w:cs="Arial" w:eastAsia="Arial" w:hAnsi="Arial"/>
          <w:sz w:val="18"/>
          <w:szCs w:val="18"/>
          <w:color w:val="auto"/>
        </w:rPr>
        <w:t>The Company does not anticipate any material change in its unrecognized tax benefits over the next twelve months. The unrecognized tax benefits may change during the next year for items that arise in the ordinary course of business.</w:t>
      </w:r>
    </w:p>
    <w:p>
      <w:pPr>
        <w:spacing w:after="0" w:line="145"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The Company files U.S. federal and state income tax returns with varying statutes of limitations. The Company’s tax years 2013 to 2019 will remain open for examination by the federal and state authorities for three and four years, respectively, from the date of utilization of any net operating loss credits.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11. Net Loss per Share and Unaudited Pro Forma Net Loss Per Share</w:t>
      </w:r>
    </w:p>
    <w:p>
      <w:pPr>
        <w:spacing w:after="0" w:line="104" w:lineRule="exact"/>
        <w:rPr>
          <w:sz w:val="20"/>
          <w:szCs w:val="20"/>
          <w:color w:val="auto"/>
        </w:rPr>
      </w:pPr>
    </w:p>
    <w:p>
      <w:pPr>
        <w:jc w:val="both"/>
        <w:ind w:left="120" w:right="80" w:firstLine="551"/>
        <w:spacing w:after="0" w:line="276"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calculation of diluted net loss per share for the periods presented due to their antidilutive effect:</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2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Years Ended</w:t>
            </w:r>
          </w:p>
        </w:tc>
      </w:tr>
      <w:tr>
        <w:trPr>
          <w:trHeight w:val="140"/>
        </w:trPr>
        <w:tc>
          <w:tcPr>
            <w:tcW w:w="8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gridSpan w:val="4"/>
          </w:tcPr>
          <w:p>
            <w:pPr>
              <w:ind w:left="100"/>
              <w:spacing w:after="0" w:line="141" w:lineRule="exact"/>
              <w:rPr>
                <w:sz w:val="20"/>
                <w:szCs w:val="20"/>
                <w:color w:val="auto"/>
              </w:rPr>
            </w:pPr>
            <w:r>
              <w:rPr>
                <w:rFonts w:ascii="Arial" w:cs="Arial" w:eastAsia="Arial" w:hAnsi="Arial"/>
                <w:sz w:val="14"/>
                <w:szCs w:val="14"/>
                <w:b w:val="1"/>
                <w:bCs w:val="1"/>
                <w:color w:val="auto"/>
              </w:rPr>
              <w:t>December 31,</w:t>
            </w:r>
          </w:p>
        </w:tc>
        <w:tc>
          <w:tcPr>
            <w:tcW w:w="1180" w:type="dxa"/>
            <w:vAlign w:val="bottom"/>
            <w:tcBorders>
              <w:top w:val="single" w:sz="8" w:color="auto"/>
            </w:tcBorders>
            <w:gridSpan w:val="4"/>
          </w:tcPr>
          <w:p>
            <w:pPr>
              <w:jc w:val="right"/>
              <w:ind w:right="120"/>
              <w:spacing w:after="0" w:line="141"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r>
      <w:tr>
        <w:trPr>
          <w:trHeight w:val="177"/>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8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(as converted)</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17,396,640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22,866,246</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260" w:type="dxa"/>
            <w:vAlign w:val="bottom"/>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20" w:type="dxa"/>
            <w:vAlign w:val="bottom"/>
          </w:tcPr>
          <w:p>
            <w:pPr>
              <w:spacing w:after="0"/>
              <w:rPr>
                <w:sz w:val="17"/>
                <w:szCs w:val="17"/>
                <w:color w:val="auto"/>
              </w:rPr>
            </w:pPr>
          </w:p>
        </w:tc>
        <w:tc>
          <w:tcPr>
            <w:tcW w:w="138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10,800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10,800</w:t>
            </w:r>
          </w:p>
        </w:tc>
      </w:tr>
      <w:tr>
        <w:trPr>
          <w:trHeight w:val="203"/>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 issued and outstanding</w:t>
            </w:r>
          </w:p>
        </w:tc>
        <w:tc>
          <w:tcPr>
            <w:tcW w:w="120" w:type="dxa"/>
            <w:vAlign w:val="bottom"/>
            <w:shd w:val="clear" w:color="auto" w:fill="CCEEFF"/>
          </w:tcPr>
          <w:p>
            <w:pPr>
              <w:spacing w:after="0"/>
              <w:rPr>
                <w:sz w:val="17"/>
                <w:szCs w:val="17"/>
                <w:color w:val="auto"/>
              </w:rPr>
            </w:pPr>
          </w:p>
        </w:tc>
        <w:tc>
          <w:tcPr>
            <w:tcW w:w="138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2,685,615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2,767,868</w:t>
            </w:r>
          </w:p>
        </w:tc>
      </w:tr>
      <w:tr>
        <w:trPr>
          <w:trHeight w:val="210"/>
        </w:trPr>
        <w:tc>
          <w:tcPr>
            <w:tcW w:w="82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20,093,055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25,644,914</w:t>
            </w:r>
          </w:p>
        </w:tc>
        <w:tc>
          <w:tcPr>
            <w:tcW w:w="80" w:type="dxa"/>
            <w:vAlign w:val="bottom"/>
          </w:tcPr>
          <w:p>
            <w:pPr>
              <w:spacing w:after="0"/>
              <w:rPr>
                <w:sz w:val="18"/>
                <w:szCs w:val="18"/>
                <w:color w:val="auto"/>
              </w:rPr>
            </w:pPr>
          </w:p>
        </w:tc>
      </w:tr>
      <w:tr>
        <w:trPr>
          <w:trHeight w:val="20"/>
        </w:trPr>
        <w:tc>
          <w:tcPr>
            <w:tcW w:w="8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8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rPr>
              <w:t>Years Ended</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0"/>
        </w:trPr>
        <w:tc>
          <w:tcPr>
            <w:tcW w:w="8260" w:type="dxa"/>
            <w:vAlign w:val="bottom"/>
          </w:tcPr>
          <w:p>
            <w:pPr>
              <w:spacing w:after="0"/>
              <w:rPr>
                <w:sz w:val="12"/>
                <w:szCs w:val="12"/>
                <w:color w:val="auto"/>
              </w:rPr>
            </w:pPr>
          </w:p>
        </w:tc>
        <w:tc>
          <w:tcPr>
            <w:tcW w:w="1500" w:type="dxa"/>
            <w:vAlign w:val="bottom"/>
            <w:gridSpan w:val="6"/>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2"/>
                <w:szCs w:val="12"/>
                <w:color w:val="auto"/>
              </w:rPr>
            </w:pPr>
          </w:p>
        </w:tc>
      </w:tr>
      <w:tr>
        <w:trPr>
          <w:trHeight w:val="177"/>
        </w:trPr>
        <w:tc>
          <w:tcPr>
            <w:tcW w:w="8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96"/>
        </w:trPr>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(17,538)</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(25,352)</w:t>
            </w:r>
          </w:p>
        </w:tc>
        <w:tc>
          <w:tcPr>
            <w:tcW w:w="120" w:type="dxa"/>
            <w:vAlign w:val="bottom"/>
            <w:gridSpan w:val="2"/>
            <w:shd w:val="clear" w:color="auto" w:fill="CCEEFF"/>
          </w:tcPr>
          <w:p>
            <w:pPr>
              <w:spacing w:after="0"/>
              <w:rPr>
                <w:sz w:val="17"/>
                <w:szCs w:val="17"/>
                <w:color w:val="auto"/>
              </w:rPr>
            </w:pPr>
          </w:p>
        </w:tc>
      </w:tr>
      <w:tr>
        <w:trPr>
          <w:trHeight w:val="203"/>
        </w:trPr>
        <w:tc>
          <w:tcPr>
            <w:tcW w:w="8260" w:type="dxa"/>
            <w:vAlign w:val="bottom"/>
          </w:tcPr>
          <w:p>
            <w:pPr>
              <w:spacing w:after="0" w:line="202" w:lineRule="exact"/>
              <w:rPr>
                <w:sz w:val="20"/>
                <w:szCs w:val="20"/>
                <w:color w:val="auto"/>
              </w:rPr>
            </w:pPr>
            <w:r>
              <w:rPr>
                <w:rFonts w:ascii="Arial" w:cs="Arial" w:eastAsia="Arial" w:hAnsi="Arial"/>
                <w:sz w:val="18"/>
                <w:szCs w:val="18"/>
                <w:color w:val="auto"/>
              </w:rPr>
              <w:t>Weighted-average number of shares—basic and diluted</w:t>
            </w:r>
          </w:p>
        </w:tc>
        <w:tc>
          <w:tcPr>
            <w:tcW w:w="120" w:type="dxa"/>
            <w:vAlign w:val="bottom"/>
          </w:tcPr>
          <w:p>
            <w:pPr>
              <w:spacing w:after="0"/>
              <w:rPr>
                <w:sz w:val="17"/>
                <w:szCs w:val="17"/>
                <w:color w:val="auto"/>
              </w:rPr>
            </w:pPr>
          </w:p>
        </w:tc>
        <w:tc>
          <w:tcPr>
            <w:tcW w:w="1220" w:type="dxa"/>
            <w:vAlign w:val="bottom"/>
            <w:gridSpan w:val="3"/>
          </w:tcPr>
          <w:p>
            <w:pPr>
              <w:jc w:val="right"/>
              <w:ind w:right="328"/>
              <w:spacing w:after="0" w:line="202" w:lineRule="exact"/>
              <w:rPr>
                <w:sz w:val="20"/>
                <w:szCs w:val="20"/>
                <w:color w:val="auto"/>
              </w:rPr>
            </w:pPr>
            <w:r>
              <w:rPr>
                <w:rFonts w:ascii="Arial" w:cs="Arial" w:eastAsia="Arial" w:hAnsi="Arial"/>
                <w:sz w:val="18"/>
                <w:szCs w:val="18"/>
                <w:color w:val="auto"/>
                <w:w w:val="99"/>
              </w:rPr>
              <w:t>3,012,284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3,035,243</w:t>
            </w:r>
          </w:p>
        </w:tc>
        <w:tc>
          <w:tcPr>
            <w:tcW w:w="80" w:type="dxa"/>
            <w:vAlign w:val="bottom"/>
          </w:tcPr>
          <w:p>
            <w:pPr>
              <w:spacing w:after="0"/>
              <w:rPr>
                <w:sz w:val="17"/>
                <w:szCs w:val="17"/>
                <w:color w:val="auto"/>
              </w:rPr>
            </w:pPr>
          </w:p>
        </w:tc>
      </w:tr>
      <w:tr>
        <w:trPr>
          <w:trHeight w:val="27"/>
        </w:trPr>
        <w:tc>
          <w:tcPr>
            <w:tcW w:w="8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share—basic and diluted</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(5.82)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(8.35)</w:t>
            </w:r>
          </w:p>
        </w:tc>
      </w:tr>
    </w:tbl>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 outstanding shares of convertible preferred stock during the year ended December 31, 2019 into</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420"/>
        <w:spacing w:after="0" w:line="276" w:lineRule="auto"/>
        <w:rPr>
          <w:sz w:val="20"/>
          <w:szCs w:val="20"/>
          <w:color w:val="auto"/>
        </w:rPr>
      </w:pPr>
      <w:r>
        <w:rPr>
          <w:rFonts w:ascii="Arial" w:cs="Arial" w:eastAsia="Arial" w:hAnsi="Arial"/>
          <w:sz w:val="18"/>
          <w:szCs w:val="18"/>
          <w:color w:val="auto"/>
        </w:rPr>
        <w:t>shares of common stock as if such conversion had occurred at January 1, 2019, inclusive of 5,321,864 shares of Series D convertible preferred stock issued in July 2020.</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9880" w:type="dxa"/>
            <w:vAlign w:val="bottom"/>
          </w:tcPr>
          <w:p>
            <w:pPr>
              <w:spacing w:after="0"/>
              <w:rPr>
                <w:sz w:val="14"/>
                <w:szCs w:val="14"/>
                <w:color w:val="auto"/>
              </w:rPr>
            </w:pPr>
          </w:p>
        </w:tc>
        <w:tc>
          <w:tcPr>
            <w:tcW w:w="114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9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9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9880" w:type="dxa"/>
            <w:vAlign w:val="bottom"/>
          </w:tcPr>
          <w:p>
            <w:pPr>
              <w:spacing w:after="0"/>
              <w:rPr>
                <w:sz w:val="20"/>
                <w:szCs w:val="20"/>
                <w:color w:val="auto"/>
              </w:rPr>
            </w:pPr>
            <w:r>
              <w:rPr>
                <w:rFonts w:ascii="Arial" w:cs="Arial" w:eastAsia="Arial" w:hAnsi="Arial"/>
                <w:sz w:val="18"/>
                <w:szCs w:val="18"/>
                <w:color w:val="auto"/>
              </w:rPr>
              <w:t>Weighted-average number of shares—basic and diluted</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3,035,243</w:t>
            </w:r>
          </w:p>
        </w:tc>
        <w:tc>
          <w:tcPr>
            <w:tcW w:w="120" w:type="dxa"/>
            <w:vAlign w:val="bottom"/>
          </w:tcPr>
          <w:p>
            <w:pPr>
              <w:spacing w:after="0"/>
              <w:rPr>
                <w:sz w:val="18"/>
                <w:szCs w:val="18"/>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Assumed weighted-average effect of conversion of convertible preferred stock (unaudited)</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w w:val="99"/>
              </w:rPr>
              <w:t>28,188,110</w:t>
            </w:r>
          </w:p>
        </w:tc>
      </w:tr>
      <w:tr>
        <w:trPr>
          <w:trHeight w:val="217"/>
        </w:trPr>
        <w:tc>
          <w:tcPr>
            <w:tcW w:w="9880" w:type="dxa"/>
            <w:vAlign w:val="bottom"/>
          </w:tcPr>
          <w:p>
            <w:pPr>
              <w:spacing w:after="0"/>
              <w:rPr>
                <w:sz w:val="20"/>
                <w:szCs w:val="20"/>
                <w:color w:val="auto"/>
              </w:rPr>
            </w:pPr>
            <w:r>
              <w:rPr>
                <w:rFonts w:ascii="Arial" w:cs="Arial" w:eastAsia="Arial" w:hAnsi="Arial"/>
                <w:sz w:val="18"/>
                <w:szCs w:val="18"/>
                <w:color w:val="auto"/>
              </w:rPr>
              <w:t>Pro Forma weighted-average number of shares—basic and diluted</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31,223,353</w:t>
            </w:r>
          </w:p>
        </w:tc>
        <w:tc>
          <w:tcPr>
            <w:tcW w:w="120" w:type="dxa"/>
            <w:vAlign w:val="bottom"/>
          </w:tcPr>
          <w:p>
            <w:pPr>
              <w:spacing w:after="0"/>
              <w:rPr>
                <w:sz w:val="18"/>
                <w:szCs w:val="18"/>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(0.81)</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12. Related Parties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a consulting agreement with a member of the Board of Directors. Consulting fees paid in the year ended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2018 and 2019 were $100. There were no amounts owed under the consulting agreement at December 31, 2018 or 2019.</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13. Subsequent Events</w:t>
      </w:r>
    </w:p>
    <w:p>
      <w:pPr>
        <w:spacing w:after="0" w:line="10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Subsequent events have been evaluated through June 26, 2020, which is the date the financial statements were issued. In connection with the reissuance of these financial statements to reflect the 5.2651-for-1 reverse stock split as described in Note 2, the Company has evaluated subsequent events through September 21, 2020, the date the audited financial statements were available to be reissued.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77"/>
        </w:trPr>
        <w:tc>
          <w:tcPr>
            <w:tcW w:w="7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r>
      <w:tr>
        <w:trPr>
          <w:trHeight w:val="183"/>
        </w:trPr>
        <w:tc>
          <w:tcPr>
            <w:tcW w:w="7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73,278</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78,051</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148,021</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28,208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8,085</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8,085</w:t>
            </w: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607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651</w:t>
            </w:r>
          </w:p>
        </w:tc>
      </w:tr>
      <w:tr>
        <w:trPr>
          <w:trHeight w:val="210"/>
        </w:trPr>
        <w:tc>
          <w:tcPr>
            <w:tcW w:w="73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86,787</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156,757</w:t>
            </w:r>
          </w:p>
        </w:tc>
        <w:tc>
          <w:tcPr>
            <w:tcW w:w="120" w:type="dxa"/>
            <w:vAlign w:val="bottom"/>
          </w:tcPr>
          <w:p>
            <w:pPr>
              <w:spacing w:after="0"/>
              <w:rPr>
                <w:sz w:val="18"/>
                <w:szCs w:val="18"/>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609</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Deferred offering costs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1,505</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1,475</w:t>
            </w: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201</w:t>
            </w: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89,102</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159,042</w:t>
            </w:r>
          </w:p>
        </w:tc>
        <w:tc>
          <w:tcPr>
            <w:tcW w:w="1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 Equity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2,837</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2,146</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1,686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2,937</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2,907</w:t>
            </w: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5,083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5,053</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w:t>
            </w: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5,177</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5,147</w:t>
            </w:r>
          </w:p>
        </w:tc>
      </w:tr>
      <w:tr>
        <w:trPr>
          <w:trHeight w:val="187"/>
        </w:trPr>
        <w:tc>
          <w:tcPr>
            <w:tcW w:w="7320" w:type="dxa"/>
            <w:vAlign w:val="bottom"/>
          </w:tcPr>
          <w:p>
            <w:pPr>
              <w:spacing w:after="0" w:line="187" w:lineRule="exact"/>
              <w:rPr>
                <w:sz w:val="20"/>
                <w:szCs w:val="20"/>
                <w:color w:val="auto"/>
              </w:rPr>
            </w:pPr>
            <w:r>
              <w:rPr>
                <w:rFonts w:ascii="Arial" w:cs="Arial" w:eastAsia="Arial" w:hAnsi="Arial"/>
                <w:sz w:val="18"/>
                <w:szCs w:val="18"/>
                <w:color w:val="auto"/>
              </w:rPr>
              <w:t>Convertible preferred stock, accumulated liquidation value of $169,385, $169,385, and $0</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2"/>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at December 31, 2019, June 30, 2020 (unaudited), and pro forma June 30, 2020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7320" w:type="dxa"/>
            <w:vAlign w:val="bottom"/>
          </w:tcPr>
          <w:p>
            <w:pPr>
              <w:ind w:left="180"/>
              <w:spacing w:after="0"/>
              <w:rPr>
                <w:sz w:val="20"/>
                <w:szCs w:val="20"/>
                <w:color w:val="auto"/>
              </w:rPr>
            </w:pPr>
            <w:r>
              <w:rPr>
                <w:rFonts w:ascii="Arial" w:cs="Arial" w:eastAsia="Arial" w:hAnsi="Arial"/>
                <w:sz w:val="18"/>
                <w:szCs w:val="18"/>
                <w:color w:val="auto"/>
              </w:rPr>
              <w:t>(unaudited), respectively (see Note 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168,933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168,933</w:t>
            </w: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0"/>
        </w:trPr>
        <w:tc>
          <w:tcPr>
            <w:tcW w:w="7320" w:type="dxa"/>
            <w:vAlign w:val="bottom"/>
          </w:tcPr>
          <w:p>
            <w:pPr>
              <w:ind w:left="360"/>
              <w:spacing w:after="0" w:line="180" w:lineRule="exact"/>
              <w:rPr>
                <w:sz w:val="20"/>
                <w:szCs w:val="20"/>
                <w:color w:val="auto"/>
              </w:rPr>
            </w:pPr>
            <w:r>
              <w:rPr>
                <w:rFonts w:ascii="Arial" w:cs="Arial" w:eastAsia="Arial" w:hAnsi="Arial"/>
                <w:sz w:val="18"/>
                <w:szCs w:val="18"/>
                <w:color w:val="auto"/>
              </w:rPr>
              <w:t>Common stock, $0.00001 par value, 33,250,829, 33,250,829, and 1,000,000,000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7320" w:type="dxa"/>
            <w:vAlign w:val="bottom"/>
          </w:tcPr>
          <w:p>
            <w:pPr>
              <w:ind w:left="540"/>
              <w:spacing w:after="0" w:line="202" w:lineRule="exact"/>
              <w:rPr>
                <w:sz w:val="20"/>
                <w:szCs w:val="20"/>
                <w:color w:val="auto"/>
              </w:rPr>
            </w:pPr>
            <w:r>
              <w:rPr>
                <w:rFonts w:ascii="Arial" w:cs="Arial" w:eastAsia="Arial" w:hAnsi="Arial"/>
                <w:sz w:val="18"/>
                <w:szCs w:val="18"/>
                <w:color w:val="auto"/>
              </w:rPr>
              <w:t>shares authorized; 3,046,200, 3,046,200, and 31,234,310 shares issued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tcPr>
          <w:p>
            <w:pPr>
              <w:ind w:left="540"/>
              <w:spacing w:after="0" w:line="202" w:lineRule="exact"/>
              <w:rPr>
                <w:sz w:val="20"/>
                <w:szCs w:val="20"/>
                <w:color w:val="auto"/>
              </w:rPr>
            </w:pPr>
            <w:r>
              <w:rPr>
                <w:rFonts w:ascii="Arial" w:cs="Arial" w:eastAsia="Arial" w:hAnsi="Arial"/>
                <w:sz w:val="18"/>
                <w:szCs w:val="18"/>
                <w:color w:val="auto"/>
              </w:rPr>
              <w:t>outstanding at December 31, 2019, June 30, 2020 (unaudited), and pro forma June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7320" w:type="dxa"/>
            <w:vAlign w:val="bottom"/>
          </w:tcPr>
          <w:p>
            <w:pPr>
              <w:ind w:left="540"/>
              <w:spacing w:after="0"/>
              <w:rPr>
                <w:sz w:val="20"/>
                <w:szCs w:val="20"/>
                <w:color w:val="auto"/>
              </w:rPr>
            </w:pPr>
            <w:r>
              <w:rPr>
                <w:rFonts w:ascii="Arial" w:cs="Arial" w:eastAsia="Arial" w:hAnsi="Arial"/>
                <w:sz w:val="18"/>
                <w:szCs w:val="18"/>
                <w:color w:val="auto"/>
              </w:rPr>
              <w:t>30, 2020 (unaudited), respectively</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4,969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5,648</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244,551</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(75,440)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(90,661)</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(90,661)</w:t>
            </w: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r>
      <w:tr>
        <w:trPr>
          <w:trHeight w:val="217"/>
        </w:trPr>
        <w:tc>
          <w:tcPr>
            <w:tcW w:w="7320" w:type="dxa"/>
            <w:vAlign w:val="bottom"/>
          </w:tcPr>
          <w:p>
            <w:pPr>
              <w:ind w:left="720"/>
              <w:spacing w:after="0"/>
              <w:rPr>
                <w:sz w:val="20"/>
                <w:szCs w:val="20"/>
                <w:color w:val="auto"/>
              </w:rPr>
            </w:pPr>
            <w:r>
              <w:rPr>
                <w:rFonts w:ascii="Arial" w:cs="Arial" w:eastAsia="Arial" w:hAnsi="Arial"/>
                <w:sz w:val="18"/>
                <w:szCs w:val="18"/>
                <w:color w:val="auto"/>
              </w:rPr>
              <w:t>Total stockholders’ (deficit) equity</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(85,008)</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153,895</w:t>
            </w:r>
          </w:p>
        </w:tc>
        <w:tc>
          <w:tcPr>
            <w:tcW w:w="120" w:type="dxa"/>
            <w:vAlign w:val="bottom"/>
          </w:tcPr>
          <w:p>
            <w:pPr>
              <w:spacing w:after="0"/>
              <w:rPr>
                <w:sz w:val="18"/>
                <w:szCs w:val="18"/>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convertible preferred stock, and stockholders’ (deficit) equity</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103,033</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89,102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159,042</w:t>
            </w:r>
          </w:p>
        </w:tc>
      </w:tr>
      <w:tr>
        <w:trPr>
          <w:trHeight w:val="20"/>
        </w:trPr>
        <w:tc>
          <w:tcPr>
            <w:tcW w:w="7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6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r>
      <w:tr>
        <w:trPr>
          <w:trHeight w:val="162"/>
        </w:trPr>
        <w:tc>
          <w:tcPr>
            <w:tcW w:w="6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June 30, 2020</w:t>
            </w:r>
          </w:p>
        </w:tc>
      </w:tr>
      <w:tr>
        <w:trPr>
          <w:trHeight w:val="177"/>
        </w:trPr>
        <w:tc>
          <w:tcPr>
            <w:tcW w:w="6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(unaudited)</w:t>
            </w:r>
          </w:p>
        </w:tc>
      </w:tr>
      <w:tr>
        <w:trPr>
          <w:trHeight w:val="183"/>
        </w:trPr>
        <w:tc>
          <w:tcPr>
            <w:tcW w:w="6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7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668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10,165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11,760</w:t>
            </w: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3,979</w:t>
            </w:r>
          </w:p>
        </w:tc>
      </w:tr>
      <w:tr>
        <w:trPr>
          <w:trHeight w:val="217"/>
        </w:trPr>
        <w:tc>
          <w:tcPr>
            <w:tcW w:w="66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7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20" w:type="dxa"/>
            <w:vAlign w:val="bottom"/>
          </w:tcPr>
          <w:p>
            <w:pPr>
              <w:spacing w:after="0"/>
              <w:rPr>
                <w:sz w:val="18"/>
                <w:szCs w:val="18"/>
                <w:color w:val="auto"/>
              </w:rPr>
            </w:pPr>
          </w:p>
        </w:tc>
      </w:tr>
      <w:tr>
        <w:trPr>
          <w:trHeight w:val="202"/>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(12,841)</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(15,739)</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563</w:t>
            </w:r>
          </w:p>
        </w:tc>
      </w:tr>
      <w:tr>
        <w:trPr>
          <w:trHeight w:val="203"/>
        </w:trPr>
        <w:tc>
          <w:tcPr>
            <w:tcW w:w="668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w:t>
            </w:r>
          </w:p>
        </w:tc>
      </w:tr>
      <w:tr>
        <w:trPr>
          <w:trHeight w:val="27"/>
        </w:trPr>
        <w:tc>
          <w:tcPr>
            <w:tcW w:w="6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income (expense)</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520</w:t>
            </w:r>
          </w:p>
        </w:tc>
      </w:tr>
      <w:tr>
        <w:trPr>
          <w:trHeight w:val="209"/>
        </w:trPr>
        <w:tc>
          <w:tcPr>
            <w:tcW w:w="6680" w:type="dxa"/>
            <w:vAlign w:val="bottom"/>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1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(12,127)</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(15,219)</w:t>
            </w:r>
          </w:p>
        </w:tc>
        <w:tc>
          <w:tcPr>
            <w:tcW w:w="120" w:type="dxa"/>
            <w:vAlign w:val="bottom"/>
          </w:tcPr>
          <w:p>
            <w:pPr>
              <w:spacing w:after="0"/>
              <w:rPr>
                <w:sz w:val="18"/>
                <w:szCs w:val="18"/>
                <w:color w:val="auto"/>
              </w:rPr>
            </w:pPr>
          </w:p>
        </w:tc>
      </w:tr>
      <w:tr>
        <w:trPr>
          <w:trHeight w:val="203"/>
        </w:trPr>
        <w:tc>
          <w:tcPr>
            <w:tcW w:w="6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10"/>
        </w:trPr>
        <w:tc>
          <w:tcPr>
            <w:tcW w:w="66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(15,221)</w:t>
            </w:r>
          </w:p>
        </w:tc>
        <w:tc>
          <w:tcPr>
            <w:tcW w:w="120" w:type="dxa"/>
            <w:vAlign w:val="bottom"/>
          </w:tcPr>
          <w:p>
            <w:pPr>
              <w:spacing w:after="0"/>
              <w:rPr>
                <w:sz w:val="18"/>
                <w:szCs w:val="18"/>
                <w:color w:val="auto"/>
              </w:rPr>
            </w:pP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Unrealized gains on marketable securities, net of tax</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9"/>
        </w:trPr>
        <w:tc>
          <w:tcPr>
            <w:tcW w:w="6680" w:type="dxa"/>
            <w:vAlign w:val="bottom"/>
          </w:tcPr>
          <w:p>
            <w:pPr>
              <w:ind w:left="360"/>
              <w:spacing w:after="0"/>
              <w:rPr>
                <w:sz w:val="20"/>
                <w:szCs w:val="20"/>
                <w:color w:val="auto"/>
              </w:rPr>
            </w:pPr>
            <w:r>
              <w:rPr>
                <w:rFonts w:ascii="Arial" w:cs="Arial" w:eastAsia="Arial" w:hAnsi="Arial"/>
                <w:sz w:val="18"/>
                <w:szCs w:val="18"/>
                <w:color w:val="auto"/>
              </w:rPr>
              <w:t>Comprehensive loss</w:t>
            </w:r>
          </w:p>
        </w:tc>
        <w:tc>
          <w:tcPr>
            <w:tcW w:w="17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(12,113)</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(15,213)</w:t>
            </w:r>
          </w:p>
        </w:tc>
        <w:tc>
          <w:tcPr>
            <w:tcW w:w="12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68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Net loss per share — basic and diluted</w:t>
            </w:r>
          </w:p>
        </w:tc>
        <w:tc>
          <w:tcPr>
            <w:tcW w:w="1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(5.00)</w:t>
            </w:r>
          </w:p>
        </w:tc>
      </w:tr>
      <w:tr>
        <w:trPr>
          <w:trHeight w:val="203"/>
        </w:trPr>
        <w:tc>
          <w:tcPr>
            <w:tcW w:w="6680" w:type="dxa"/>
            <w:vAlign w:val="bottom"/>
          </w:tcPr>
          <w:p>
            <w:pPr>
              <w:ind w:left="36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w w:val="97"/>
              </w:rPr>
              <w:t>3,024,097</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3,046,200</w:t>
            </w:r>
          </w:p>
        </w:tc>
      </w:tr>
      <w:tr>
        <w:trPr>
          <w:trHeight w:val="203"/>
        </w:trPr>
        <w:tc>
          <w:tcPr>
            <w:tcW w:w="66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net loss per share - basic and diluted</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(0.49)</w:t>
            </w:r>
          </w:p>
        </w:tc>
      </w:tr>
      <w:tr>
        <w:trPr>
          <w:trHeight w:val="243"/>
        </w:trPr>
        <w:tc>
          <w:tcPr>
            <w:tcW w:w="6680" w:type="dxa"/>
            <w:vAlign w:val="bottom"/>
          </w:tcPr>
          <w:p>
            <w:pPr>
              <w:ind w:left="360"/>
              <w:spacing w:after="0"/>
              <w:rPr>
                <w:sz w:val="20"/>
                <w:szCs w:val="20"/>
                <w:color w:val="auto"/>
              </w:rPr>
            </w:pPr>
            <w:r>
              <w:rPr>
                <w:rFonts w:ascii="Arial" w:cs="Arial" w:eastAsia="Arial" w:hAnsi="Arial"/>
                <w:sz w:val="18"/>
                <w:szCs w:val="18"/>
                <w:color w:val="auto"/>
              </w:rPr>
              <w:t>Pro forma weighted-average common shares outstanding</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31,234,310</w:t>
            </w: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Convertible Preferred Stock and Stockholders’ (Deficit) Equity</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080" w:type="dxa"/>
            <w:vAlign w:val="bottom"/>
            <w:tcBorders>
              <w:right w:val="single" w:sz="8" w:color="auto"/>
            </w:tcBorders>
            <w:gridSpan w:val="6"/>
            <w:vMerge w:val="restart"/>
          </w:tcPr>
          <w:p>
            <w:pPr>
              <w:jc w:val="right"/>
              <w:ind w:right="74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300" w:type="dxa"/>
            <w:vAlign w:val="bottom"/>
          </w:tcPr>
          <w:p>
            <w:pPr>
              <w:spacing w:after="0"/>
              <w:rPr>
                <w:sz w:val="8"/>
                <w:szCs w:val="8"/>
                <w:color w:val="auto"/>
              </w:rPr>
            </w:pPr>
          </w:p>
        </w:tc>
        <w:tc>
          <w:tcPr>
            <w:tcW w:w="2080" w:type="dxa"/>
            <w:vAlign w:val="bottom"/>
            <w:tcBorders>
              <w:right w:val="single" w:sz="8" w:color="auto"/>
            </w:tcBorders>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2"/>
            <w:vMerge w:val="restart"/>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2080" w:type="dxa"/>
            <w:vAlign w:val="bottom"/>
            <w:tcBorders>
              <w:right w:val="single" w:sz="8" w:color="auto"/>
            </w:tcBorders>
            <w:gridSpan w:val="6"/>
            <w:vMerge w:val="restart"/>
          </w:tcPr>
          <w:p>
            <w:pPr>
              <w:jc w:val="right"/>
              <w:ind w:right="60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5"/>
                <w:szCs w:val="5"/>
                <w:color w:val="auto"/>
              </w:rPr>
            </w:pPr>
          </w:p>
        </w:tc>
        <w:tc>
          <w:tcPr>
            <w:tcW w:w="13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300" w:type="dxa"/>
            <w:vAlign w:val="bottom"/>
          </w:tcPr>
          <w:p>
            <w:pPr>
              <w:spacing w:after="0"/>
              <w:rPr>
                <w:sz w:val="9"/>
                <w:szCs w:val="9"/>
                <w:color w:val="auto"/>
              </w:rPr>
            </w:pPr>
          </w:p>
        </w:tc>
        <w:tc>
          <w:tcPr>
            <w:tcW w:w="2080" w:type="dxa"/>
            <w:vAlign w:val="bottom"/>
            <w:tcBorders>
              <w:right w:val="single" w:sz="8" w:color="auto"/>
            </w:tcBorders>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9"/>
                <w:szCs w:val="9"/>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9"/>
                <w:szCs w:val="9"/>
                <w:color w:val="auto"/>
              </w:rPr>
            </w:pPr>
          </w:p>
        </w:tc>
        <w:tc>
          <w:tcPr>
            <w:tcW w:w="1160" w:type="dxa"/>
            <w:vAlign w:val="bottom"/>
            <w:gridSpan w:val="3"/>
            <w:vMerge w:val="restart"/>
          </w:tcPr>
          <w:p>
            <w:pPr>
              <w:jc w:val="right"/>
              <w:ind w:right="8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2"/>
        </w:trPr>
        <w:tc>
          <w:tcPr>
            <w:tcW w:w="230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30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160"/>
        </w:trPr>
        <w:tc>
          <w:tcPr>
            <w:tcW w:w="230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8"/>
                <w:szCs w:val="18"/>
                <w:color w:val="auto"/>
              </w:rPr>
              <w:t>Balance at December 31,</w:t>
            </w: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17,396,640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107,228</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3,012,284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(50,088)</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(46,140)</w:t>
            </w:r>
          </w:p>
        </w:tc>
        <w:tc>
          <w:tcPr>
            <w:tcW w:w="0" w:type="dxa"/>
            <w:vAlign w:val="bottom"/>
          </w:tcPr>
          <w:p>
            <w:pPr>
              <w:spacing w:after="0"/>
              <w:rPr>
                <w:sz w:val="1"/>
                <w:szCs w:val="1"/>
                <w:color w:val="auto"/>
              </w:rPr>
            </w:pPr>
          </w:p>
        </w:tc>
      </w:tr>
      <w:tr>
        <w:trPr>
          <w:trHeight w:val="187"/>
        </w:trPr>
        <w:tc>
          <w:tcPr>
            <w:tcW w:w="2300" w:type="dxa"/>
            <w:vAlign w:val="bottom"/>
          </w:tcPr>
          <w:p>
            <w:pPr>
              <w:spacing w:after="0" w:line="187" w:lineRule="exact"/>
              <w:rPr>
                <w:sz w:val="20"/>
                <w:szCs w:val="20"/>
                <w:color w:val="auto"/>
              </w:rPr>
            </w:pPr>
            <w:r>
              <w:rPr>
                <w:rFonts w:ascii="Arial" w:cs="Arial" w:eastAsia="Arial" w:hAnsi="Arial"/>
                <w:sz w:val="18"/>
                <w:szCs w:val="18"/>
                <w:color w:val="auto"/>
              </w:rPr>
              <w:t>Exercise of stock options</w:t>
            </w: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00" w:type="dxa"/>
            <w:vAlign w:val="bottom"/>
          </w:tcPr>
          <w:p>
            <w:pPr>
              <w:ind w:left="180"/>
              <w:spacing w:after="0"/>
              <w:rPr>
                <w:sz w:val="20"/>
                <w:szCs w:val="20"/>
                <w:color w:val="auto"/>
              </w:rPr>
            </w:pPr>
            <w:r>
              <w:rPr>
                <w:rFonts w:ascii="Arial" w:cs="Arial" w:eastAsia="Arial" w:hAnsi="Arial"/>
                <w:sz w:val="18"/>
                <w:szCs w:val="18"/>
                <w:color w:val="auto"/>
              </w:rPr>
              <w:t>(unaudited)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33,916</w:t>
            </w:r>
          </w:p>
        </w:tc>
        <w:tc>
          <w:tcPr>
            <w:tcW w:w="2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 (unaudited)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auto"/>
              </w:rPr>
              <w:t>Net loss (unaudited)</w:t>
            </w: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0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(12,129)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(12,129)</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Unrealized gain on</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(unaudited)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230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17,396,640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107,228</w:t>
            </w: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3,046,200</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(62,217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(57,723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Balance at December 31,</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22,866,246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168,933</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3,046,200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4,969</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(75,440)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(70,474)</w:t>
            </w:r>
          </w:p>
        </w:tc>
        <w:tc>
          <w:tcPr>
            <w:tcW w:w="0" w:type="dxa"/>
            <w:vAlign w:val="bottom"/>
          </w:tcPr>
          <w:p>
            <w:pPr>
              <w:spacing w:after="0"/>
              <w:rPr>
                <w:sz w:val="1"/>
                <w:szCs w:val="1"/>
                <w:color w:val="auto"/>
              </w:rPr>
            </w:pPr>
          </w:p>
        </w:tc>
      </w:tr>
      <w:tr>
        <w:trPr>
          <w:trHeight w:val="187"/>
        </w:trPr>
        <w:tc>
          <w:tcPr>
            <w:tcW w:w="2300" w:type="dxa"/>
            <w:vAlign w:val="bottom"/>
          </w:tcPr>
          <w:p>
            <w:pPr>
              <w:spacing w:after="0" w:line="187" w:lineRule="exact"/>
              <w:rPr>
                <w:sz w:val="20"/>
                <w:szCs w:val="20"/>
                <w:color w:val="auto"/>
              </w:rPr>
            </w:pPr>
            <w:r>
              <w:rPr>
                <w:rFonts w:ascii="Arial" w:cs="Arial" w:eastAsia="Arial" w:hAnsi="Arial"/>
                <w:sz w:val="18"/>
                <w:szCs w:val="18"/>
                <w:color w:val="auto"/>
              </w:rPr>
              <w:t>Stock-based compensation</w:t>
            </w: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00" w:type="dxa"/>
            <w:vAlign w:val="bottom"/>
          </w:tcPr>
          <w:p>
            <w:pPr>
              <w:ind w:left="180"/>
              <w:spacing w:after="0"/>
              <w:rPr>
                <w:sz w:val="20"/>
                <w:szCs w:val="20"/>
                <w:color w:val="auto"/>
              </w:rPr>
            </w:pPr>
            <w:r>
              <w:rPr>
                <w:rFonts w:ascii="Arial" w:cs="Arial" w:eastAsia="Arial" w:hAnsi="Arial"/>
                <w:sz w:val="18"/>
                <w:szCs w:val="18"/>
                <w:color w:val="auto"/>
              </w:rPr>
              <w:t>expense (unaudited)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679</w:t>
            </w: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(unaudited)</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
              <w:spacing w:after="0" w:line="202" w:lineRule="exact"/>
              <w:rPr>
                <w:sz w:val="20"/>
                <w:szCs w:val="20"/>
                <w:color w:val="auto"/>
              </w:rPr>
            </w:pPr>
            <w:r>
              <w:rPr>
                <w:rFonts w:ascii="Arial" w:cs="Arial" w:eastAsia="Arial" w:hAnsi="Arial"/>
                <w:sz w:val="18"/>
                <w:szCs w:val="18"/>
                <w:color w:val="auto"/>
              </w:rPr>
              <w:t>(15,221)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180"/>
        </w:trPr>
        <w:tc>
          <w:tcPr>
            <w:tcW w:w="2300" w:type="dxa"/>
            <w:vAlign w:val="bottom"/>
          </w:tcPr>
          <w:p>
            <w:pPr>
              <w:spacing w:after="0" w:line="180" w:lineRule="exact"/>
              <w:rPr>
                <w:sz w:val="20"/>
                <w:szCs w:val="20"/>
                <w:color w:val="auto"/>
              </w:rPr>
            </w:pPr>
            <w:r>
              <w:rPr>
                <w:rFonts w:ascii="Arial" w:cs="Arial" w:eastAsia="Arial" w:hAnsi="Arial"/>
                <w:sz w:val="18"/>
                <w:szCs w:val="18"/>
                <w:color w:val="auto"/>
              </w:rPr>
              <w:t>Unrealized gain on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300" w:type="dxa"/>
            <w:vAlign w:val="bottom"/>
          </w:tcPr>
          <w:p>
            <w:pPr>
              <w:ind w:left="180"/>
              <w:spacing w:after="0"/>
              <w:rPr>
                <w:sz w:val="20"/>
                <w:szCs w:val="20"/>
                <w:color w:val="auto"/>
              </w:rPr>
            </w:pPr>
            <w:r>
              <w:rPr>
                <w:rFonts w:ascii="Arial" w:cs="Arial" w:eastAsia="Arial" w:hAnsi="Arial"/>
                <w:sz w:val="18"/>
                <w:szCs w:val="18"/>
                <w:color w:val="auto"/>
              </w:rPr>
              <w:t>investments (unaudited)</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2020</w:t>
            </w: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22,866,246</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168,933</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3,046,200</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5,648</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2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
              <w:spacing w:after="0" w:line="202" w:lineRule="exact"/>
              <w:rPr>
                <w:sz w:val="20"/>
                <w:szCs w:val="20"/>
                <w:color w:val="auto"/>
              </w:rPr>
            </w:pPr>
            <w:r>
              <w:rPr>
                <w:rFonts w:ascii="Arial" w:cs="Arial" w:eastAsia="Arial" w:hAnsi="Arial"/>
                <w:sz w:val="18"/>
                <w:szCs w:val="18"/>
                <w:color w:val="auto"/>
              </w:rPr>
              <w:t>(90,661)</w:t>
            </w:r>
          </w:p>
        </w:tc>
        <w:tc>
          <w:tcPr>
            <w:tcW w:w="2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r>
        <w:trPr>
          <w:trHeight w:val="187"/>
        </w:trPr>
        <w:tc>
          <w:tcPr>
            <w:tcW w:w="2300" w:type="dxa"/>
            <w:vAlign w:val="bottom"/>
          </w:tcPr>
          <w:p>
            <w:pPr>
              <w:spacing w:after="0" w:line="187" w:lineRule="exact"/>
              <w:rPr>
                <w:sz w:val="20"/>
                <w:szCs w:val="20"/>
                <w:color w:val="auto"/>
              </w:rPr>
            </w:pPr>
            <w:r>
              <w:rPr>
                <w:rFonts w:ascii="Arial" w:cs="Arial" w:eastAsia="Arial" w:hAnsi="Arial"/>
                <w:sz w:val="18"/>
                <w:szCs w:val="18"/>
                <w:color w:val="auto"/>
              </w:rPr>
              <w:t>Issuance of Series D</w:t>
            </w: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180"/>
              <w:spacing w:after="0" w:line="202" w:lineRule="exact"/>
              <w:rPr>
                <w:sz w:val="20"/>
                <w:szCs w:val="20"/>
                <w:color w:val="auto"/>
              </w:rPr>
            </w:pPr>
            <w:r>
              <w:rPr>
                <w:rFonts w:ascii="Arial" w:cs="Arial" w:eastAsia="Arial" w:hAnsi="Arial"/>
                <w:sz w:val="18"/>
                <w:szCs w:val="18"/>
                <w:color w:val="auto"/>
              </w:rPr>
              <w:t>Convertible Preferred</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00" w:type="dxa"/>
            <w:vAlign w:val="bottom"/>
          </w:tcPr>
          <w:p>
            <w:pPr>
              <w:ind w:left="180"/>
              <w:spacing w:after="0"/>
              <w:rPr>
                <w:sz w:val="20"/>
                <w:szCs w:val="20"/>
                <w:color w:val="auto"/>
              </w:rPr>
            </w:pPr>
            <w:r>
              <w:rPr>
                <w:rFonts w:ascii="Arial" w:cs="Arial" w:eastAsia="Arial" w:hAnsi="Arial"/>
                <w:sz w:val="18"/>
                <w:szCs w:val="18"/>
                <w:color w:val="auto"/>
              </w:rPr>
              <w:t>Stock (unaudited)</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5,321,864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69,970</w:t>
            </w:r>
          </w:p>
        </w:tc>
        <w:tc>
          <w:tcPr>
            <w:tcW w:w="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Conversion of convertible</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preferred stock into</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28,188,110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(238,903)</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28,188,110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238,903</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238,903</w:t>
            </w:r>
          </w:p>
        </w:tc>
        <w:tc>
          <w:tcPr>
            <w:tcW w:w="0" w:type="dxa"/>
            <w:vAlign w:val="bottom"/>
          </w:tcPr>
          <w:p>
            <w:pPr>
              <w:spacing w:after="0"/>
              <w:rPr>
                <w:sz w:val="1"/>
                <w:szCs w:val="1"/>
                <w:color w:val="auto"/>
              </w:rPr>
            </w:pPr>
          </w:p>
        </w:tc>
      </w:tr>
      <w:tr>
        <w:trPr>
          <w:trHeight w:val="187"/>
        </w:trPr>
        <w:tc>
          <w:tcPr>
            <w:tcW w:w="2300" w:type="dxa"/>
            <w:vAlign w:val="bottom"/>
          </w:tcPr>
          <w:p>
            <w:pPr>
              <w:spacing w:after="0" w:line="187" w:lineRule="exact"/>
              <w:rPr>
                <w:sz w:val="20"/>
                <w:szCs w:val="20"/>
                <w:color w:val="auto"/>
              </w:rPr>
            </w:pPr>
            <w:r>
              <w:rPr>
                <w:rFonts w:ascii="Arial" w:cs="Arial" w:eastAsia="Arial" w:hAnsi="Arial"/>
                <w:sz w:val="18"/>
                <w:szCs w:val="18"/>
                <w:color w:val="auto"/>
              </w:rPr>
              <w:t>Pro forma balance at</w:t>
            </w: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00" w:type="dxa"/>
            <w:vAlign w:val="bottom"/>
          </w:tcPr>
          <w:p>
            <w:pPr>
              <w:ind w:left="180"/>
              <w:spacing w:after="0"/>
              <w:rPr>
                <w:sz w:val="20"/>
                <w:szCs w:val="20"/>
                <w:color w:val="auto"/>
              </w:rPr>
            </w:pPr>
            <w:r>
              <w:rPr>
                <w:rFonts w:ascii="Arial" w:cs="Arial" w:eastAsia="Arial" w:hAnsi="Arial"/>
                <w:sz w:val="18"/>
                <w:szCs w:val="18"/>
                <w:color w:val="auto"/>
              </w:rPr>
              <w:t>June 30, 2020</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31,234,310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244,551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rPr>
              <w:t>(90,661)</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153,895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Six Months</w:t>
            </w:r>
          </w:p>
        </w:tc>
        <w:tc>
          <w:tcPr>
            <w:tcW w:w="28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Ended</w:t>
            </w: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2020</w:t>
            </w:r>
          </w:p>
        </w:tc>
      </w:tr>
      <w:tr>
        <w:trPr>
          <w:trHeight w:val="177"/>
        </w:trPr>
        <w:tc>
          <w:tcPr>
            <w:tcW w:w="8360" w:type="dxa"/>
            <w:vAlign w:val="bottom"/>
          </w:tcPr>
          <w:p>
            <w:pPr>
              <w:spacing w:after="0"/>
              <w:rPr>
                <w:sz w:val="15"/>
                <w:szCs w:val="15"/>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5"/>
                <w:szCs w:val="15"/>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(unaudited)</w:t>
            </w:r>
          </w:p>
        </w:tc>
      </w:tr>
      <w:tr>
        <w:trPr>
          <w:trHeight w:val="183"/>
        </w:trPr>
        <w:tc>
          <w:tcPr>
            <w:tcW w:w="8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(12,129)</w:t>
            </w:r>
          </w:p>
        </w:tc>
        <w:tc>
          <w:tcPr>
            <w:tcW w:w="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(15,221)</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430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679</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182</w:t>
            </w: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premiums on marketable securities</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147</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w:t>
            </w: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w:t>
            </w: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(1,205)</w:t>
            </w:r>
          </w:p>
        </w:tc>
      </w:tr>
      <w:tr>
        <w:trPr>
          <w:trHeight w:val="210"/>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(11,211)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(15,034)</w:t>
            </w:r>
          </w:p>
        </w:tc>
      </w:tr>
      <w:tr>
        <w:trPr>
          <w:trHeight w:val="209"/>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property and equipment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Purchase of marketable securities</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(10,735)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(14,618)</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33,610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34,600</w:t>
            </w:r>
          </w:p>
        </w:tc>
      </w:tr>
      <w:tr>
        <w:trPr>
          <w:trHeight w:val="217"/>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19,931</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Payment of deferred offering costs</w:t>
            </w:r>
          </w:p>
        </w:tc>
        <w:tc>
          <w:tcPr>
            <w:tcW w:w="18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w:t>
            </w:r>
          </w:p>
        </w:tc>
      </w:tr>
      <w:tr>
        <w:trPr>
          <w:trHeight w:val="202"/>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17"/>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increase in cash and cash equivalents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11,663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4,773</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 beginning of period</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Cash and cash equivalents - end of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78,051</w:t>
            </w:r>
          </w:p>
        </w:tc>
        <w:tc>
          <w:tcPr>
            <w:tcW w:w="12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Cash paid for income tax</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w:t>
            </w:r>
          </w:p>
        </w:tc>
        <w:tc>
          <w:tcPr>
            <w:tcW w:w="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disclosures of noncash financing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3"/>
        </w:trPr>
        <w:tc>
          <w:tcPr>
            <w:tcW w:w="8360" w:type="dxa"/>
            <w:vAlign w:val="bottom"/>
          </w:tcPr>
          <w:p>
            <w:pPr>
              <w:ind w:left="360"/>
              <w:spacing w:after="0"/>
              <w:rPr>
                <w:sz w:val="20"/>
                <w:szCs w:val="20"/>
                <w:color w:val="auto"/>
              </w:rPr>
            </w:pPr>
            <w:r>
              <w:rPr>
                <w:rFonts w:ascii="Arial" w:cs="Arial" w:eastAsia="Arial" w:hAnsi="Arial"/>
                <w:sz w:val="18"/>
                <w:szCs w:val="18"/>
                <w:color w:val="auto"/>
              </w:rPr>
              <w:t>Unpaid offering costs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1,382</w:t>
            </w: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2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 Formation and Business of the Company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Organization</w:t>
      </w:r>
    </w:p>
    <w:p>
      <w:pPr>
        <w:spacing w:after="0" w:line="104"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mutations. The Company’s headquarters are located in Cranbury, New Jersey.</w:t>
      </w:r>
    </w:p>
    <w:p>
      <w:pPr>
        <w:spacing w:after="0" w:line="170"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80"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The Company has incurred net losses and negative cash flows from operations. During the six months ended June 30, 2020, the Company incurred a net loss of $15,221 and used $15,034 of cash for operations. At June 30, 2020, the Company had accumulated deficit of $90,661. Cash, cash equivalents and short-term marketable securities at June 30, 2020 were $86,136. Management expects to incur substantial additional operating losses for the next several years and will need to obtain additional debt or equity financings in order to complete development of its products, obtain regulatory approvals, launch and commercialize its products and continue research and development programs. The Company believes it has adequate cash and financial resources to operate for at least the next twelve months from the date of issuance of these financial statements.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104" w:lineRule="exact"/>
        <w:rPr>
          <w:sz w:val="20"/>
          <w:szCs w:val="20"/>
          <w:color w:val="auto"/>
        </w:rPr>
      </w:pPr>
    </w:p>
    <w:p>
      <w:pPr>
        <w:jc w:val="both"/>
        <w:ind w:left="120" w:right="100" w:firstLine="551"/>
        <w:spacing w:after="0" w:line="255" w:lineRule="auto"/>
        <w:rPr>
          <w:sz w:val="20"/>
          <w:szCs w:val="20"/>
          <w:color w:val="auto"/>
        </w:rPr>
      </w:pPr>
      <w:r>
        <w:rPr>
          <w:rFonts w:ascii="Arial" w:cs="Arial" w:eastAsia="Arial" w:hAnsi="Arial"/>
          <w:sz w:val="18"/>
          <w:szCs w:val="18"/>
          <w:color w:val="auto"/>
        </w:rPr>
        <w:t>The Company’s significant accounting policies are disclosed in the audited financial statements for the year ended December 31, 2019, included elsewhere in this prospectus. Since the date of those financial statements, there have been no changes to its significant accounting policies except as noted below.</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left="120" w:firstLine="551"/>
        <w:spacing w:after="0" w:line="260" w:lineRule="auto"/>
        <w:rPr>
          <w:sz w:val="20"/>
          <w:szCs w:val="20"/>
          <w:color w:val="auto"/>
        </w:rPr>
      </w:pPr>
      <w:r>
        <w:rPr>
          <w:rFonts w:ascii="Arial" w:cs="Arial" w:eastAsia="Arial" w:hAnsi="Arial"/>
          <w:sz w:val="17"/>
          <w:szCs w:val="17"/>
          <w:color w:val="auto"/>
        </w:rPr>
        <w:t>The unaudited interim condensed financial statements have been prepared on the same basis as the audited financial statements. In the opinion of the Company’s management, the accompanying unaudited interim consolidated financial statements contain all adjustments that are necessary to present fairly the Company’s financial position as of June 30, 2020, the results of its operations and other comprehensive loss for the six months ended June 30, 2020 and 2019, convertible preferred stock and stockholders’ deficit for the six months ended June 30, 2020 and 2019 and cash flows for the six months ended June 30, 2020 and 2019. Such adjustments are of a normal and recurring nature. The results for the six months ended June 30, 2020 are not necessarily indicative of the results for the</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20"/>
          </w:cols>
          <w:pgMar w:left="320" w:top="455" w:right="55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5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year ending December 31, 2020, or for any future period. These interim financial statements should be read in conjunction with the audited financial statements as of and for the year ended December 31, 2019, and the notes thereto, which are included elsewhere in this prospectus.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In September 2020, the Company’s Board of Directors and stockholders approved an amendment to the Company’s amended and restated certificate of incorporation to effect a 5.2651-for-1 reverse stock split of the Company’s common stock and convertible preferred stock, which was effected on September 18, 2020. The par value of the common stock and convertible preferred stock were not adjusted as a result of the reverse stock split. Accordingly, all common stock, convertible preferred stock, stock options, and related per share amounts in these unaudited interm financial statements have been retroactively adjusted for all periods presented to give effect to the reverse stock split.</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212"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deficit. Premiums and discounts on marketable debt securities are amortized into earnings over the life of the security. For the six-months ended June 30, 2019 and 2020, the Company recorded $35 and $147 of amortization, respectively.</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0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The Company recorded $16 and $8 in other comprehensive income related to unrealized gains on marketable securities, net of tax for the six-months ended June 30, 2019 and 2020, respectively. The Company presents comprehensive income in a single statement within its financial statements.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260" w:firstLine="551"/>
        <w:spacing w:after="0" w:line="245"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 outstanding shares of convertible preferred stock during the year ended December 31, 2019 into shares of common stock as if such conversion had occurred at January 1, 2020, inclusive of 5,321,864 shares of common stock issuable upon the conversion of the Company’s Series D convertible preferred stock (“Series D Preferred Stock”) issued in July 2020.</w:t>
      </w:r>
    </w:p>
    <w:p>
      <w:pPr>
        <w:spacing w:after="0" w:line="172"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Upon the closing of the Company’s qualified initial public offering (see Note 6), all of the outstanding shares of convertible preferred stock will automatically convert into shares of common</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5" w:right="47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3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80"/>
        <w:spacing w:after="0" w:line="260" w:lineRule="auto"/>
        <w:rPr>
          <w:sz w:val="20"/>
          <w:szCs w:val="20"/>
          <w:color w:val="auto"/>
        </w:rPr>
      </w:pPr>
      <w:r>
        <w:rPr>
          <w:rFonts w:ascii="Arial" w:cs="Arial" w:eastAsia="Arial" w:hAnsi="Arial"/>
          <w:sz w:val="17"/>
          <w:szCs w:val="17"/>
          <w:color w:val="auto"/>
        </w:rPr>
        <w:t>stock. The unaudited pro forma condensed balance sheet and the unaudited pro forma condensed statements of convertible preferred stock and stockholders’ (deficit) equity give pro forma effect to the issuance and sale in July 2020 of an aggregate of 5,321,864 shares of the Company’s Series D Preferred Stock for gross proceeds of $70,000 and the conversion of all issued and outstanding shares of convertible preferred stock as of June 30, 2020 into shares of common stock, inclusive of 5,321,864 shares of common stock issuable upon the conversion of the Company’s Series D Preferred Stock issued in July 2020. The shares of common stock expected to be issued and the proceeds expected to be received in the initial public offering (“IPO”) are excluded from such pro forma financial information.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Company capitalizes incremental legal, professional, accounting, and other third-party fees that are directly associated with the planned IPO as other non-current assets until the IPO is consummated. After consummation of the IPO, these costs will be recorded in stockholders’ deficit as a reduction of additional paid-in-capital generated from the offering. If the Company terminates its plan for an IPO, any costs deferred will be expensed immediately. As of June 30, 2020, deferred offering costs were $1,475.</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0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(which currently only includes share-based payments to employees) to include share-based payments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for goods or services. Consequently, the accounting for share-based payments to nonemployees and employees will be substantially aligned. The ASU supersedes Subtopic 505-50, Equity—Equity-Based Payments to Non-Employees. The pronouncement is effective for the Company in the annual period beginning after December 15, 2019, and early adoption is permitted. The Company adopted this guidance on January 1, 2020. The adoption of this standard did not have a material impact on the Company’s financial statements.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04"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In December 2019, the FASB issued ASU 2019-12, Income Taxes – Simplifying the Accounting for Income Taxes. The new guidance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new standard is effective for fiscal years beginning after December 15, 2021, and interim periods within fiscal years beginning after December 15, 2022 for all non-public entities, with early adoption permitted. The Company is currently assessing the impact that adopting this standard will have on its financial statements.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04"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and cash equivalents and marketable securities. Cash and cash equivalents includes a checking account held at one financial institution. At times, such deposits may be in excess of insured limits. The Company has not experienced any losses on its deposits of cash and cash</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5" w:right="47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280"/>
        <w:spacing w:after="0" w:line="276" w:lineRule="auto"/>
        <w:rPr>
          <w:sz w:val="20"/>
          <w:szCs w:val="20"/>
          <w:color w:val="auto"/>
        </w:rPr>
      </w:pPr>
      <w:r>
        <w:rPr>
          <w:rFonts w:ascii="Arial" w:cs="Arial" w:eastAsia="Arial" w:hAnsi="Arial"/>
          <w:sz w:val="18"/>
          <w:szCs w:val="18"/>
          <w:color w:val="auto"/>
        </w:rPr>
        <w:t>equivalents. The Company’s marketable debt securities are carried at fair value with unrealized gains and losses. Any investments with unrealized losses are considered to be temporarily impaired.</w:t>
      </w:r>
    </w:p>
    <w:p>
      <w:pPr>
        <w:spacing w:after="0" w:line="145" w:lineRule="exact"/>
        <w:rPr>
          <w:sz w:val="20"/>
          <w:szCs w:val="20"/>
          <w:color w:val="auto"/>
        </w:rPr>
      </w:pPr>
    </w:p>
    <w:p>
      <w:pPr>
        <w:ind w:left="120" w:right="320" w:firstLine="551"/>
        <w:spacing w:after="0" w:line="248"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170"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170"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Financial Instruments and Fair Value Measurements</w:t>
      </w:r>
    </w:p>
    <w:p>
      <w:pPr>
        <w:spacing w:after="0" w:line="10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The Company’s financial instruments consist of money market funds, U.S. government debt securities and corporate debt securities. The following tables show the Company’s cash equivalents and available-for-sale securities’ carrying amounts and fair values at December 31, 2019 and June 30, 2020:</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11"/>
          </w:tcPr>
          <w:p>
            <w:pPr>
              <w:jc w:val="center"/>
              <w:ind w:right="880"/>
              <w:spacing w:after="0"/>
              <w:rPr>
                <w:sz w:val="20"/>
                <w:szCs w:val="20"/>
                <w:color w:val="auto"/>
              </w:rPr>
            </w:pPr>
            <w:r>
              <w:rPr>
                <w:rFonts w:ascii="Arial" w:cs="Arial" w:eastAsia="Arial" w:hAnsi="Arial"/>
                <w:sz w:val="14"/>
                <w:szCs w:val="14"/>
                <w:b w:val="1"/>
                <w:bCs w:val="1"/>
                <w:color w:val="auto"/>
              </w:rPr>
              <w:t>As of June 30, 2020 (unaudited)</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5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gridSpan w:val="4"/>
          </w:tcPr>
          <w:p>
            <w:pPr>
              <w:ind w:left="20"/>
              <w:spacing w:after="0" w:line="141" w:lineRule="exact"/>
              <w:rPr>
                <w:sz w:val="20"/>
                <w:szCs w:val="20"/>
                <w:color w:val="auto"/>
              </w:rPr>
            </w:pPr>
            <w:r>
              <w:rPr>
                <w:rFonts w:ascii="Arial" w:cs="Arial" w:eastAsia="Arial" w:hAnsi="Arial"/>
                <w:sz w:val="14"/>
                <w:szCs w:val="14"/>
                <w:b w:val="1"/>
                <w:bCs w:val="1"/>
                <w:color w:val="auto"/>
              </w:rPr>
              <w:t>Quoted priced in</w:t>
            </w:r>
          </w:p>
        </w:tc>
        <w:tc>
          <w:tcPr>
            <w:tcW w:w="60" w:type="dxa"/>
            <w:vAlign w:val="bottom"/>
          </w:tcPr>
          <w:p>
            <w:pPr>
              <w:spacing w:after="0"/>
              <w:rPr>
                <w:sz w:val="12"/>
                <w:szCs w:val="12"/>
                <w:color w:val="auto"/>
              </w:rPr>
            </w:pPr>
          </w:p>
        </w:tc>
        <w:tc>
          <w:tcPr>
            <w:tcW w:w="1420" w:type="dxa"/>
            <w:vAlign w:val="bottom"/>
            <w:gridSpan w:val="4"/>
          </w:tcPr>
          <w:p>
            <w:pPr>
              <w:spacing w:after="0" w:line="141" w:lineRule="exact"/>
              <w:rPr>
                <w:sz w:val="20"/>
                <w:szCs w:val="20"/>
                <w:color w:val="auto"/>
              </w:rPr>
            </w:pPr>
            <w:r>
              <w:rPr>
                <w:rFonts w:ascii="Arial" w:cs="Arial" w:eastAsia="Arial" w:hAnsi="Arial"/>
                <w:sz w:val="14"/>
                <w:szCs w:val="14"/>
                <w:b w:val="1"/>
                <w:bCs w:val="1"/>
                <w:color w:val="auto"/>
              </w:rPr>
              <w:t>Significant other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5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active markets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observable</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Fair Value</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5"/>
                <w:szCs w:val="15"/>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inputs (level 2)</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2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8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48,657</w:t>
            </w:r>
          </w:p>
        </w:tc>
        <w:tc>
          <w:tcPr>
            <w:tcW w:w="1260" w:type="dxa"/>
            <w:vAlign w:val="bottom"/>
            <w:gridSpan w:val="5"/>
          </w:tcPr>
          <w:p>
            <w:pPr>
              <w:jc w:val="right"/>
              <w:ind w:right="260"/>
              <w:spacing w:after="0" w:line="202" w:lineRule="exact"/>
              <w:rPr>
                <w:sz w:val="20"/>
                <w:szCs w:val="20"/>
                <w:color w:val="auto"/>
              </w:rPr>
            </w:pPr>
            <w:r>
              <w:rPr>
                <w:rFonts w:ascii="Arial" w:cs="Arial" w:eastAsia="Arial" w:hAnsi="Arial"/>
                <w:sz w:val="18"/>
                <w:szCs w:val="18"/>
                <w:color w:val="auto"/>
              </w:rPr>
              <w:t>48,657</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48,657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86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32,081</w:t>
            </w:r>
          </w:p>
        </w:tc>
        <w:tc>
          <w:tcPr>
            <w:tcW w:w="1260" w:type="dxa"/>
            <w:vAlign w:val="bottom"/>
            <w:gridSpan w:val="5"/>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32,086</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32,086</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9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80,738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$ 80,743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48,657</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32,086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412"/>
        </w:trPr>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As of December 31, 2019</w:t>
            </w: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5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5"/>
          </w:tcPr>
          <w:p>
            <w:pPr>
              <w:spacing w:after="0" w:line="141" w:lineRule="exact"/>
              <w:rPr>
                <w:sz w:val="20"/>
                <w:szCs w:val="20"/>
                <w:color w:val="auto"/>
              </w:rPr>
            </w:pPr>
            <w:r>
              <w:rPr>
                <w:rFonts w:ascii="Arial" w:cs="Arial" w:eastAsia="Arial" w:hAnsi="Arial"/>
                <w:sz w:val="14"/>
                <w:szCs w:val="14"/>
                <w:b w:val="1"/>
                <w:bCs w:val="1"/>
                <w:color w:val="auto"/>
              </w:rPr>
              <w:t>Quoted Priced in</w:t>
            </w:r>
          </w:p>
        </w:tc>
        <w:tc>
          <w:tcPr>
            <w:tcW w:w="1480" w:type="dxa"/>
            <w:vAlign w:val="bottom"/>
            <w:gridSpan w:val="5"/>
          </w:tcPr>
          <w:p>
            <w:pPr>
              <w:spacing w:after="0" w:line="141" w:lineRule="exact"/>
              <w:rPr>
                <w:sz w:val="20"/>
                <w:szCs w:val="20"/>
                <w:color w:val="auto"/>
              </w:rPr>
            </w:pPr>
            <w:r>
              <w:rPr>
                <w:rFonts w:ascii="Arial" w:cs="Arial" w:eastAsia="Arial" w:hAnsi="Arial"/>
                <w:sz w:val="14"/>
                <w:szCs w:val="14"/>
                <w:b w:val="1"/>
                <w:bCs w:val="1"/>
                <w:color w:val="auto"/>
              </w:rPr>
              <w:t>Significant Other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4"/>
          </w:tcPr>
          <w:p>
            <w:pPr>
              <w:ind w:left="20"/>
              <w:spacing w:after="0"/>
              <w:rPr>
                <w:sz w:val="20"/>
                <w:szCs w:val="20"/>
                <w:color w:val="auto"/>
              </w:rPr>
            </w:pPr>
            <w:r>
              <w:rPr>
                <w:rFonts w:ascii="Arial" w:cs="Arial" w:eastAsia="Arial" w:hAnsi="Arial"/>
                <w:sz w:val="14"/>
                <w:szCs w:val="14"/>
                <w:b w:val="1"/>
                <w:bCs w:val="1"/>
                <w:color w:val="auto"/>
              </w:rPr>
              <w:t>Active Markets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Observable</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Arial" w:cs="Arial" w:eastAsia="Arial" w:hAnsi="Arial"/>
                <w:sz w:val="14"/>
                <w:szCs w:val="14"/>
                <w:b w:val="1"/>
                <w:bCs w:val="1"/>
                <w:color w:val="auto"/>
              </w:rPr>
              <w:t>(Level 1)</w:t>
            </w:r>
          </w:p>
        </w:tc>
        <w:tc>
          <w:tcPr>
            <w:tcW w:w="1480" w:type="dxa"/>
            <w:vAlign w:val="bottom"/>
            <w:gridSpan w:val="5"/>
          </w:tcPr>
          <w:p>
            <w:pPr>
              <w:ind w:left="60"/>
              <w:spacing w:after="0"/>
              <w:rPr>
                <w:sz w:val="20"/>
                <w:szCs w:val="20"/>
                <w:color w:val="auto"/>
              </w:rPr>
            </w:pPr>
            <w:r>
              <w:rPr>
                <w:rFonts w:ascii="Arial" w:cs="Arial" w:eastAsia="Arial" w:hAnsi="Arial"/>
                <w:sz w:val="14"/>
                <w:szCs w:val="14"/>
                <w:b w:val="1"/>
                <w:bCs w:val="1"/>
                <w:color w:val="auto"/>
              </w:rPr>
              <w:t>Inputs (Level 2)</w:t>
            </w:r>
          </w:p>
        </w:tc>
        <w:tc>
          <w:tcPr>
            <w:tcW w:w="300" w:type="dxa"/>
            <w:vAlign w:val="bottom"/>
          </w:tcPr>
          <w:p>
            <w:pPr>
              <w:spacing w:after="0"/>
              <w:rPr>
                <w:sz w:val="15"/>
                <w:szCs w:val="15"/>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2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8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1,680</w:t>
            </w:r>
          </w:p>
        </w:tc>
        <w:tc>
          <w:tcPr>
            <w:tcW w:w="10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1,680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1,680</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86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97,819</w:t>
            </w:r>
          </w:p>
        </w:tc>
        <w:tc>
          <w:tcPr>
            <w:tcW w:w="100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97,816</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97,816</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9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99,499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99,496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97,816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375"/>
        </w:trPr>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F-34</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right="140" w:firstLine="523"/>
        <w:spacing w:after="0" w:line="243"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Cash equivalents of $71.3 million as of December 31, 2019 consisted of money market funds of $1.7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corporate debt securities of $69.6 million. Cash equivalents of $72.7 million as of June 30, 2020 consisted of money market funds of $48.7 million and corporate debt securities of $24.0 million. Money market funds are classified within level 1 of the fair value hierarchy because they are valued using quoted market prices in active markets, whereas corporate securities are classified within level 2 of the fair value hierarchy because they are valued using inputs other than quoted prices that are observable for the asset or liability either directly or indirectly.</w:t>
      </w:r>
    </w:p>
    <w:p>
      <w:pPr>
        <w:spacing w:after="0" w:line="66" w:lineRule="exact"/>
        <w:rPr>
          <w:sz w:val="20"/>
          <w:szCs w:val="20"/>
          <w:color w:val="auto"/>
        </w:rPr>
      </w:pPr>
    </w:p>
    <w:p>
      <w:pPr>
        <w:ind w:left="660" w:right="380" w:firstLine="523"/>
        <w:spacing w:after="0" w:line="255" w:lineRule="auto"/>
        <w:rPr>
          <w:sz w:val="20"/>
          <w:szCs w:val="20"/>
          <w:color w:val="auto"/>
        </w:rPr>
      </w:pPr>
      <w:r>
        <w:rPr>
          <w:rFonts w:ascii="Arial" w:cs="Arial" w:eastAsia="Arial" w:hAnsi="Arial"/>
          <w:sz w:val="18"/>
          <w:szCs w:val="18"/>
          <w:b w:val="1"/>
          <w:bCs w:val="1"/>
          <w:i w:val="1"/>
          <w:iCs w:val="1"/>
          <w:color w:val="auto"/>
        </w:rPr>
        <w:t xml:space="preserve">Marketable Securities </w:t>
      </w:r>
      <w:r>
        <w:rPr>
          <w:rFonts w:ascii="Arial" w:cs="Arial" w:eastAsia="Arial" w:hAnsi="Arial"/>
          <w:sz w:val="18"/>
          <w:szCs w:val="18"/>
          <w:color w:val="auto"/>
        </w:rPr>
        <w:t>— Marketable securities of $28.2 million and $8.1 million as of December 31, 2019 and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respectively, consisted of corporate debt securities classified within level 2 of the fair value hierarchy because they are valued using inputs other than quoted prices that are observable for the asset or liability either directly or indirectly.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June 30,</w:t>
            </w:r>
          </w:p>
        </w:tc>
      </w:tr>
      <w:tr>
        <w:trPr>
          <w:trHeight w:val="162"/>
        </w:trPr>
        <w:tc>
          <w:tcPr>
            <w:tcW w:w="5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77"/>
        </w:trPr>
        <w:tc>
          <w:tcPr>
            <w:tcW w:w="55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Machinery &amp; equipment</w:t>
            </w:r>
          </w:p>
        </w:tc>
        <w:tc>
          <w:tcPr>
            <w:tcW w:w="29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1,898</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Computers</w:t>
            </w: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&amp; fixtures</w:t>
            </w:r>
          </w:p>
        </w:tc>
        <w:tc>
          <w:tcPr>
            <w:tcW w:w="2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w:t>
            </w:r>
          </w:p>
        </w:tc>
      </w:tr>
      <w:tr>
        <w:trPr>
          <w:trHeight w:val="210"/>
        </w:trPr>
        <w:tc>
          <w:tcPr>
            <w:tcW w:w="554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w:t>
            </w:r>
          </w:p>
        </w:tc>
        <w:tc>
          <w:tcPr>
            <w:tcW w:w="2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2,034</w:t>
            </w:r>
          </w:p>
        </w:tc>
      </w:tr>
      <w:tr>
        <w:trPr>
          <w:trHeight w:val="202"/>
        </w:trPr>
        <w:tc>
          <w:tcPr>
            <w:tcW w:w="554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(1,243)</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(1,425)</w:t>
            </w:r>
          </w:p>
        </w:tc>
      </w:tr>
      <w:tr>
        <w:trPr>
          <w:trHeight w:val="27"/>
        </w:trPr>
        <w:tc>
          <w:tcPr>
            <w:tcW w:w="5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3180" w:type="dxa"/>
            <w:vAlign w:val="bottom"/>
            <w:gridSpan w:val="2"/>
            <w:shd w:val="clear" w:color="auto" w:fill="CCEEFF"/>
          </w:tcPr>
          <w:p>
            <w:pPr>
              <w:ind w:left="29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609</w:t>
            </w:r>
          </w:p>
        </w:tc>
      </w:tr>
      <w:tr>
        <w:trPr>
          <w:trHeight w:val="20"/>
        </w:trPr>
        <w:tc>
          <w:tcPr>
            <w:tcW w:w="5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for the six months ended June 30, 2019 and 2020 was $186 and $182, respectively.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Accrued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consists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r>
      <w:tr>
        <w:trPr>
          <w:trHeight w:val="162"/>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77"/>
        </w:trPr>
        <w:tc>
          <w:tcPr>
            <w:tcW w:w="7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bonuses</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1,281</w:t>
            </w: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Accrued vacation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367</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554</w:t>
            </w: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legal and professional services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868</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 costs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476</w:t>
            </w: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liabiities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115</w:t>
            </w: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6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 Convertible Preferred Stock</w:t>
      </w:r>
    </w:p>
    <w:p>
      <w:pPr>
        <w:spacing w:after="0" w:line="104" w:lineRule="exact"/>
        <w:rPr>
          <w:sz w:val="20"/>
          <w:szCs w:val="20"/>
          <w:color w:val="auto"/>
        </w:rPr>
      </w:pPr>
    </w:p>
    <w:p>
      <w:pPr>
        <w:jc w:val="both"/>
        <w:ind w:left="120" w:right="80" w:firstLine="551"/>
        <w:spacing w:after="0" w:line="276" w:lineRule="auto"/>
        <w:rPr>
          <w:sz w:val="20"/>
          <w:szCs w:val="20"/>
          <w:color w:val="auto"/>
        </w:rPr>
      </w:pPr>
      <w:r>
        <w:rPr>
          <w:rFonts w:ascii="Arial" w:cs="Arial" w:eastAsia="Arial" w:hAnsi="Arial"/>
          <w:sz w:val="18"/>
          <w:szCs w:val="18"/>
          <w:color w:val="auto"/>
        </w:rPr>
        <w:t>The Company is authorized to issue up to 22,883,426 shares of convertible preferred stock with a par value of $0.00001 per share. 1,657,903 shares have been designated as Series Seed convertible</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120"/>
        <w:spacing w:after="0" w:line="245" w:lineRule="auto"/>
        <w:rPr>
          <w:sz w:val="20"/>
          <w:szCs w:val="20"/>
          <w:color w:val="auto"/>
        </w:rPr>
      </w:pPr>
      <w:r>
        <w:rPr>
          <w:rFonts w:ascii="Arial" w:cs="Arial" w:eastAsia="Arial" w:hAnsi="Arial"/>
          <w:sz w:val="18"/>
          <w:szCs w:val="18"/>
          <w:color w:val="auto"/>
        </w:rPr>
        <w:t>preferred stock (Series Seed Preferred), 8,076,985 shares have been designated as Series A convertible preferred stock (Series A Preferred), 7,672,560 shares have been designated as Series B convertible preferred stock (Series B Preferred) and 5,475,978 shares have been designated as Series C convertible preferred stock (Series C Preferred). As of June 30, 2020, the Company had an aggregate of 22,866,246 shares of Series Seed Preferred, Series A Preferred, Series B Preferred and Series C Preferred, (collectively, “Preferred Stock”) issued and outstanding.</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and June 30, 2020, the Preferred Stock consisted of the following (in thousands, except for share data):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Common Stock</w:t>
            </w:r>
          </w:p>
        </w:tc>
      </w:tr>
      <w:tr>
        <w:trPr>
          <w:trHeight w:val="162"/>
        </w:trPr>
        <w:tc>
          <w:tcPr>
            <w:tcW w:w="428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Preferred Stock</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Liquidation</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Issuable Upon</w:t>
            </w:r>
          </w:p>
        </w:tc>
      </w:tr>
      <w:tr>
        <w:trPr>
          <w:trHeight w:val="177"/>
        </w:trPr>
        <w:tc>
          <w:tcPr>
            <w:tcW w:w="4280" w:type="dxa"/>
            <w:vAlign w:val="bottom"/>
          </w:tcPr>
          <w:p>
            <w:pPr>
              <w:spacing w:after="0"/>
              <w:rPr>
                <w:sz w:val="15"/>
                <w:szCs w:val="15"/>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Authorized</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 Value</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Seed Preferred</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1,657,903</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1,647,102</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3,008</w:t>
            </w: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3,050</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1,647,102</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Series A Preferred</w:t>
            </w:r>
          </w:p>
        </w:tc>
        <w:tc>
          <w:tcPr>
            <w:tcW w:w="14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8,076,985</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8,076,982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30,593</w:t>
            </w:r>
          </w:p>
        </w:tc>
        <w:tc>
          <w:tcPr>
            <w:tcW w:w="120" w:type="dxa"/>
            <w:vAlign w:val="bottom"/>
          </w:tcPr>
          <w:p>
            <w:pPr>
              <w:spacing w:after="0"/>
              <w:rPr>
                <w:sz w:val="17"/>
                <w:szCs w:val="17"/>
                <w:color w:val="auto"/>
              </w:rPr>
            </w:pP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30,734</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8,076,982</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Preferred</w:t>
            </w:r>
          </w:p>
        </w:tc>
        <w:tc>
          <w:tcPr>
            <w:tcW w:w="14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7,672,560</w:t>
            </w: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7,672,556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73,627</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73,728</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7,672,556</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Series C Preferred</w:t>
            </w:r>
          </w:p>
        </w:tc>
        <w:tc>
          <w:tcPr>
            <w:tcW w:w="14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5,475,978</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5,469,606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61,705</w:t>
            </w:r>
          </w:p>
        </w:tc>
        <w:tc>
          <w:tcPr>
            <w:tcW w:w="120" w:type="dxa"/>
            <w:vAlign w:val="bottom"/>
          </w:tcPr>
          <w:p>
            <w:pPr>
              <w:spacing w:after="0"/>
              <w:rPr>
                <w:sz w:val="17"/>
                <w:szCs w:val="17"/>
                <w:color w:val="auto"/>
              </w:rPr>
            </w:pPr>
          </w:p>
        </w:tc>
        <w:tc>
          <w:tcPr>
            <w:tcW w:w="10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61,873</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5,469,606</w:t>
            </w:r>
          </w:p>
        </w:tc>
      </w:tr>
      <w:tr>
        <w:trPr>
          <w:trHeight w:val="27"/>
        </w:trPr>
        <w:tc>
          <w:tcPr>
            <w:tcW w:w="4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2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22,883,426</w:t>
            </w: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22,866,246</w:t>
            </w:r>
          </w:p>
        </w:tc>
        <w:tc>
          <w:tcPr>
            <w:tcW w:w="4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168,933</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169,385</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22,866,246</w:t>
            </w: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Preferred Stock have the rights, preferences, privileges and restrictions as set forth below:</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660" w:right="100" w:firstLine="523"/>
        <w:spacing w:after="0" w:line="248" w:lineRule="auto"/>
        <w:rPr>
          <w:sz w:val="20"/>
          <w:szCs w:val="20"/>
          <w:color w:val="auto"/>
        </w:rPr>
      </w:pPr>
      <w:r>
        <w:rPr>
          <w:rFonts w:ascii="Arial" w:cs="Arial" w:eastAsia="Arial" w:hAnsi="Arial"/>
          <w:sz w:val="18"/>
          <w:szCs w:val="18"/>
          <w:color w:val="auto"/>
        </w:rPr>
        <w:t>The holders of Preferred Stock are entitled to receive non-cumulative dividends prior to and in preference to any declaration of payment of dividends on common stock, when and if declared by the Board of Directors. Any additional dividends will be paid ratably to holders of common and Preferred Stock, with the holders of Preferred Stock participating on an as-if converted basis. No dividends have been declared or paid as of June 30, 2020.</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660" w:firstLine="523"/>
        <w:spacing w:after="0" w:line="243" w:lineRule="auto"/>
        <w:rPr>
          <w:sz w:val="20"/>
          <w:szCs w:val="20"/>
          <w:color w:val="auto"/>
        </w:rPr>
      </w:pPr>
      <w:r>
        <w:rPr>
          <w:rFonts w:ascii="Arial" w:cs="Arial" w:eastAsia="Arial" w:hAnsi="Arial"/>
          <w:sz w:val="18"/>
          <w:szCs w:val="18"/>
          <w:color w:val="auto"/>
        </w:rPr>
        <w:t>The holders of each share of Preferred Stock are entitled to voting rights equal to the number of shares of common stock into which the shares could be converted. As long as any shares of Preferred Stock remain outstanding, the holders of Preferred Stock, voting together as a class, shall be entitled to elect four members of the Company’s Board of Directors. The holders of common stock, voting together as a single class, shall be entitled to elect two members of the Company’s Board of Directors. Remaining members of the Company’s Board of Directors will be elected by the holders of a majority of the shares of Preferred Stock and common stock, voting together as a single class.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04" w:lineRule="exact"/>
        <w:rPr>
          <w:sz w:val="20"/>
          <w:szCs w:val="20"/>
          <w:color w:val="auto"/>
        </w:rPr>
      </w:pPr>
    </w:p>
    <w:p>
      <w:pPr>
        <w:jc w:val="both"/>
        <w:ind w:left="660" w:right="260" w:firstLine="523"/>
        <w:spacing w:after="0" w:line="248" w:lineRule="auto"/>
        <w:rPr>
          <w:sz w:val="20"/>
          <w:szCs w:val="20"/>
          <w:color w:val="auto"/>
        </w:rPr>
      </w:pPr>
      <w:r>
        <w:rPr>
          <w:rFonts w:ascii="Arial" w:cs="Arial" w:eastAsia="Arial" w:hAnsi="Arial"/>
          <w:sz w:val="18"/>
          <w:szCs w:val="18"/>
          <w:color w:val="auto"/>
        </w:rPr>
        <w:t>In the event of any liquidation, dissolution or winding up of the Company, whether voluntary or involuntary, the holders of Preferred Stock have liquidation preferences, before any distribution or payment is made to holders of any common stock, in an amount per share equal to the original issue price of $1.8517 for Series Seed Preferred, $3.7266 for Series A Preferred, $9.6093 for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line="245" w:lineRule="auto"/>
        <w:rPr>
          <w:sz w:val="20"/>
          <w:szCs w:val="20"/>
          <w:color w:val="auto"/>
        </w:rPr>
      </w:pPr>
      <w:r>
        <w:rPr>
          <w:rFonts w:ascii="Arial" w:cs="Arial" w:eastAsia="Arial" w:hAnsi="Arial"/>
          <w:sz w:val="18"/>
          <w:szCs w:val="18"/>
          <w:color w:val="auto"/>
        </w:rPr>
        <w:t>Series B Preferred and $ 11.3121 for Series C Preferred, as adjusted for stock splits, stock dividends, combinations, recapitalizations and the like, plus any declared but unpaid dividends.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64" w:lineRule="exact"/>
        <w:rPr>
          <w:sz w:val="20"/>
          <w:szCs w:val="20"/>
          <w:color w:val="auto"/>
        </w:rPr>
      </w:pPr>
    </w:p>
    <w:p>
      <w:pPr>
        <w:ind w:left="660" w:firstLine="523"/>
        <w:spacing w:after="0" w:line="241" w:lineRule="auto"/>
        <w:rPr>
          <w:sz w:val="20"/>
          <w:szCs w:val="20"/>
          <w:color w:val="auto"/>
        </w:rPr>
      </w:pPr>
      <w:r>
        <w:rPr>
          <w:rFonts w:ascii="Arial" w:cs="Arial" w:eastAsia="Arial" w:hAnsi="Arial"/>
          <w:sz w:val="18"/>
          <w:szCs w:val="18"/>
          <w:color w:val="auto"/>
        </w:rPr>
        <w:t>Upon completion of the payment of the full liquidation preference of Preferred Stock, the remaining assets of the Company, if any, shall be distributed with equal priority and ratably to the holders of common stock and Preferred Stock, with the Preferred Stock being treated as if the Preferred Stock had been converted to shares of common stock at the then applicable conversion rate. Notwithstanding the foregoing, the aggregate distributions made with respect to any shares of Preferred Stock may not exceed the greater of (i) an amount equal to two times the original issue price plus any declared but unpaid dividends on such share or (ii) the amount the holder would have received if all shares of the Preferred Stock were deemed to have been converted into common stock as of immediately prior to such liquidation, dissolution or winding up of the Company.</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ind w:left="660" w:right="80" w:firstLine="523"/>
        <w:spacing w:after="0" w:line="241" w:lineRule="auto"/>
        <w:rPr>
          <w:sz w:val="20"/>
          <w:szCs w:val="20"/>
          <w:color w:val="auto"/>
        </w:rPr>
      </w:pPr>
      <w:r>
        <w:rPr>
          <w:rFonts w:ascii="Arial" w:cs="Arial" w:eastAsia="Arial" w:hAnsi="Arial"/>
          <w:sz w:val="18"/>
          <w:szCs w:val="18"/>
          <w:color w:val="auto"/>
        </w:rPr>
        <w:t>Each share of Preferred Stock is convertible into shares of common stock, at the option of the holder, at any time after date of issuance. Each share of Preferred Stock automatically converts to the number of shares of common stock determined in accordance with the conversion rate upon the earlier of (i) written consent of two-thirds of the then outstanding shares of Preferred Stock, voting together as a single class, and written consent of the majority of the then outstanding shares of Series C Preferred or</w:t>
      </w:r>
    </w:p>
    <w:p>
      <w:pPr>
        <w:spacing w:after="0" w:line="1" w:lineRule="exact"/>
        <w:rPr>
          <w:sz w:val="20"/>
          <w:szCs w:val="20"/>
          <w:color w:val="auto"/>
        </w:rPr>
      </w:pPr>
    </w:p>
    <w:p>
      <w:pPr>
        <w:ind w:left="660" w:right="20" w:firstLine="7"/>
        <w:spacing w:after="0"/>
        <w:tabs>
          <w:tab w:leader="none" w:pos="91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closing of a public offering, in which the gross cash proceeds are at least $40,000 and the initial offering price to the public is at least $11.3121 per share (as adjusted for any stock splits, stock dividends, combinations, subdivisions, recapitalizations, reorganizations, reclassifications or the like). At June 30, 2020, the conversion price for each share of Series Seed Preferred, Series A Preferred, Series B Preferred and Series C Preferred is $1.8517, $3.7266, $9.6093 and $11.3121, respectively.</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w:t>
      </w:r>
    </w:p>
    <w:p>
      <w:pPr>
        <w:spacing w:after="0" w:line="104" w:lineRule="exact"/>
        <w:rPr>
          <w:sz w:val="20"/>
          <w:szCs w:val="20"/>
          <w:color w:val="auto"/>
        </w:rPr>
      </w:pPr>
    </w:p>
    <w:p>
      <w:pPr>
        <w:ind w:left="660" w:right="240" w:firstLine="523"/>
        <w:spacing w:after="0" w:line="276" w:lineRule="auto"/>
        <w:rPr>
          <w:sz w:val="20"/>
          <w:szCs w:val="20"/>
          <w:color w:val="auto"/>
        </w:rPr>
      </w:pPr>
      <w:r>
        <w:rPr>
          <w:rFonts w:ascii="Arial" w:cs="Arial" w:eastAsia="Arial" w:hAnsi="Arial"/>
          <w:sz w:val="18"/>
          <w:szCs w:val="18"/>
          <w:color w:val="auto"/>
        </w:rPr>
        <w:t>The Preferred Stock is not currently redeemable. Upon certain change in control events that are outside of the Company’s control, including liquidation, sale or transfer of control of the Company, the Preferred Stock is contingently redeemable.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Protective Provisions:</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holders of preferred stock have certain protective provisions.</w:t>
      </w:r>
    </w:p>
    <w:p>
      <w:pPr>
        <w:spacing w:after="0" w:line="104" w:lineRule="exact"/>
        <w:rPr>
          <w:sz w:val="20"/>
          <w:szCs w:val="20"/>
          <w:color w:val="auto"/>
        </w:rPr>
      </w:pPr>
    </w:p>
    <w:p>
      <w:pPr>
        <w:ind w:left="660" w:right="20" w:firstLine="523"/>
        <w:spacing w:after="0" w:line="245" w:lineRule="auto"/>
        <w:rPr>
          <w:sz w:val="20"/>
          <w:szCs w:val="20"/>
          <w:color w:val="auto"/>
        </w:rPr>
      </w:pPr>
      <w:r>
        <w:rPr>
          <w:rFonts w:ascii="Arial" w:cs="Arial" w:eastAsia="Arial" w:hAnsi="Arial"/>
          <w:sz w:val="18"/>
          <w:szCs w:val="18"/>
          <w:color w:val="auto"/>
        </w:rPr>
        <w:t>As long as at least twenty percent (20%) of the shares of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Preferred Stock, or take certain</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right="240"/>
        <w:spacing w:after="0" w:line="276" w:lineRule="auto"/>
        <w:rPr>
          <w:sz w:val="20"/>
          <w:szCs w:val="20"/>
          <w:color w:val="auto"/>
        </w:rPr>
      </w:pPr>
      <w:r>
        <w:rPr>
          <w:rFonts w:ascii="Arial" w:cs="Arial" w:eastAsia="Arial" w:hAnsi="Arial"/>
          <w:sz w:val="18"/>
          <w:szCs w:val="18"/>
          <w:color w:val="auto"/>
        </w:rPr>
        <w:t>other actions that would alter the rights, preferences, and privileges of Preferred Stock or effect liquidation, dissolution or winding up of the Company.</w:t>
      </w:r>
    </w:p>
    <w:p>
      <w:pPr>
        <w:spacing w:after="0" w:line="37" w:lineRule="exact"/>
        <w:rPr>
          <w:sz w:val="20"/>
          <w:szCs w:val="20"/>
          <w:color w:val="auto"/>
        </w:rPr>
      </w:pPr>
    </w:p>
    <w:p>
      <w:pPr>
        <w:ind w:left="660" w:right="10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A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A Preferred without first obtaining approval of a majority of the outstanding shares of Series A Preferred.</w:t>
      </w:r>
    </w:p>
    <w:p>
      <w:pPr>
        <w:spacing w:after="0" w:line="66" w:lineRule="exact"/>
        <w:rPr>
          <w:sz w:val="20"/>
          <w:szCs w:val="20"/>
          <w:color w:val="auto"/>
        </w:rPr>
      </w:pPr>
    </w:p>
    <w:p>
      <w:pPr>
        <w:ind w:left="660" w:right="10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B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B Preferred without first obtaining approval of a majority of the outstanding shares of Series B Preferred.</w:t>
      </w:r>
    </w:p>
    <w:p>
      <w:pPr>
        <w:spacing w:after="0" w:line="66" w:lineRule="exact"/>
        <w:rPr>
          <w:sz w:val="20"/>
          <w:szCs w:val="20"/>
          <w:color w:val="auto"/>
        </w:rPr>
      </w:pPr>
    </w:p>
    <w:p>
      <w:pPr>
        <w:ind w:left="660" w:right="100" w:firstLine="523"/>
        <w:spacing w:after="0" w:line="241" w:lineRule="auto"/>
        <w:rPr>
          <w:sz w:val="20"/>
          <w:szCs w:val="20"/>
          <w:color w:val="auto"/>
        </w:rPr>
      </w:pPr>
      <w:r>
        <w:rPr>
          <w:rFonts w:ascii="Arial" w:cs="Arial" w:eastAsia="Arial" w:hAnsi="Arial"/>
          <w:sz w:val="18"/>
          <w:szCs w:val="18"/>
          <w:color w:val="auto"/>
        </w:rPr>
        <w:t>As long as at least twenty percent (20%) of the shares of Series C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C Preferred or effect liquidation, dissolution or winding up of the Company, unless each share of Series C Preferred receives at least the original issue price of $11.3121 in any such transaction, without first obtaining approval of a majority of the outstanding shares of Series C Preferred.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 Common Stock</w:t>
      </w:r>
    </w:p>
    <w:p>
      <w:pPr>
        <w:spacing w:after="0" w:line="104" w:lineRule="exact"/>
        <w:rPr>
          <w:sz w:val="20"/>
          <w:szCs w:val="20"/>
          <w:color w:val="auto"/>
        </w:rPr>
      </w:pPr>
    </w:p>
    <w:p>
      <w:pPr>
        <w:ind w:left="120" w:right="820" w:firstLine="551"/>
        <w:spacing w:after="0" w:line="276" w:lineRule="auto"/>
        <w:rPr>
          <w:sz w:val="20"/>
          <w:szCs w:val="20"/>
          <w:color w:val="auto"/>
        </w:rPr>
      </w:pPr>
      <w:r>
        <w:rPr>
          <w:rFonts w:ascii="Arial" w:cs="Arial" w:eastAsia="Arial" w:hAnsi="Arial"/>
          <w:sz w:val="18"/>
          <w:szCs w:val="18"/>
          <w:color w:val="auto"/>
        </w:rPr>
        <w:t>The Company is authorized to issue up to 33,250,829 shares of common stock with a par value of $0.00001 per share. At December 31, 2019 and June 30, 2020, there were 3,046,200 and 3,046,200 shares issued and outstanding, respectively.</w:t>
      </w:r>
    </w:p>
    <w:p>
      <w:pPr>
        <w:spacing w:after="0" w:line="145"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Common stockholders are entitled to dividends if and when declared by the Board of Directors subject to the rights of the preferred stockholders. As of June 30, 2020, no dividends on common stock had been declared by the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and June 30, 2020, the Company had reserved shares of common stock for issuance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June 30,</w:t>
            </w:r>
          </w:p>
        </w:tc>
      </w:tr>
      <w:tr>
        <w:trPr>
          <w:trHeight w:val="162"/>
        </w:trPr>
        <w:tc>
          <w:tcPr>
            <w:tcW w:w="44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77"/>
        </w:trPr>
        <w:tc>
          <w:tcPr>
            <w:tcW w:w="4480" w:type="dxa"/>
            <w:vAlign w:val="bottom"/>
          </w:tcPr>
          <w:p>
            <w:pPr>
              <w:spacing w:after="0"/>
              <w:rPr>
                <w:sz w:val="15"/>
                <w:szCs w:val="15"/>
                <w:color w:val="auto"/>
              </w:rPr>
            </w:pPr>
          </w:p>
        </w:tc>
        <w:tc>
          <w:tcPr>
            <w:tcW w:w="5120" w:type="dxa"/>
            <w:vAlign w:val="bottom"/>
            <w:gridSpan w:val="2"/>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outstanding</w:t>
            </w:r>
          </w:p>
        </w:tc>
        <w:tc>
          <w:tcPr>
            <w:tcW w:w="40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22,866,246</w:t>
            </w: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22,866,246</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Options issued and outstanding</w:t>
            </w:r>
          </w:p>
        </w:tc>
        <w:tc>
          <w:tcPr>
            <w:tcW w:w="52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2,767,868</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3,922,612</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issued and outstanding</w:t>
            </w:r>
          </w:p>
        </w:tc>
        <w:tc>
          <w:tcPr>
            <w:tcW w:w="52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10,800</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10,800</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Shares available for future stock option grants</w:t>
            </w:r>
          </w:p>
        </w:tc>
        <w:tc>
          <w:tcPr>
            <w:tcW w:w="400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1,530,523</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375,711</w:t>
            </w:r>
          </w:p>
        </w:tc>
        <w:tc>
          <w:tcPr>
            <w:tcW w:w="80" w:type="dxa"/>
            <w:vAlign w:val="bottom"/>
          </w:tcPr>
          <w:p>
            <w:pPr>
              <w:spacing w:after="0"/>
              <w:rPr>
                <w:sz w:val="17"/>
                <w:szCs w:val="17"/>
                <w:color w:val="auto"/>
              </w:rPr>
            </w:pPr>
          </w:p>
        </w:tc>
      </w:tr>
      <w:tr>
        <w:trPr>
          <w:trHeight w:val="27"/>
        </w:trPr>
        <w:tc>
          <w:tcPr>
            <w:tcW w:w="4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0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27,175,437</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27,175,369</w:t>
            </w:r>
          </w:p>
        </w:tc>
      </w:tr>
      <w:tr>
        <w:trPr>
          <w:trHeight w:val="20"/>
        </w:trPr>
        <w:tc>
          <w:tcPr>
            <w:tcW w:w="44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3"/>
        </w:trPr>
        <w:tc>
          <w:tcPr>
            <w:tcW w:w="4480" w:type="dxa"/>
            <w:vAlign w:val="bottom"/>
          </w:tcPr>
          <w:p>
            <w:pPr>
              <w:spacing w:after="0"/>
              <w:rPr>
                <w:sz w:val="24"/>
                <w:szCs w:val="24"/>
                <w:color w:val="auto"/>
              </w:rPr>
            </w:pPr>
          </w:p>
        </w:tc>
        <w:tc>
          <w:tcPr>
            <w:tcW w:w="5280" w:type="dxa"/>
            <w:vAlign w:val="bottom"/>
            <w:gridSpan w:val="3"/>
          </w:tcPr>
          <w:p>
            <w:pPr>
              <w:jc w:val="right"/>
              <w:ind w:right="4080"/>
              <w:spacing w:after="0"/>
              <w:rPr>
                <w:sz w:val="20"/>
                <w:szCs w:val="20"/>
                <w:color w:val="auto"/>
              </w:rPr>
            </w:pPr>
            <w:r>
              <w:rPr>
                <w:rFonts w:ascii="Arial" w:cs="Arial" w:eastAsia="Arial" w:hAnsi="Arial"/>
                <w:sz w:val="18"/>
                <w:szCs w:val="18"/>
                <w:color w:val="auto"/>
              </w:rPr>
              <w:t>F-38</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5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8. Stock Plan</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2013, the Company adopted the 2013 Stock Plan (the “Plan”). As of June 30, 2020, there were 4,437,507 shares of common stock authorized and 375,711 shares available for issuance under the Plan. Under the Plan, the Company may issue shares of common stock and options to purchase common stock to employees and consultants. Options granted under the Plan may be Incentive Stock Options or Non-statutory Stock Options, as determined by the Administrator at the time of grant. Stock Purchase Rights may also be granted under the Plan. The term shall be no more than ten years from the date of grant thereof. In the case of an Incentive Stock Option granted to an optionee who, at the time the option is granted, owns stock representing more than 10% of the voting power of all classes of stock of the Company or any Parent or Subsidiary, the term of the option shall be five years from the date of grant or such shorter term as may be provided in the option Agreement.</w:t>
      </w:r>
    </w:p>
    <w:p>
      <w:pPr>
        <w:spacing w:after="0" w:line="18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the case of an Incentive Stock Option, (i) granted to an employee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employee, the per share exercise price shall be no less than 100% of the Fair Market Value per Share on the date of grant. In the case of a Non-statutory Stock Option; (i) granted to a Service Provider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service provider, the per share exercise price shall be no less than 100% of the Fair Market Value per Share on the date of grant. Notwithstanding the foregoing, options may be granted with a per share exercise price other than as required above pursuant to a merger or other corporate transaction.</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80"/>
          </w:cols>
          <w:pgMar w:left="320" w:top="455" w:right="49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options may include provisions permitting exercise of the option prior to full vesting. Any unvested shares so purchased shall be subject to repurchase by the Company at the original exercise price of the option.</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Available</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Exercise</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Contractual Life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7"/>
        </w:trPr>
        <w:tc>
          <w:tcPr>
            <w:tcW w:w="4820" w:type="dxa"/>
            <w:vAlign w:val="bottom"/>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for Grant</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Price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000s)</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December 31, 2018</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697,042</w:t>
            </w:r>
          </w:p>
        </w:tc>
        <w:tc>
          <w:tcPr>
            <w:tcW w:w="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2,685,615</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w w:val="91"/>
              </w:rPr>
              <w:t>2.00</w:t>
            </w:r>
          </w:p>
        </w:tc>
        <w:tc>
          <w:tcPr>
            <w:tcW w:w="4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7.88</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4,118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20" w:type="dxa"/>
            <w:vAlign w:val="bottom"/>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949,650</w:t>
            </w: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(249,758)</w:t>
            </w: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249,758</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3.53</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133,589</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(133,589)</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2.95</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(33,916)</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3.00</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b w:val="1"/>
                <w:bCs w:val="1"/>
                <w:color w:val="auto"/>
              </w:rPr>
              <w:t>Balances, December 31,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1,530,523</w:t>
            </w:r>
          </w:p>
        </w:tc>
        <w:tc>
          <w:tcPr>
            <w:tcW w:w="5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2,767,868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1"/>
              </w:rPr>
              <w:t>2.05</w:t>
            </w:r>
          </w:p>
        </w:tc>
        <w:tc>
          <w:tcPr>
            <w:tcW w:w="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reserved for issuance (unaudited)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(1,191,563)</w:t>
            </w: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1,191,563</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4.00</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forfeited / cancelled (unaudited)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36,751</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(36,819)</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1.37</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line="202" w:lineRule="exact"/>
              <w:rPr>
                <w:sz w:val="20"/>
                <w:szCs w:val="20"/>
                <w:color w:val="auto"/>
              </w:rPr>
            </w:pPr>
            <w:r>
              <w:rPr>
                <w:rFonts w:ascii="Arial" w:cs="Arial" w:eastAsia="Arial" w:hAnsi="Arial"/>
                <w:sz w:val="18"/>
                <w:szCs w:val="18"/>
                <w:color w:val="auto"/>
              </w:rPr>
              <w:t>Options exercised (unaudited)</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Balances, June 30, 2020 (unaudited)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375,711</w:t>
            </w:r>
          </w:p>
        </w:tc>
        <w:tc>
          <w:tcPr>
            <w:tcW w:w="5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3,922,612</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2.66</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7.52</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6,099</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1,877,381</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1.68</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6.59</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360"/>
              <w:spacing w:after="0"/>
              <w:rPr>
                <w:sz w:val="20"/>
                <w:szCs w:val="20"/>
                <w:color w:val="auto"/>
              </w:rPr>
            </w:pPr>
            <w:r>
              <w:rPr>
                <w:rFonts w:ascii="Arial" w:cs="Arial" w:eastAsia="Arial" w:hAnsi="Arial"/>
                <w:sz w:val="18"/>
                <w:szCs w:val="18"/>
                <w:color w:val="auto"/>
              </w:rPr>
              <w:t>Exercisable</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gridSpan w:val="2"/>
            <w:vMerge w:val="restart"/>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auto"/>
              </w:rPr>
              <w:t>1.79</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6.72</w:t>
            </w:r>
          </w:p>
        </w:tc>
        <w:tc>
          <w:tcPr>
            <w:tcW w:w="3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2,186,065</w:t>
            </w:r>
          </w:p>
        </w:tc>
        <w:tc>
          <w:tcPr>
            <w:tcW w:w="28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June 30, 2020</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360"/>
              <w:spacing w:after="0" w:line="202" w:lineRule="exact"/>
              <w:rPr>
                <w:sz w:val="20"/>
                <w:szCs w:val="20"/>
                <w:color w:val="auto"/>
              </w:rPr>
            </w:pPr>
            <w:r>
              <w:rPr>
                <w:rFonts w:ascii="Arial" w:cs="Arial" w:eastAsia="Arial" w:hAnsi="Arial"/>
                <w:sz w:val="18"/>
                <w:szCs w:val="18"/>
                <w:color w:val="auto"/>
              </w:rPr>
              <w:t>Vested (unaudited)</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2,140,224</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1.79</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6.27</w:t>
            </w:r>
          </w:p>
        </w:tc>
        <w:tc>
          <w:tcPr>
            <w:tcW w:w="3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Exercisable (unaudited)</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2,324,779</w:t>
            </w:r>
          </w:p>
        </w:tc>
        <w:tc>
          <w:tcPr>
            <w:tcW w:w="3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1.90</w:t>
            </w:r>
          </w:p>
        </w:tc>
        <w:tc>
          <w:tcPr>
            <w:tcW w:w="13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6.36</w:t>
            </w:r>
          </w:p>
        </w:tc>
        <w:tc>
          <w:tcPr>
            <w:tcW w:w="36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The aggregate intrinsic value of options vested and expected to vest and exercisable as of June 30, 2020 is calculated based on the difference between the exercise price and the current fair value of our common stock. The intrinsic value of options exercised in 2019 was $20. There were no stock option exercises in 2020.</w:t>
      </w:r>
    </w:p>
    <w:p>
      <w:pPr>
        <w:spacing w:after="0" w:line="16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At June 30, 2020, the total compensation cost related to nonvested awards not yet recognized is $3,694. The weighted-average period over which the nonvested awards is expected to be recognized is 2.9 years.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Stock options granted generally vest over two to four years. The unrecognized compensation cost as of June 30, 2020 is expected to be recognized over a weighted-average amortization period of 2.9 years. No income tax benefits have been recognized relating to stock-based compensation expenses and no tax benefits have been realized from exercised stock options.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5" w:right="4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Borders>
              <w:bottom w:val="single" w:sz="8" w:color="auto"/>
            </w:tcBorders>
          </w:tcPr>
          <w:p>
            <w:pPr>
              <w:spacing w:after="0"/>
              <w:rPr>
                <w:sz w:val="15"/>
                <w:szCs w:val="15"/>
                <w:color w:val="auto"/>
              </w:rPr>
            </w:pPr>
          </w:p>
        </w:tc>
      </w:tr>
      <w:tr>
        <w:trPr>
          <w:trHeight w:val="140"/>
        </w:trPr>
        <w:tc>
          <w:tcPr>
            <w:tcW w:w="7160" w:type="dxa"/>
            <w:vAlign w:val="bottom"/>
          </w:tcPr>
          <w:p>
            <w:pPr>
              <w:spacing w:after="0"/>
              <w:rPr>
                <w:sz w:val="12"/>
                <w:szCs w:val="12"/>
                <w:color w:val="auto"/>
              </w:rPr>
            </w:pPr>
          </w:p>
        </w:tc>
        <w:tc>
          <w:tcPr>
            <w:tcW w:w="198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rPr>
              <w:t>June 30, 2019</w:t>
            </w:r>
          </w:p>
        </w:tc>
        <w:tc>
          <w:tcPr>
            <w:tcW w:w="18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rPr>
              <w:t>June 30, 2020</w:t>
            </w:r>
          </w:p>
        </w:tc>
      </w:tr>
      <w:tr>
        <w:trPr>
          <w:trHeight w:val="177"/>
        </w:trPr>
        <w:tc>
          <w:tcPr>
            <w:tcW w:w="7160" w:type="dxa"/>
            <w:vAlign w:val="bottom"/>
          </w:tcPr>
          <w:p>
            <w:pPr>
              <w:spacing w:after="0"/>
              <w:rPr>
                <w:sz w:val="15"/>
                <w:szCs w:val="15"/>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(unaudited)</w:t>
            </w: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 average grant-date fair value of common stock</w:t>
            </w:r>
          </w:p>
        </w:tc>
        <w:tc>
          <w:tcPr>
            <w:tcW w:w="1860" w:type="dxa"/>
            <w:vAlign w:val="bottom"/>
            <w:tcBorders>
              <w:top w:val="single" w:sz="8" w:color="auto"/>
            </w:tcBorders>
            <w:gridSpan w:val="2"/>
            <w:shd w:val="clear" w:color="auto" w:fill="CCEEFF"/>
          </w:tcPr>
          <w:p>
            <w:pPr>
              <w:jc w:val="right"/>
              <w:ind w:right="615"/>
              <w:spacing w:after="0" w:line="196" w:lineRule="exact"/>
              <w:rPr>
                <w:sz w:val="20"/>
                <w:szCs w:val="20"/>
                <w:color w:val="auto"/>
              </w:rPr>
            </w:pPr>
            <w:r>
              <w:rPr>
                <w:rFonts w:ascii="Arial" w:cs="Arial" w:eastAsia="Arial" w:hAnsi="Arial"/>
                <w:sz w:val="18"/>
                <w:szCs w:val="18"/>
                <w:color w:val="auto"/>
              </w:rPr>
              <w:t>$3.53</w:t>
            </w:r>
          </w:p>
        </w:tc>
        <w:tc>
          <w:tcPr>
            <w:tcW w:w="12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gridSpan w:val="2"/>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rPr>
              <w:t>$4.00</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1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 2.51%</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0.40%</w:t>
            </w:r>
          </w:p>
        </w:tc>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 1.51%</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(in years)</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1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 6.37</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6.40</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860" w:type="dxa"/>
            <w:vAlign w:val="bottom"/>
            <w:gridSpan w:val="2"/>
          </w:tcPr>
          <w:p>
            <w:pPr>
              <w:jc w:val="right"/>
              <w:ind w:right="715"/>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1880" w:type="dxa"/>
            <w:vAlign w:val="bottom"/>
            <w:gridSpan w:val="2"/>
          </w:tcPr>
          <w:p>
            <w:pPr>
              <w:jc w:val="right"/>
              <w:ind w:right="730"/>
              <w:spacing w:after="0" w:line="202" w:lineRule="exact"/>
              <w:rPr>
                <w:sz w:val="20"/>
                <w:szCs w:val="20"/>
                <w:color w:val="auto"/>
              </w:rPr>
            </w:pPr>
            <w:r>
              <w:rPr>
                <w:rFonts w:ascii="Arial" w:cs="Arial" w:eastAsia="Arial" w:hAnsi="Arial"/>
                <w:sz w:val="18"/>
                <w:szCs w:val="18"/>
                <w:color w:val="auto"/>
              </w:rPr>
              <w:t>0%</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72.33%</w:t>
            </w:r>
          </w:p>
        </w:tc>
        <w:tc>
          <w:tcPr>
            <w:tcW w:w="1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 72.64%</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70.70%</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73.85%</w:t>
            </w:r>
          </w:p>
        </w:tc>
      </w:tr>
    </w:tbl>
    <w:p>
      <w:pPr>
        <w:spacing w:after="0" w:line="85" w:lineRule="exact"/>
        <w:rPr>
          <w:sz w:val="20"/>
          <w:szCs w:val="20"/>
          <w:color w:val="auto"/>
        </w:rPr>
      </w:pPr>
    </w:p>
    <w:p>
      <w:pPr>
        <w:jc w:val="both"/>
        <w:ind w:left="660" w:right="660" w:firstLine="523"/>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Company uses the simplified method to calculate expected term described in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Commission’s Staff Accounting Bulletin No. 107, which takes into account vesting term and expiration date of the options.</w:t>
      </w:r>
    </w:p>
    <w:p>
      <w:pPr>
        <w:spacing w:after="0" w:line="56" w:lineRule="exact"/>
        <w:rPr>
          <w:sz w:val="20"/>
          <w:szCs w:val="20"/>
          <w:color w:val="auto"/>
        </w:rPr>
      </w:pPr>
    </w:p>
    <w:p>
      <w:pPr>
        <w:ind w:left="660" w:right="640" w:firstLine="523"/>
        <w:spacing w:after="0" w:line="276"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based on an average of the historical volatilities of comparable publicly traded companies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37" w:lineRule="exact"/>
        <w:rPr>
          <w:sz w:val="20"/>
          <w:szCs w:val="20"/>
          <w:color w:val="auto"/>
        </w:rPr>
      </w:pPr>
    </w:p>
    <w:p>
      <w:pPr>
        <w:ind w:left="660" w:right="560" w:firstLine="523"/>
        <w:spacing w:after="0" w:line="276" w:lineRule="auto"/>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The risk-free rate is based on the U.S. Treasury yields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37" w:lineRule="exact"/>
        <w:rPr>
          <w:sz w:val="20"/>
          <w:szCs w:val="20"/>
          <w:color w:val="auto"/>
        </w:rPr>
      </w:pPr>
    </w:p>
    <w:p>
      <w:pPr>
        <w:ind w:left="660" w:right="60" w:firstLine="523"/>
        <w:spacing w:after="0" w:line="276"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Company has never declared or paid any cash dividends and does not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and therefore, used an expected dividend yield of zero in the valuation model.</w:t>
      </w:r>
    </w:p>
    <w:p>
      <w:pPr>
        <w:spacing w:after="0" w:line="37"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During the year ended December 31, 2018, the Company granted 119,012 stock options at a grant-date fair value of $2.58 per share to an executive that vests only upon the attainment of certain liquidity events. The Company does not believe that it is probable that the performance condition will be satisfied and did not record any stock compensation expense in the years ended December 31, 2018 and 2019 nor in the six-month period ended June 30, 2020 for this option grant. The unrecognized compensation cost associated with this award was $305, a portion of which will be cumulatively caught-up upon achievement of the liquidity event.</w:t>
      </w:r>
    </w:p>
    <w:p>
      <w:pPr>
        <w:spacing w:after="0" w:line="172"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Stock-based compensation expense recorded under ASC 718 (and under ASC 718 and ASC 505 in 2019, prior to the adoption of ASU 2018-07) related to stock options granted was allocated to research and development and general and administrative expense as follows: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1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6"/>
          </w:tcPr>
          <w:p>
            <w:pPr>
              <w:ind w:left="240"/>
              <w:spacing w:after="0"/>
              <w:rPr>
                <w:sz w:val="20"/>
                <w:szCs w:val="20"/>
                <w:color w:val="auto"/>
              </w:rPr>
            </w:pPr>
            <w:r>
              <w:rPr>
                <w:rFonts w:ascii="Arial" w:cs="Arial" w:eastAsia="Arial" w:hAnsi="Arial"/>
                <w:sz w:val="14"/>
                <w:szCs w:val="14"/>
                <w:b w:val="1"/>
                <w:bCs w:val="1"/>
                <w:color w:val="auto"/>
              </w:rPr>
              <w:t>For the Six Months Ended</w:t>
            </w:r>
          </w:p>
        </w:tc>
      </w:tr>
      <w:tr>
        <w:trPr>
          <w:trHeight w:val="140"/>
        </w:trPr>
        <w:tc>
          <w:tcPr>
            <w:tcW w:w="41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b w:val="1"/>
                <w:bCs w:val="1"/>
                <w:color w:val="auto"/>
              </w:rPr>
              <w:t>June 30,</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7"/>
              <w:spacing w:after="0" w:line="141"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2"/>
                <w:szCs w:val="12"/>
                <w:color w:val="auto"/>
              </w:rPr>
            </w:pPr>
          </w:p>
        </w:tc>
      </w:tr>
      <w:tr>
        <w:trPr>
          <w:trHeight w:val="162"/>
        </w:trPr>
        <w:tc>
          <w:tcPr>
            <w:tcW w:w="41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77"/>
        </w:trPr>
        <w:tc>
          <w:tcPr>
            <w:tcW w:w="41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4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412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4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w:t>
            </w:r>
          </w:p>
        </w:tc>
        <w:tc>
          <w:tcPr>
            <w:tcW w:w="60" w:type="dxa"/>
            <w:vAlign w:val="bottom"/>
          </w:tcPr>
          <w:p>
            <w:pPr>
              <w:spacing w:after="0"/>
              <w:rPr>
                <w:sz w:val="18"/>
                <w:szCs w:val="18"/>
                <w:color w:val="auto"/>
              </w:rPr>
            </w:pPr>
          </w:p>
        </w:tc>
      </w:tr>
      <w:tr>
        <w:trPr>
          <w:trHeight w:val="203"/>
        </w:trPr>
        <w:tc>
          <w:tcPr>
            <w:tcW w:w="4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stock-based compensation</w:t>
            </w:r>
          </w:p>
        </w:tc>
        <w:tc>
          <w:tcPr>
            <w:tcW w:w="4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w:t>
            </w:r>
          </w:p>
        </w:tc>
        <w:tc>
          <w:tcPr>
            <w:tcW w:w="4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679</w:t>
            </w:r>
          </w:p>
        </w:tc>
      </w:tr>
      <w:tr>
        <w:trPr>
          <w:trHeight w:val="20"/>
        </w:trPr>
        <w:tc>
          <w:tcPr>
            <w:tcW w:w="41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120" w:type="dxa"/>
            <w:vAlign w:val="bottom"/>
          </w:tcPr>
          <w:p>
            <w:pPr>
              <w:spacing w:after="0"/>
              <w:rPr>
                <w:sz w:val="24"/>
                <w:szCs w:val="24"/>
                <w:color w:val="auto"/>
              </w:rPr>
            </w:pPr>
          </w:p>
        </w:tc>
        <w:tc>
          <w:tcPr>
            <w:tcW w:w="4480" w:type="dxa"/>
            <w:vAlign w:val="bottom"/>
            <w:gridSpan w:val="2"/>
          </w:tcPr>
          <w:p>
            <w:pPr>
              <w:jc w:val="right"/>
              <w:ind w:right="2836"/>
              <w:spacing w:after="0"/>
              <w:rPr>
                <w:sz w:val="20"/>
                <w:szCs w:val="20"/>
                <w:color w:val="auto"/>
              </w:rPr>
            </w:pPr>
            <w:r>
              <w:rPr>
                <w:rFonts w:ascii="Arial" w:cs="Arial" w:eastAsia="Arial" w:hAnsi="Arial"/>
                <w:sz w:val="18"/>
                <w:szCs w:val="18"/>
                <w:color w:val="auto"/>
              </w:rPr>
              <w:t>F-41</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9. Income Taxes</w:t>
      </w:r>
    </w:p>
    <w:p>
      <w:pPr>
        <w:spacing w:after="0" w:line="104"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During the six months ended June 30, 2019 and 2020, the Company recorded a full valuation allowance on federal and state deferred tax assets since management does not forecast the Company to be in a taxable position in the near future.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10. Net Loss per Share and Unaudited Pro Forma Net Loss Per Share</w:t>
      </w:r>
    </w:p>
    <w:p>
      <w:pPr>
        <w:spacing w:after="0" w:line="104"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calculation of diluted net loss per share for the periods presented due to their antidilutive effect:</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480" w:type="dxa"/>
            <w:vAlign w:val="bottom"/>
          </w:tcPr>
          <w:p>
            <w:pPr>
              <w:spacing w:after="0"/>
              <w:rPr>
                <w:sz w:val="15"/>
                <w:szCs w:val="15"/>
                <w:color w:val="auto"/>
              </w:rPr>
            </w:pPr>
          </w:p>
        </w:tc>
        <w:tc>
          <w:tcPr>
            <w:tcW w:w="25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For the Six Months Ended</w:t>
            </w:r>
          </w:p>
        </w:tc>
      </w:tr>
      <w:tr>
        <w:trPr>
          <w:trHeight w:val="140"/>
        </w:trPr>
        <w:tc>
          <w:tcPr>
            <w:tcW w:w="8480" w:type="dxa"/>
            <w:vAlign w:val="bottom"/>
          </w:tcPr>
          <w:p>
            <w:pPr>
              <w:spacing w:after="0"/>
              <w:rPr>
                <w:sz w:val="12"/>
                <w:szCs w:val="12"/>
                <w:color w:val="auto"/>
              </w:rPr>
            </w:pPr>
          </w:p>
        </w:tc>
        <w:tc>
          <w:tcPr>
            <w:tcW w:w="1280" w:type="dxa"/>
            <w:vAlign w:val="bottom"/>
            <w:tcBorders>
              <w:top w:val="single" w:sz="8" w:color="auto"/>
            </w:tcBorders>
            <w:gridSpan w:val="3"/>
          </w:tcPr>
          <w:p>
            <w:pPr>
              <w:jc w:val="center"/>
              <w:ind w:right="160"/>
              <w:spacing w:after="0" w:line="141" w:lineRule="exact"/>
              <w:rPr>
                <w:sz w:val="20"/>
                <w:szCs w:val="20"/>
                <w:color w:val="auto"/>
              </w:rPr>
            </w:pPr>
            <w:r>
              <w:rPr>
                <w:rFonts w:ascii="Arial" w:cs="Arial" w:eastAsia="Arial" w:hAnsi="Arial"/>
                <w:sz w:val="14"/>
                <w:szCs w:val="14"/>
                <w:b w:val="1"/>
                <w:bCs w:val="1"/>
                <w:color w:val="auto"/>
                <w:w w:val="99"/>
              </w:rPr>
              <w:t>June 30,</w:t>
            </w:r>
          </w:p>
        </w:tc>
        <w:tc>
          <w:tcPr>
            <w:tcW w:w="11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r>
      <w:tr>
        <w:trPr>
          <w:trHeight w:val="162"/>
        </w:trPr>
        <w:tc>
          <w:tcPr>
            <w:tcW w:w="84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77"/>
        </w:trPr>
        <w:tc>
          <w:tcPr>
            <w:tcW w:w="8480" w:type="dxa"/>
            <w:vAlign w:val="bottom"/>
          </w:tcPr>
          <w:p>
            <w:pPr>
              <w:spacing w:after="0"/>
              <w:rPr>
                <w:sz w:val="15"/>
                <w:szCs w:val="15"/>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8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(as converted)</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17,396,640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22,866,246</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2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10,800</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10,800</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 issued and outstanding</w:t>
            </w:r>
          </w:p>
        </w:tc>
        <w:tc>
          <w:tcPr>
            <w:tcW w:w="12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2,698,543</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3,922,612</w:t>
            </w:r>
          </w:p>
        </w:tc>
      </w:tr>
      <w:tr>
        <w:trPr>
          <w:trHeight w:val="209"/>
        </w:trPr>
        <w:tc>
          <w:tcPr>
            <w:tcW w:w="848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20,105,983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26,799,658</w:t>
            </w:r>
          </w:p>
        </w:tc>
        <w:tc>
          <w:tcPr>
            <w:tcW w:w="80" w:type="dxa"/>
            <w:vAlign w:val="bottom"/>
          </w:tcPr>
          <w:p>
            <w:pPr>
              <w:spacing w:after="0"/>
              <w:rPr>
                <w:sz w:val="18"/>
                <w:szCs w:val="18"/>
                <w:color w:val="auto"/>
              </w:rPr>
            </w:pPr>
          </w:p>
        </w:tc>
      </w:tr>
      <w:tr>
        <w:trPr>
          <w:trHeight w:val="20"/>
        </w:trPr>
        <w:tc>
          <w:tcPr>
            <w:tcW w:w="8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the Company’s convertible preferred stock nor restricted stock subject to future vesting participates in losses.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For the Six Months Ended</w:t>
            </w:r>
          </w:p>
        </w:tc>
      </w:tr>
      <w:tr>
        <w:trPr>
          <w:trHeight w:val="140"/>
        </w:trPr>
        <w:tc>
          <w:tcPr>
            <w:tcW w:w="8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w w:val="99"/>
              </w:rPr>
              <w:t>June 30,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37"/>
              <w:spacing w:after="0" w:line="141"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r>
      <w:tr>
        <w:trPr>
          <w:trHeight w:val="162"/>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77"/>
        </w:trPr>
        <w:tc>
          <w:tcPr>
            <w:tcW w:w="8420" w:type="dxa"/>
            <w:vAlign w:val="bottom"/>
          </w:tcPr>
          <w:p>
            <w:pPr>
              <w:spacing w:after="0"/>
              <w:rPr>
                <w:sz w:val="15"/>
                <w:szCs w:val="15"/>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5"/>
                <w:szCs w:val="15"/>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(12,129)</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(15,221)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0"/>
        </w:trPr>
        <w:tc>
          <w:tcPr>
            <w:tcW w:w="8420" w:type="dxa"/>
            <w:vAlign w:val="bottom"/>
          </w:tcPr>
          <w:p>
            <w:pPr>
              <w:spacing w:after="0" w:line="202" w:lineRule="exact"/>
              <w:rPr>
                <w:sz w:val="20"/>
                <w:szCs w:val="20"/>
                <w:color w:val="auto"/>
              </w:rPr>
            </w:pPr>
            <w:r>
              <w:rPr>
                <w:rFonts w:ascii="Arial" w:cs="Arial" w:eastAsia="Arial" w:hAnsi="Arial"/>
                <w:sz w:val="18"/>
                <w:szCs w:val="18"/>
                <w:color w:val="auto"/>
              </w:rPr>
              <w:t>Weighted-average number of shares—basic and diluted</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3,024,097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3,046,200</w:t>
            </w:r>
          </w:p>
        </w:tc>
        <w:tc>
          <w:tcPr>
            <w:tcW w:w="120" w:type="dxa"/>
            <w:vAlign w:val="bottom"/>
          </w:tcPr>
          <w:p>
            <w:pPr>
              <w:spacing w:after="0"/>
              <w:rPr>
                <w:sz w:val="18"/>
                <w:szCs w:val="18"/>
                <w:color w:val="auto"/>
              </w:rPr>
            </w:pP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(4.01)</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(5.00)</w:t>
            </w:r>
          </w:p>
        </w:tc>
      </w:tr>
    </w:tbl>
    <w:p>
      <w:pPr>
        <w:spacing w:after="0" w:line="193" w:lineRule="exact"/>
        <w:rPr>
          <w:sz w:val="20"/>
          <w:szCs w:val="20"/>
          <w:color w:val="auto"/>
        </w:rPr>
      </w:pPr>
    </w:p>
    <w:p>
      <w:pPr>
        <w:ind w:left="120" w:right="160" w:firstLine="551"/>
        <w:spacing w:after="0" w:line="277" w:lineRule="auto"/>
        <w:rPr>
          <w:sz w:val="20"/>
          <w:szCs w:val="20"/>
          <w:color w:val="auto"/>
        </w:rPr>
      </w:pPr>
      <w:r>
        <w:rPr>
          <w:rFonts w:ascii="Arial" w:cs="Arial" w:eastAsia="Arial" w:hAnsi="Arial"/>
          <w:sz w:val="17"/>
          <w:szCs w:val="17"/>
          <w:color w:val="auto"/>
        </w:rPr>
        <w:t>The unaudited pro forma basic and diluted net loss per share of common stock has been prepared to give effect to the conversion of all outstanding shares of convertible preferred stock into shares of common stock as if such conversion had occurred at January 1, 2020, inclusive of 5,321,864 shares of common stock issuable upon the conversion of Series D Preferred Stock issued in July 2020.</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For the Six</w:t>
            </w:r>
          </w:p>
        </w:tc>
      </w:tr>
      <w:tr>
        <w:trPr>
          <w:trHeight w:val="162"/>
        </w:trPr>
        <w:tc>
          <w:tcPr>
            <w:tcW w:w="9880" w:type="dxa"/>
            <w:vAlign w:val="bottom"/>
          </w:tcPr>
          <w:p>
            <w:pPr>
              <w:spacing w:after="0"/>
              <w:rPr>
                <w:sz w:val="14"/>
                <w:szCs w:val="14"/>
                <w:color w:val="auto"/>
              </w:rPr>
            </w:pPr>
          </w:p>
        </w:tc>
        <w:tc>
          <w:tcPr>
            <w:tcW w:w="114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rPr>
              <w:t>Months Ended</w:t>
            </w:r>
          </w:p>
        </w:tc>
      </w:tr>
      <w:tr>
        <w:trPr>
          <w:trHeight w:val="162"/>
        </w:trPr>
        <w:tc>
          <w:tcPr>
            <w:tcW w:w="9880" w:type="dxa"/>
            <w:vAlign w:val="bottom"/>
          </w:tcPr>
          <w:p>
            <w:pPr>
              <w:spacing w:after="0"/>
              <w:rPr>
                <w:sz w:val="14"/>
                <w:szCs w:val="14"/>
                <w:color w:val="auto"/>
              </w:rPr>
            </w:pPr>
          </w:p>
        </w:tc>
        <w:tc>
          <w:tcPr>
            <w:tcW w:w="114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rPr>
              <w:t>June 30, 2020</w:t>
            </w:r>
          </w:p>
        </w:tc>
      </w:tr>
      <w:tr>
        <w:trPr>
          <w:trHeight w:val="177"/>
        </w:trPr>
        <w:tc>
          <w:tcPr>
            <w:tcW w:w="9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9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(15,221</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9880" w:type="dxa"/>
            <w:vAlign w:val="bottom"/>
          </w:tcPr>
          <w:p>
            <w:pPr>
              <w:spacing w:after="0"/>
              <w:rPr>
                <w:sz w:val="20"/>
                <w:szCs w:val="20"/>
                <w:color w:val="auto"/>
              </w:rPr>
            </w:pPr>
            <w:r>
              <w:rPr>
                <w:rFonts w:ascii="Arial" w:cs="Arial" w:eastAsia="Arial" w:hAnsi="Arial"/>
                <w:sz w:val="18"/>
                <w:szCs w:val="18"/>
                <w:color w:val="auto"/>
              </w:rPr>
              <w:t>Weighted-average number of shares—basic and diluted</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3,046,200</w:t>
            </w:r>
          </w:p>
        </w:tc>
        <w:tc>
          <w:tcPr>
            <w:tcW w:w="120" w:type="dxa"/>
            <w:vAlign w:val="bottom"/>
          </w:tcPr>
          <w:p>
            <w:pPr>
              <w:spacing w:after="0"/>
              <w:rPr>
                <w:sz w:val="18"/>
                <w:szCs w:val="18"/>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Assumed weighted-average effect of conversion of convertible preferred stock (unaudited)</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w w:val="99"/>
              </w:rPr>
              <w:t>28,188,110</w:t>
            </w:r>
          </w:p>
        </w:tc>
      </w:tr>
      <w:tr>
        <w:trPr>
          <w:trHeight w:val="217"/>
        </w:trPr>
        <w:tc>
          <w:tcPr>
            <w:tcW w:w="9880" w:type="dxa"/>
            <w:vAlign w:val="bottom"/>
          </w:tcPr>
          <w:p>
            <w:pPr>
              <w:spacing w:after="0"/>
              <w:rPr>
                <w:sz w:val="20"/>
                <w:szCs w:val="20"/>
                <w:color w:val="auto"/>
              </w:rPr>
            </w:pPr>
            <w:r>
              <w:rPr>
                <w:rFonts w:ascii="Arial" w:cs="Arial" w:eastAsia="Arial" w:hAnsi="Arial"/>
                <w:sz w:val="18"/>
                <w:szCs w:val="18"/>
                <w:color w:val="auto"/>
              </w:rPr>
              <w:t>Pro Forma weighted-average number of shares—basic and diluted</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31,234,310</w:t>
            </w:r>
          </w:p>
        </w:tc>
        <w:tc>
          <w:tcPr>
            <w:tcW w:w="120" w:type="dxa"/>
            <w:vAlign w:val="bottom"/>
          </w:tcPr>
          <w:p>
            <w:pPr>
              <w:spacing w:after="0"/>
              <w:rPr>
                <w:sz w:val="18"/>
                <w:szCs w:val="18"/>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 (unaudited)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(0.49)</w:t>
            </w:r>
          </w:p>
        </w:tc>
      </w:tr>
      <w:tr>
        <w:trPr>
          <w:trHeight w:val="368"/>
        </w:trPr>
        <w:tc>
          <w:tcPr>
            <w:tcW w:w="9880" w:type="dxa"/>
            <w:vAlign w:val="bottom"/>
          </w:tcPr>
          <w:p>
            <w:pPr>
              <w:ind w:left="5320"/>
              <w:spacing w:after="0"/>
              <w:rPr>
                <w:sz w:val="20"/>
                <w:szCs w:val="20"/>
                <w:color w:val="auto"/>
              </w:rPr>
            </w:pPr>
            <w:r>
              <w:rPr>
                <w:rFonts w:ascii="Arial" w:cs="Arial" w:eastAsia="Arial" w:hAnsi="Arial"/>
                <w:sz w:val="18"/>
                <w:szCs w:val="18"/>
                <w:color w:val="auto"/>
              </w:rPr>
              <w:t>F-42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1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11. Related Parties</w:t>
      </w:r>
    </w:p>
    <w:p>
      <w:pPr>
        <w:spacing w:after="0" w:line="104" w:lineRule="exact"/>
        <w:rPr>
          <w:sz w:val="20"/>
          <w:szCs w:val="20"/>
          <w:color w:val="auto"/>
        </w:rPr>
      </w:pPr>
    </w:p>
    <w:p>
      <w:pPr>
        <w:jc w:val="both"/>
        <w:ind w:left="120" w:right="160" w:firstLine="551"/>
        <w:spacing w:after="0" w:line="255" w:lineRule="auto"/>
        <w:rPr>
          <w:sz w:val="20"/>
          <w:szCs w:val="20"/>
          <w:color w:val="auto"/>
        </w:rPr>
      </w:pPr>
      <w:r>
        <w:rPr>
          <w:rFonts w:ascii="Arial" w:cs="Arial" w:eastAsia="Arial" w:hAnsi="Arial"/>
          <w:sz w:val="18"/>
          <w:szCs w:val="18"/>
          <w:color w:val="auto"/>
        </w:rPr>
        <w:t>The Company has a consulting agreement with a member of the Board of Directors. Consulting fees paid in the six months ended June 30, 2019 and 2020 was $50 and $56, respectively. There were no amounts owed under the consulting agreement at December 31, 2019 or June 30, 2020.</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12. Subsequent Events</w:t>
      </w:r>
    </w:p>
    <w:p>
      <w:pPr>
        <w:spacing w:after="0" w:line="104"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Subsequent events have been evaluated through July 31, 2020, which is the date the financial statements were issued. In connection with the reissuance of these unaudited interim financial statements to reflect the 5.2651-for-1 reverse stock split as described in Note 2, the Company has evaluated subsequent events through September 21, 2020, the date the unaudited interim financial statements were available to be reissued.</w:t>
      </w:r>
    </w:p>
    <w:p>
      <w:pPr>
        <w:spacing w:after="0" w:line="17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July 2020, the Company issued 5,321,864 shares of Series D Preferred Stock at a price of $13.1533 per share, resulting in gross proceeds of $70,000. In July 2020, the Company amended its certificate of incorporation such that it is now authorized to issue 66,516,771 shares of capital stock, including 38,317,839 shares of common stock, 1,657,903 shares of Series Seed Preferred Stock, 8,076,985 shares of Series A Preferred Stock, 7,672,560 shares of Series B Preferred Stock, 5,469,611 shares of Series C Preferred Stock and 5,321,870 shares of Series D Preferred Stock.</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292735</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25"/>
          <w:szCs w:val="25"/>
          <w:color w:val="auto"/>
        </w:rPr>
        <w:t>7,350,000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350520</wp:posOffset>
            </wp:positionV>
            <wp:extent cx="3394710" cy="660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9471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745490</wp:posOffset>
            </wp:positionV>
            <wp:extent cx="11144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316865</wp:posOffset>
            </wp:positionV>
            <wp:extent cx="11144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tabs>
          <w:tab w:leader="none" w:pos="5040" w:val="left"/>
          <w:tab w:leader="none" w:pos="7720" w:val="left"/>
          <w:tab w:leader="none" w:pos="954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BofA Securities</w:t>
      </w:r>
      <w:r>
        <w:rPr>
          <w:sz w:val="20"/>
          <w:szCs w:val="20"/>
          <w:color w:val="auto"/>
        </w:rPr>
        <w:tab/>
      </w:r>
      <w:r>
        <w:rPr>
          <w:rFonts w:ascii="Arial" w:cs="Arial" w:eastAsia="Arial" w:hAnsi="Arial"/>
          <w:sz w:val="25"/>
          <w:szCs w:val="25"/>
          <w:b w:val="1"/>
          <w:bCs w:val="1"/>
          <w:color w:val="auto"/>
        </w:rPr>
        <w:t>Cowen</w:t>
      </w:r>
      <w:r>
        <w:rPr>
          <w:sz w:val="20"/>
          <w:szCs w:val="20"/>
          <w:color w:val="auto"/>
        </w:rPr>
        <w:tab/>
      </w:r>
      <w:r>
        <w:rPr>
          <w:rFonts w:ascii="Arial" w:cs="Arial" w:eastAsia="Arial" w:hAnsi="Arial"/>
          <w:sz w:val="25"/>
          <w:szCs w:val="25"/>
          <w:b w:val="1"/>
          <w:bCs w:val="1"/>
          <w:color w:val="auto"/>
        </w:rPr>
        <w:t>Evercore 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748030</wp:posOffset>
            </wp:positionV>
            <wp:extent cx="11144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firstLine="551"/>
        <w:spacing w:after="0" w:line="254" w:lineRule="auto"/>
        <w:rPr>
          <w:sz w:val="20"/>
          <w:szCs w:val="20"/>
          <w:color w:val="auto"/>
        </w:rPr>
      </w:pPr>
      <w:r>
        <w:rPr>
          <w:rFonts w:ascii="Arial" w:cs="Arial" w:eastAsia="Arial" w:hAnsi="Arial"/>
          <w:sz w:val="18"/>
          <w:szCs w:val="18"/>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524510</wp:posOffset>
            </wp:positionV>
            <wp:extent cx="6995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584200</wp:posOffset>
            </wp:positionV>
            <wp:extent cx="6995160"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type w:val="continuous"/>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04"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The following table sets forth the expenses to be incurred in connection with the offering described in this Registration Statement, other than underwriting discounts and commissions, all of which will be paid by us. All amounts are estimates except the SEC registration fee, the FINRA filing fee and the Nasdaq listing fee.</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r>
      <w:tr>
        <w:trPr>
          <w:trHeight w:val="177"/>
        </w:trPr>
        <w:tc>
          <w:tcPr>
            <w:tcW w:w="9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 be Paid</w:t>
            </w:r>
          </w:p>
        </w:tc>
      </w:tr>
      <w:tr>
        <w:trPr>
          <w:trHeight w:val="196"/>
        </w:trPr>
        <w:tc>
          <w:tcPr>
            <w:tcW w:w="9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19,749</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14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23,322</w:t>
            </w: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listing fee</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170,000</w:t>
            </w: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14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500,000</w:t>
            </w: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1,585,000</w:t>
            </w: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4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800,000</w:t>
            </w: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4,000</w:t>
            </w: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Miscellaneous expenses</w:t>
            </w:r>
          </w:p>
        </w:tc>
        <w:tc>
          <w:tcPr>
            <w:tcW w:w="14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284,694</w:t>
            </w:r>
          </w:p>
        </w:tc>
      </w:tr>
      <w:tr>
        <w:trPr>
          <w:trHeight w:val="203"/>
        </w:trPr>
        <w:tc>
          <w:tcPr>
            <w:tcW w:w="9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3,386,765</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04"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Section 145 of the General Corporation Law of the State of Delaware,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or not opposed to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expected to be in effect immediately prior to the completion of this offering provides for the indemnification of the registrant’s directors and officers to the fullest extent permitted under the DGCL. In addition, the amended and restated bylaws of the registrant to be in effect immediately prior to the completion of this offering require the registrant expected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8" w:lineRule="exact"/>
        <w:rPr>
          <w:sz w:val="20"/>
          <w:szCs w:val="20"/>
          <w:color w:val="auto"/>
        </w:rPr>
      </w:pPr>
    </w:p>
    <w:p>
      <w:pPr>
        <w:ind w:left="120" w:right="140" w:firstLine="551"/>
        <w:spacing w:after="0" w:line="262"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w:t>
      </w:r>
    </w:p>
    <w:p>
      <w:pPr>
        <w:ind w:left="120" w:right="220" w:hanging="4"/>
        <w:spacing w:after="0"/>
        <w:tabs>
          <w:tab w:leader="none" w:pos="33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 (ii) for acts or omissions not in good faith or which involve intentional misconduct or a knowing violation of law, (iii) for payments of unlawful dividends or unlawful stock repurchases or redemptions or (iv) for any transaction from which the director derived an improper personal benefit. The registrant’s amended and restated certificate of incorporation to be</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5" w:right="43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color w:val="auto"/>
        </w:rPr>
        <w:t>in effect immediately prior to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70"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72"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As permitted by the DGCL, the registrant has entered, and intends to continue to enter, into separate indemnification agreements with each of the registrant’s directors and certain of the registrant’s officers that require the registrant, among other things, to indemnify them against certain liabilities that may arise by reason of their status as directors, officers or certain other employees.</w:t>
      </w:r>
    </w:p>
    <w:p>
      <w:pPr>
        <w:spacing w:after="0" w:line="164" w:lineRule="exact"/>
        <w:rPr>
          <w:sz w:val="20"/>
          <w:szCs w:val="20"/>
          <w:color w:val="auto"/>
        </w:rPr>
      </w:pPr>
    </w:p>
    <w:p>
      <w:pPr>
        <w:jc w:val="both"/>
        <w:ind w:left="120" w:right="60" w:firstLine="551"/>
        <w:spacing w:after="0" w:line="257" w:lineRule="auto"/>
        <w:rPr>
          <w:sz w:val="20"/>
          <w:szCs w:val="20"/>
          <w:color w:val="auto"/>
        </w:rPr>
      </w:pPr>
      <w:r>
        <w:rPr>
          <w:rFonts w:ascii="Arial" w:cs="Arial" w:eastAsia="Arial" w:hAnsi="Arial"/>
          <w:sz w:val="17"/>
          <w:szCs w:val="17"/>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w:t>
      </w:r>
    </w:p>
    <w:p>
      <w:pPr>
        <w:spacing w:after="0" w:line="2" w:lineRule="exact"/>
        <w:rPr>
          <w:sz w:val="20"/>
          <w:szCs w:val="20"/>
          <w:color w:val="auto"/>
        </w:rPr>
      </w:pPr>
    </w:p>
    <w:p>
      <w:pPr>
        <w:ind w:left="120" w:right="120"/>
        <w:spacing w:after="0" w:line="250" w:lineRule="auto"/>
        <w:rPr>
          <w:sz w:val="20"/>
          <w:szCs w:val="20"/>
          <w:color w:val="auto"/>
        </w:rPr>
      </w:pPr>
      <w:r>
        <w:rPr>
          <w:rFonts w:ascii="Arial" w:cs="Arial" w:eastAsia="Arial" w:hAnsi="Arial"/>
          <w:sz w:val="18"/>
          <w:szCs w:val="18"/>
          <w:color w:val="auto"/>
        </w:rPr>
        <w:t>The coverage provided by these policies may apply whether or not the registrant would have the power to indemnify such person against such liability under the provisions of the DGCL.</w:t>
      </w:r>
    </w:p>
    <w:p>
      <w:pPr>
        <w:spacing w:after="0" w:line="168"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These indemnification provisions and the indemnification agreements entered, and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 or Securities Act.</w:t>
      </w:r>
    </w:p>
    <w:p>
      <w:pPr>
        <w:spacing w:after="0" w:line="170" w:lineRule="exact"/>
        <w:rPr>
          <w:sz w:val="20"/>
          <w:szCs w:val="20"/>
          <w:color w:val="auto"/>
        </w:rPr>
      </w:pPr>
    </w:p>
    <w:p>
      <w:pPr>
        <w:ind w:left="120" w:right="400" w:firstLine="551"/>
        <w:spacing w:after="0" w:line="248" w:lineRule="auto"/>
        <w:rPr>
          <w:sz w:val="20"/>
          <w:szCs w:val="20"/>
          <w:color w:val="auto"/>
        </w:rPr>
      </w:pPr>
      <w:r>
        <w:rPr>
          <w:rFonts w:ascii="Arial" w:cs="Arial" w:eastAsia="Arial" w:hAnsi="Arial"/>
          <w:sz w:val="18"/>
          <w:szCs w:val="18"/>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0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The following list sets forth information regarding all unregistered securities sold by us since January 1, 2017. No underwriters were involved in the sales and the certificates representing the securities issued and sold contain legends restricting transfer of the securities without registration under the Securities Act or an applicable exemption from registration.</w:t>
      </w:r>
    </w:p>
    <w:p>
      <w:pPr>
        <w:spacing w:after="0" w:line="69" w:lineRule="exact"/>
        <w:rPr>
          <w:sz w:val="20"/>
          <w:szCs w:val="20"/>
          <w:color w:val="auto"/>
        </w:rPr>
      </w:pPr>
    </w:p>
    <w:p>
      <w:pPr>
        <w:ind w:left="1300" w:right="280" w:hanging="644"/>
        <w:spacing w:after="0" w:line="276"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February 2017, we issued and sold an aggregate of 7,672,556 shares of our Series B convertible preferred stock at a purchase price of $9.6093 per share for aggregate proceeds of $73.7 million to a total of nine (9) accredited investors.</w:t>
      </w:r>
    </w:p>
    <w:p>
      <w:pPr>
        <w:spacing w:after="0" w:line="50" w:lineRule="exact"/>
        <w:rPr>
          <w:rFonts w:ascii="Arial" w:cs="Arial" w:eastAsia="Arial" w:hAnsi="Arial"/>
          <w:sz w:val="18"/>
          <w:szCs w:val="18"/>
          <w:color w:val="auto"/>
        </w:rPr>
      </w:pPr>
    </w:p>
    <w:p>
      <w:pPr>
        <w:ind w:left="1300" w:right="160" w:hanging="644"/>
        <w:spacing w:after="0" w:line="255"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November 2019, we issued and sold an aggregate of 5,469,606 shares of our Series C convertible preferred stock at a purchase price of $11.3121 per share for aggregate proceeds of approximately $61.9 million to ten (10) accredited investors.</w:t>
      </w:r>
    </w:p>
    <w:p>
      <w:pPr>
        <w:spacing w:after="0" w:line="69" w:lineRule="exact"/>
        <w:rPr>
          <w:rFonts w:ascii="Arial" w:cs="Arial" w:eastAsia="Arial" w:hAnsi="Arial"/>
          <w:sz w:val="18"/>
          <w:szCs w:val="18"/>
          <w:color w:val="auto"/>
        </w:rPr>
      </w:pPr>
    </w:p>
    <w:p>
      <w:pPr>
        <w:ind w:left="1300" w:right="580" w:hanging="644"/>
        <w:spacing w:after="0" w:line="255"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July 2020, we issued and sold an aggregate of 5,321,864 shares of our Series D convertible preferred stock at a purchase price of $13.1533 per share for aggregate proceeds of approximately $70.0 million to seven (7) accredited investors.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5" w:right="47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300" w:hanging="644"/>
        <w:spacing w:after="0" w:line="248"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From January 2017 through the date hereof, we granted to our employees, directors, consultants and other service providers stock options to purchase an aggregate of 3,238,583 shares of common stock upon the exercise of options under our 2013 Equity Incentive Plan, as amended, or 2013 Plan, at exercise prices per share ranging from $2.95 to $8.53, for an aggregate exercise price of approximately $11.97 million.</w:t>
      </w:r>
    </w:p>
    <w:p>
      <w:pPr>
        <w:spacing w:after="0" w:line="197" w:lineRule="exact"/>
        <w:rPr>
          <w:rFonts w:ascii="Arial" w:cs="Arial" w:eastAsia="Arial" w:hAnsi="Arial"/>
          <w:sz w:val="18"/>
          <w:szCs w:val="18"/>
          <w:color w:val="auto"/>
        </w:rPr>
      </w:pPr>
    </w:p>
    <w:p>
      <w:pPr>
        <w:ind w:left="1300" w:right="80" w:hanging="644"/>
        <w:spacing w:after="0" w:line="255"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From January 2017 through the date hereof, we issued and sold to certain of our employees, directors, consultants and other service providers an aggregate of 33,916 shares of common stock upon the exercise of options under our 2013 Plan at an exercise price per share of $2.95, for an aggregate exercise price of approximately $100,000.</w:t>
      </w:r>
    </w:p>
    <w:p>
      <w:pPr>
        <w:spacing w:after="0" w:line="16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offers, sales and issuances of the securities described in Items 15(a), 15(b) and 15(c)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7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The offers, sales and issuances of the securities described in Items 15(d) and 15(e) were exempt from registration under the Securities Act under either (i) Rule 701 in that the transactions were under compensatory benefit plans and contracts relating to compensation as provided under Rule 701 or (ii) Section 4(a)(2) of the Securities Act as transactions by an issuer not involving any public offering. The recipients of such securities were the registrant’s employees, consultants or directors and received the securities under our 2013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16. EXHIBIT AND FINANCIAL STATEMENT SCHEDULES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Exhibits.</w:t>
      </w:r>
    </w:p>
    <w:p>
      <w:pPr>
        <w:spacing w:after="0" w:line="104" w:lineRule="exact"/>
        <w:rPr>
          <w:sz w:val="20"/>
          <w:szCs w:val="20"/>
          <w:color w:val="auto"/>
        </w:rPr>
      </w:pPr>
    </w:p>
    <w:p>
      <w:pPr>
        <w:ind w:left="120" w:right="800" w:firstLine="551"/>
        <w:spacing w:after="0" w:line="276"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04"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5" w:right="47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undertakes that:</w:t>
      </w:r>
    </w:p>
    <w:p>
      <w:pPr>
        <w:spacing w:after="0" w:line="117" w:lineRule="exact"/>
        <w:rPr>
          <w:sz w:val="20"/>
          <w:szCs w:val="20"/>
          <w:color w:val="auto"/>
        </w:rPr>
      </w:pPr>
    </w:p>
    <w:p>
      <w:pPr>
        <w:ind w:left="1300" w:right="20" w:hanging="644"/>
        <w:spacing w:after="0" w:line="248" w:lineRule="auto"/>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5" w:lineRule="exact"/>
        <w:rPr>
          <w:rFonts w:ascii="Arial" w:cs="Arial" w:eastAsia="Arial" w:hAnsi="Arial"/>
          <w:sz w:val="18"/>
          <w:szCs w:val="18"/>
          <w:color w:val="auto"/>
        </w:rPr>
      </w:pPr>
    </w:p>
    <w:p>
      <w:pPr>
        <w:ind w:left="1300" w:hanging="644"/>
        <w:spacing w:after="0" w:line="255" w:lineRule="auto"/>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5" w:right="47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360" w:type="dxa"/>
            <w:vAlign w:val="bottom"/>
            <w:gridSpan w:val="10"/>
          </w:tcPr>
          <w:p>
            <w:pPr>
              <w:ind w:left="20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7"/>
        </w:trPr>
        <w:tc>
          <w:tcPr>
            <w:tcW w:w="1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80" w:type="dxa"/>
            <w:vAlign w:val="bottom"/>
            <w:gridSpan w:val="7"/>
          </w:tcPr>
          <w:p>
            <w:pPr>
              <w:ind w:left="2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2"/>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w:anchor="page262">
              <w:r>
                <w:rPr>
                  <w:rFonts w:ascii="Arial" w:cs="Arial" w:eastAsia="Arial" w:hAnsi="Arial"/>
                  <w:sz w:val="18"/>
                  <w:szCs w:val="18"/>
                  <w:u w:val="single" w:color="auto"/>
                  <w:color w:val="0000EE"/>
                </w:rPr>
                <w:t>Form of Underwriting Agreement, including Form of Lock-up Agreement.</w:t>
              </w:r>
            </w:hyperlink>
          </w:p>
        </w:tc>
      </w:tr>
      <w:tr>
        <w:trPr>
          <w:trHeight w:val="310"/>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color w:val="0000EE"/>
              </w:rPr>
            </w:pPr>
            <w:hyperlink w:anchor="page306">
              <w:r>
                <w:rPr>
                  <w:rFonts w:ascii="Arial" w:cs="Arial" w:eastAsia="Arial" w:hAnsi="Arial"/>
                  <w:sz w:val="18"/>
                  <w:szCs w:val="18"/>
                  <w:u w:val="single" w:color="auto"/>
                  <w:color w:val="0000EE"/>
                </w:rPr>
                <w:t>Amended and Restated Certificate of Incorporation of the Registrant, as amended, as currently in effect</w:t>
              </w:r>
              <w:r>
                <w:rPr>
                  <w:rFonts w:ascii="Arial" w:cs="Arial" w:eastAsia="Arial" w:hAnsi="Arial"/>
                  <w:sz w:val="18"/>
                  <w:szCs w:val="18"/>
                  <w:color w:val="0000EE"/>
                </w:rPr>
                <w:t>.</w:t>
              </w:r>
            </w:hyperlink>
          </w:p>
        </w:tc>
      </w:tr>
      <w:tr>
        <w:trPr>
          <w:trHeight w:val="266"/>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3"/>
                <w:szCs w:val="23"/>
                <w:color w:val="auto"/>
              </w:rPr>
            </w:pPr>
          </w:p>
        </w:tc>
        <w:tc>
          <w:tcPr>
            <w:tcW w:w="9780" w:type="dxa"/>
            <w:vAlign w:val="bottom"/>
            <w:gridSpan w:val="14"/>
          </w:tcPr>
          <w:p>
            <w:pPr>
              <w:spacing w:after="0"/>
              <w:rPr>
                <w:rFonts w:ascii="Arial" w:cs="Arial" w:eastAsia="Arial" w:hAnsi="Arial"/>
                <w:sz w:val="18"/>
                <w:szCs w:val="18"/>
                <w:color w:val="0000EE"/>
              </w:rPr>
            </w:pPr>
            <w:hyperlink r:id="rId334">
              <w:r>
                <w:rPr>
                  <w:rFonts w:ascii="Arial" w:cs="Arial" w:eastAsia="Arial" w:hAnsi="Arial"/>
                  <w:sz w:val="18"/>
                  <w:szCs w:val="18"/>
                  <w:color w:val="0000EE"/>
                </w:rPr>
                <w:t>Form of Amended and Restated Certificate of Incorporation of the Registrant, to be in effect immediately prior to the</w:t>
              </w:r>
            </w:hyperlink>
          </w:p>
        </w:tc>
      </w:tr>
      <w:tr>
        <w:trPr>
          <w:trHeight w:val="183"/>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18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334">
              <w:r>
                <w:rPr>
                  <w:rFonts w:ascii="Arial" w:cs="Arial" w:eastAsia="Arial" w:hAnsi="Arial"/>
                  <w:sz w:val="18"/>
                  <w:szCs w:val="18"/>
                  <w:color w:val="0000EE"/>
                </w:rPr>
                <w:t>completion of this offering.</w:t>
              </w:r>
            </w:hyperlink>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5"/>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r:id="rId335">
              <w:r>
                <w:rPr>
                  <w:rFonts w:ascii="Arial" w:cs="Arial" w:eastAsia="Arial" w:hAnsi="Arial"/>
                  <w:sz w:val="18"/>
                  <w:szCs w:val="18"/>
                  <w:u w:val="single" w:color="auto"/>
                  <w:color w:val="0000EE"/>
                </w:rPr>
                <w:t>Bylaws of the Registrant, as currently in effect.</w:t>
              </w:r>
            </w:hyperlink>
          </w:p>
        </w:tc>
      </w:tr>
      <w:tr>
        <w:trPr>
          <w:trHeight w:val="311"/>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w w:val="99"/>
              </w:rPr>
            </w:pPr>
            <w:hyperlink r:id="rId336">
              <w:r>
                <w:rPr>
                  <w:rFonts w:ascii="Arial" w:cs="Arial" w:eastAsia="Arial" w:hAnsi="Arial"/>
                  <w:sz w:val="18"/>
                  <w:szCs w:val="18"/>
                  <w:u w:val="single" w:color="auto"/>
                  <w:color w:val="0000EE"/>
                  <w:w w:val="99"/>
                </w:rPr>
                <w:t>Form of Amended and Restated Bylaws of the Registrant, to be in effect immediately prior to the completion of this offering.</w:t>
              </w:r>
            </w:hyperlink>
          </w:p>
        </w:tc>
      </w:tr>
      <w:tr>
        <w:trPr>
          <w:trHeight w:val="266"/>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3"/>
                <w:szCs w:val="23"/>
                <w:color w:val="auto"/>
              </w:rPr>
            </w:pPr>
          </w:p>
        </w:tc>
        <w:tc>
          <w:tcPr>
            <w:tcW w:w="9780" w:type="dxa"/>
            <w:vAlign w:val="bottom"/>
            <w:gridSpan w:val="14"/>
          </w:tcPr>
          <w:p>
            <w:pPr>
              <w:spacing w:after="0"/>
              <w:rPr>
                <w:rFonts w:ascii="Arial" w:cs="Arial" w:eastAsia="Arial" w:hAnsi="Arial"/>
                <w:sz w:val="18"/>
                <w:szCs w:val="18"/>
                <w:color w:val="0000EE"/>
              </w:rPr>
            </w:pPr>
            <w:hyperlink r:id="rId337">
              <w:r>
                <w:rPr>
                  <w:rFonts w:ascii="Arial" w:cs="Arial" w:eastAsia="Arial" w:hAnsi="Arial"/>
                  <w:sz w:val="18"/>
                  <w:szCs w:val="18"/>
                  <w:color w:val="0000EE"/>
                </w:rPr>
                <w:t>Amended and Restated Investors’ Rights Agreement, dated July 17, 2020, by and among the Registrant and certain of its</w:t>
              </w:r>
            </w:hyperlink>
          </w:p>
        </w:tc>
      </w:tr>
      <w:tr>
        <w:trPr>
          <w:trHeight w:val="183"/>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337">
              <w:r>
                <w:rPr>
                  <w:rFonts w:ascii="Arial" w:cs="Arial" w:eastAsia="Arial" w:hAnsi="Arial"/>
                  <w:sz w:val="18"/>
                  <w:szCs w:val="18"/>
                  <w:color w:val="0000EE"/>
                  <w:w w:val="98"/>
                </w:rPr>
                <w:t>stockholders.</w:t>
              </w:r>
            </w:hyperlink>
          </w:p>
        </w:tc>
        <w:tc>
          <w:tcPr>
            <w:tcW w:w="8580" w:type="dxa"/>
            <w:vAlign w:val="bottom"/>
            <w:tcBorders>
              <w:top w:val="single" w:sz="8" w:color="0000EE"/>
            </w:tcBorders>
            <w:gridSpan w:val="10"/>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35"/>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w:anchor="page329">
              <w:r>
                <w:rPr>
                  <w:rFonts w:ascii="Arial" w:cs="Arial" w:eastAsia="Arial" w:hAnsi="Arial"/>
                  <w:sz w:val="18"/>
                  <w:szCs w:val="18"/>
                  <w:u w:val="single" w:color="auto"/>
                  <w:color w:val="0000EE"/>
                </w:rPr>
                <w:t>Specimen common stock certificate of the Registrant.</w:t>
              </w:r>
            </w:hyperlink>
          </w:p>
        </w:tc>
      </w:tr>
      <w:tr>
        <w:trPr>
          <w:trHeight w:val="311"/>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w:anchor="page331">
              <w:r>
                <w:rPr>
                  <w:rFonts w:ascii="Arial" w:cs="Arial" w:eastAsia="Arial" w:hAnsi="Arial"/>
                  <w:sz w:val="18"/>
                  <w:szCs w:val="18"/>
                  <w:u w:val="single" w:color="auto"/>
                  <w:color w:val="0000EE"/>
                </w:rPr>
                <w:t>Opinion of Wilson Sonsini Goodrich &amp; Rosati, Professional Corporation.</w:t>
              </w:r>
            </w:hyperlink>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r:id="rId338">
              <w:r>
                <w:rPr>
                  <w:rFonts w:ascii="Arial" w:cs="Arial" w:eastAsia="Arial" w:hAnsi="Arial"/>
                  <w:sz w:val="18"/>
                  <w:szCs w:val="18"/>
                  <w:u w:val="single" w:color="auto"/>
                  <w:color w:val="0000EE"/>
                </w:rPr>
                <w:t>Form of Indemnification Agreement between the Registrant and each of its directors and executive officers.</w:t>
              </w:r>
            </w:hyperlink>
          </w:p>
        </w:tc>
      </w:tr>
      <w:tr>
        <w:trPr>
          <w:trHeight w:val="311"/>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w:anchor="page333">
              <w:r>
                <w:rPr>
                  <w:rFonts w:ascii="Arial" w:cs="Arial" w:eastAsia="Arial" w:hAnsi="Arial"/>
                  <w:sz w:val="18"/>
                  <w:szCs w:val="18"/>
                  <w:u w:val="single" w:color="auto"/>
                  <w:color w:val="0000EE"/>
                </w:rPr>
                <w:t>2013 Equity Incentive Plan, as amended, and forms of agreement thereunder.</w:t>
              </w:r>
            </w:hyperlink>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w:anchor="page363">
              <w:r>
                <w:rPr>
                  <w:rFonts w:ascii="Arial" w:cs="Arial" w:eastAsia="Arial" w:hAnsi="Arial"/>
                  <w:sz w:val="18"/>
                  <w:szCs w:val="18"/>
                  <w:u w:val="single" w:color="auto"/>
                  <w:color w:val="0000EE"/>
                </w:rPr>
                <w:t>2020 Equity Incentive Plan and forms of agreements thereunder, to be in effect prior to the completion of this offering.</w:t>
              </w:r>
            </w:hyperlink>
          </w:p>
        </w:tc>
      </w:tr>
      <w:tr>
        <w:trPr>
          <w:trHeight w:val="266"/>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3"/>
                <w:szCs w:val="23"/>
                <w:color w:val="auto"/>
              </w:rPr>
            </w:pPr>
          </w:p>
        </w:tc>
        <w:tc>
          <w:tcPr>
            <w:tcW w:w="9780" w:type="dxa"/>
            <w:vAlign w:val="bottom"/>
            <w:gridSpan w:val="14"/>
          </w:tcPr>
          <w:p>
            <w:pPr>
              <w:spacing w:after="0"/>
              <w:rPr>
                <w:rFonts w:ascii="Arial" w:cs="Arial" w:eastAsia="Arial" w:hAnsi="Arial"/>
                <w:sz w:val="18"/>
                <w:szCs w:val="18"/>
                <w:color w:val="0000EE"/>
              </w:rPr>
            </w:pPr>
            <w:hyperlink w:anchor="page420">
              <w:r>
                <w:rPr>
                  <w:rFonts w:ascii="Arial" w:cs="Arial" w:eastAsia="Arial" w:hAnsi="Arial"/>
                  <w:sz w:val="18"/>
                  <w:szCs w:val="18"/>
                  <w:color w:val="0000EE"/>
                </w:rPr>
                <w:t>2020 Employee Stock Purchase Plan and forms of agreements thereunder, to be in effect upon the completion of this</w:t>
              </w:r>
            </w:hyperlink>
          </w:p>
        </w:tc>
      </w:tr>
      <w:tr>
        <w:trPr>
          <w:trHeight w:val="183"/>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5"/>
              </w:rPr>
            </w:pPr>
            <w:hyperlink w:anchor="page420">
              <w:r>
                <w:rPr>
                  <w:rFonts w:ascii="Arial" w:cs="Arial" w:eastAsia="Arial" w:hAnsi="Arial"/>
                  <w:sz w:val="18"/>
                  <w:szCs w:val="18"/>
                  <w:color w:val="0000EE"/>
                  <w:w w:val="95"/>
                </w:rPr>
                <w:t>offering.</w:t>
              </w:r>
            </w:hyperlink>
          </w:p>
        </w:tc>
        <w:tc>
          <w:tcPr>
            <w:tcW w:w="8660" w:type="dxa"/>
            <w:vAlign w:val="bottom"/>
            <w:tcBorders>
              <w:top w:val="single" w:sz="8" w:color="0000EE"/>
            </w:tcBorders>
            <w:gridSpan w:val="10"/>
          </w:tcPr>
          <w:p>
            <w:pPr>
              <w:spacing w:after="0"/>
              <w:rPr>
                <w:sz w:val="15"/>
                <w:szCs w:val="15"/>
                <w:color w:val="auto"/>
              </w:rPr>
            </w:pPr>
          </w:p>
        </w:tc>
        <w:tc>
          <w:tcPr>
            <w:tcW w:w="4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r>
      <w:tr>
        <w:trPr>
          <w:trHeight w:val="335"/>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r:id="rId339">
              <w:r>
                <w:rPr>
                  <w:rFonts w:ascii="Arial" w:cs="Arial" w:eastAsia="Arial" w:hAnsi="Arial"/>
                  <w:sz w:val="18"/>
                  <w:szCs w:val="18"/>
                  <w:u w:val="single" w:color="auto"/>
                  <w:color w:val="0000EE"/>
                </w:rPr>
                <w:t>Employment Offer Letter, dated August 17, 2020, by and between the Registrant and David H. Mack, Ph.D.</w:t>
              </w:r>
            </w:hyperlink>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10.6+^</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color w:val="0000EE"/>
              </w:rPr>
            </w:pPr>
            <w:hyperlink r:id="rId340">
              <w:r>
                <w:rPr>
                  <w:rFonts w:ascii="Arial" w:cs="Arial" w:eastAsia="Arial" w:hAnsi="Arial"/>
                  <w:sz w:val="18"/>
                  <w:szCs w:val="18"/>
                  <w:u w:val="single" w:color="auto"/>
                  <w:color w:val="0000EE"/>
                </w:rPr>
                <w:t>Employment Offer Letter, dated August 17, 2020, by and between the Registrant and Winston Kung</w:t>
              </w:r>
            </w:hyperlink>
            <w:r>
              <w:rPr>
                <w:rFonts w:ascii="Arial" w:cs="Arial" w:eastAsia="Arial" w:hAnsi="Arial"/>
                <w:sz w:val="18"/>
                <w:szCs w:val="18"/>
                <w:color w:val="000000"/>
              </w:rPr>
              <w:t>.</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r:id="rId341">
              <w:r>
                <w:rPr>
                  <w:rFonts w:ascii="Arial" w:cs="Arial" w:eastAsia="Arial" w:hAnsi="Arial"/>
                  <w:sz w:val="18"/>
                  <w:szCs w:val="18"/>
                  <w:u w:val="single" w:color="auto"/>
                  <w:color w:val="0000EE"/>
                </w:rPr>
                <w:t>Employment Offer Letter, dated August 18, 2020, by and between the Registrant and Leila Alland, M.D.</w:t>
              </w:r>
            </w:hyperlink>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color w:val="0000EE"/>
              </w:rPr>
            </w:pPr>
            <w:hyperlink r:id="rId342">
              <w:r>
                <w:rPr>
                  <w:rFonts w:ascii="Arial" w:cs="Arial" w:eastAsia="Arial" w:hAnsi="Arial"/>
                  <w:sz w:val="18"/>
                  <w:szCs w:val="18"/>
                  <w:u w:val="single" w:color="auto"/>
                  <w:color w:val="0000EE"/>
                </w:rPr>
                <w:t>Employment Offer Letter, dated August 18, 2020, by and between the Registrant and Deepika Jalota, Pharm.D</w:t>
              </w:r>
              <w:r>
                <w:rPr>
                  <w:rFonts w:ascii="Arial" w:cs="Arial" w:eastAsia="Arial" w:hAnsi="Arial"/>
                  <w:sz w:val="18"/>
                  <w:szCs w:val="18"/>
                  <w:color w:val="0000EE"/>
                </w:rPr>
                <w:t>.</w:t>
              </w:r>
            </w:hyperlink>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r:id="rId343">
              <w:r>
                <w:rPr>
                  <w:rFonts w:ascii="Arial" w:cs="Arial" w:eastAsia="Arial" w:hAnsi="Arial"/>
                  <w:sz w:val="18"/>
                  <w:szCs w:val="18"/>
                  <w:u w:val="single" w:color="auto"/>
                  <w:color w:val="0000EE"/>
                </w:rPr>
                <w:t>Employee Incentive Compensation Plan.</w:t>
              </w:r>
            </w:hyperlink>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u w:val="single" w:color="auto"/>
                <w:color w:val="0000EE"/>
              </w:rPr>
            </w:pPr>
            <w:hyperlink r:id="rId344">
              <w:r>
                <w:rPr>
                  <w:rFonts w:ascii="Arial" w:cs="Arial" w:eastAsia="Arial" w:hAnsi="Arial"/>
                  <w:sz w:val="18"/>
                  <w:szCs w:val="18"/>
                  <w:u w:val="single" w:color="auto"/>
                  <w:color w:val="0000EE"/>
                </w:rPr>
                <w:t>Change in Control and Severance Policy.</w:t>
              </w:r>
            </w:hyperlink>
          </w:p>
        </w:tc>
      </w:tr>
      <w:tr>
        <w:trPr>
          <w:trHeight w:val="266"/>
        </w:trPr>
        <w:tc>
          <w:tcPr>
            <w:tcW w:w="720" w:type="dxa"/>
            <w:vAlign w:val="bottom"/>
            <w:gridSpan w:val="2"/>
          </w:tcPr>
          <w:p>
            <w:pPr>
              <w:spacing w:after="0"/>
              <w:rPr>
                <w:sz w:val="20"/>
                <w:szCs w:val="20"/>
                <w:color w:val="auto"/>
              </w:rPr>
            </w:pPr>
            <w:r>
              <w:rPr>
                <w:rFonts w:ascii="Arial" w:cs="Arial" w:eastAsia="Arial" w:hAnsi="Arial"/>
                <w:sz w:val="18"/>
                <w:szCs w:val="18"/>
                <w:color w:val="auto"/>
              </w:rPr>
              <w:t>10.11+^</w:t>
            </w:r>
          </w:p>
        </w:tc>
        <w:tc>
          <w:tcPr>
            <w:tcW w:w="500" w:type="dxa"/>
            <w:vAlign w:val="bottom"/>
          </w:tcPr>
          <w:p>
            <w:pPr>
              <w:spacing w:after="0"/>
              <w:rPr>
                <w:sz w:val="23"/>
                <w:szCs w:val="23"/>
                <w:color w:val="auto"/>
              </w:rPr>
            </w:pPr>
          </w:p>
        </w:tc>
        <w:tc>
          <w:tcPr>
            <w:tcW w:w="9780" w:type="dxa"/>
            <w:vAlign w:val="bottom"/>
            <w:gridSpan w:val="14"/>
          </w:tcPr>
          <w:p>
            <w:pPr>
              <w:spacing w:after="0"/>
              <w:rPr>
                <w:rFonts w:ascii="Arial" w:cs="Arial" w:eastAsia="Arial" w:hAnsi="Arial"/>
                <w:sz w:val="18"/>
                <w:szCs w:val="18"/>
                <w:color w:val="0000EE"/>
              </w:rPr>
            </w:pPr>
            <w:hyperlink r:id="rId345">
              <w:r>
                <w:rPr>
                  <w:rFonts w:ascii="Arial" w:cs="Arial" w:eastAsia="Arial" w:hAnsi="Arial"/>
                  <w:sz w:val="18"/>
                  <w:szCs w:val="18"/>
                  <w:color w:val="0000EE"/>
                </w:rPr>
                <w:t>Amended and Restated Change in Control and Severance Policy Participation Agreement, dated August 17, 2020, by and</w:t>
              </w:r>
            </w:hyperlink>
          </w:p>
        </w:tc>
      </w:tr>
      <w:tr>
        <w:trPr>
          <w:trHeight w:val="183"/>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345">
              <w:r>
                <w:rPr>
                  <w:rFonts w:ascii="Arial" w:cs="Arial" w:eastAsia="Arial" w:hAnsi="Arial"/>
                  <w:sz w:val="18"/>
                  <w:szCs w:val="18"/>
                  <w:color w:val="0000EE"/>
                </w:rPr>
                <w:t>between the Registrant and David H. Mack, Ph.D.</w:t>
              </w:r>
            </w:hyperlink>
          </w:p>
        </w:tc>
        <w:tc>
          <w:tcPr>
            <w:tcW w:w="80" w:type="dxa"/>
            <w:vAlign w:val="bottom"/>
          </w:tcPr>
          <w:p>
            <w:pPr>
              <w:spacing w:after="0"/>
              <w:rPr>
                <w:sz w:val="15"/>
                <w:szCs w:val="15"/>
                <w:color w:val="auto"/>
              </w:rPr>
            </w:pPr>
          </w:p>
        </w:tc>
      </w:tr>
      <w:tr>
        <w:trPr>
          <w:trHeight w:val="20"/>
        </w:trPr>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80" w:type="dxa"/>
            <w:vAlign w:val="bottom"/>
            <w:gridSpan w:val="7"/>
          </w:tcPr>
          <w:p>
            <w:pPr>
              <w:spacing w:after="0" w:line="20" w:lineRule="exact"/>
              <w:rPr>
                <w:sz w:val="1"/>
                <w:szCs w:val="1"/>
                <w:color w:val="auto"/>
              </w:rPr>
            </w:pPr>
          </w:p>
        </w:tc>
      </w:tr>
      <w:tr>
        <w:trPr>
          <w:trHeight w:val="290"/>
        </w:trPr>
        <w:tc>
          <w:tcPr>
            <w:tcW w:w="720" w:type="dxa"/>
            <w:vAlign w:val="bottom"/>
            <w:gridSpan w:val="2"/>
          </w:tcPr>
          <w:p>
            <w:pPr>
              <w:spacing w:after="0"/>
              <w:rPr>
                <w:sz w:val="20"/>
                <w:szCs w:val="20"/>
                <w:color w:val="auto"/>
              </w:rPr>
            </w:pPr>
            <w:r>
              <w:rPr>
                <w:rFonts w:ascii="Arial" w:cs="Arial" w:eastAsia="Arial" w:hAnsi="Arial"/>
                <w:sz w:val="18"/>
                <w:szCs w:val="18"/>
                <w:color w:val="auto"/>
              </w:rPr>
              <w:t>10.12+^</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color w:val="0000EE"/>
              </w:rPr>
            </w:pPr>
            <w:hyperlink r:id="rId346">
              <w:r>
                <w:rPr>
                  <w:rFonts w:ascii="Arial" w:cs="Arial" w:eastAsia="Arial" w:hAnsi="Arial"/>
                  <w:sz w:val="18"/>
                  <w:szCs w:val="18"/>
                  <w:color w:val="0000EE"/>
                </w:rPr>
                <w:t>Amended and Restated Change in Control and Severance Policy Participation Agreement, dated August 17, 2020, by and</w:t>
              </w:r>
            </w:hyperlink>
          </w:p>
        </w:tc>
      </w:tr>
      <w:tr>
        <w:trPr>
          <w:trHeight w:val="183"/>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346">
              <w:r>
                <w:rPr>
                  <w:rFonts w:ascii="Arial" w:cs="Arial" w:eastAsia="Arial" w:hAnsi="Arial"/>
                  <w:sz w:val="18"/>
                  <w:szCs w:val="18"/>
                  <w:color w:val="0000EE"/>
                  <w:w w:val="99"/>
                </w:rPr>
                <w:t>between the Registrant and Winston Kung.</w:t>
              </w:r>
            </w:hyperlink>
          </w:p>
        </w:tc>
        <w:tc>
          <w:tcPr>
            <w:tcW w:w="6280" w:type="dxa"/>
            <w:vAlign w:val="bottom"/>
            <w:tcBorders>
              <w:top w:val="single" w:sz="8" w:color="0000EE"/>
            </w:tcBorders>
            <w:gridSpan w:val="9"/>
          </w:tcPr>
          <w:p>
            <w:pPr>
              <w:spacing w:after="0"/>
              <w:rPr>
                <w:sz w:val="15"/>
                <w:szCs w:val="15"/>
                <w:color w:val="auto"/>
              </w:rPr>
            </w:pPr>
          </w:p>
        </w:tc>
        <w:tc>
          <w:tcPr>
            <w:tcW w:w="80" w:type="dxa"/>
            <w:vAlign w:val="bottom"/>
          </w:tcPr>
          <w:p>
            <w:pPr>
              <w:spacing w:after="0"/>
              <w:rPr>
                <w:sz w:val="15"/>
                <w:szCs w:val="15"/>
                <w:color w:val="auto"/>
              </w:rPr>
            </w:pPr>
          </w:p>
        </w:tc>
      </w:tr>
      <w:tr>
        <w:trPr>
          <w:trHeight w:val="290"/>
        </w:trPr>
        <w:tc>
          <w:tcPr>
            <w:tcW w:w="720" w:type="dxa"/>
            <w:vAlign w:val="bottom"/>
            <w:gridSpan w:val="2"/>
          </w:tcPr>
          <w:p>
            <w:pPr>
              <w:spacing w:after="0"/>
              <w:rPr>
                <w:sz w:val="20"/>
                <w:szCs w:val="20"/>
                <w:color w:val="auto"/>
              </w:rPr>
            </w:pPr>
            <w:r>
              <w:rPr>
                <w:rFonts w:ascii="Arial" w:cs="Arial" w:eastAsia="Arial" w:hAnsi="Arial"/>
                <w:sz w:val="18"/>
                <w:szCs w:val="18"/>
                <w:color w:val="auto"/>
              </w:rPr>
              <w:t>10.13+^</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color w:val="0000EE"/>
              </w:rPr>
            </w:pPr>
            <w:hyperlink r:id="rId347">
              <w:r>
                <w:rPr>
                  <w:rFonts w:ascii="Arial" w:cs="Arial" w:eastAsia="Arial" w:hAnsi="Arial"/>
                  <w:sz w:val="18"/>
                  <w:szCs w:val="18"/>
                  <w:color w:val="0000EE"/>
                </w:rPr>
                <w:t>Amended and Restated Change in Control and Severance Policy Participation Agreement, dated August 18, 2020, by and</w:t>
              </w:r>
            </w:hyperlink>
          </w:p>
        </w:tc>
      </w:tr>
      <w:tr>
        <w:trPr>
          <w:trHeight w:val="183"/>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347">
              <w:r>
                <w:rPr>
                  <w:rFonts w:ascii="Arial" w:cs="Arial" w:eastAsia="Arial" w:hAnsi="Arial"/>
                  <w:sz w:val="18"/>
                  <w:szCs w:val="18"/>
                  <w:color w:val="0000EE"/>
                  <w:w w:val="99"/>
                </w:rPr>
                <w:t>between the Registrant and Leila Alland, M.D.</w:t>
              </w:r>
            </w:hyperlink>
          </w:p>
        </w:tc>
        <w:tc>
          <w:tcPr>
            <w:tcW w:w="6040" w:type="dxa"/>
            <w:vAlign w:val="bottom"/>
            <w:tcBorders>
              <w:top w:val="single" w:sz="8" w:color="0000EE"/>
            </w:tcBorders>
            <w:gridSpan w:val="8"/>
          </w:tcPr>
          <w:p>
            <w:pPr>
              <w:spacing w:after="0"/>
              <w:rPr>
                <w:sz w:val="15"/>
                <w:szCs w:val="15"/>
                <w:color w:val="auto"/>
              </w:rPr>
            </w:pPr>
          </w:p>
        </w:tc>
        <w:tc>
          <w:tcPr>
            <w:tcW w:w="80" w:type="dxa"/>
            <w:vAlign w:val="bottom"/>
          </w:tcPr>
          <w:p>
            <w:pPr>
              <w:spacing w:after="0"/>
              <w:rPr>
                <w:sz w:val="15"/>
                <w:szCs w:val="15"/>
                <w:color w:val="auto"/>
              </w:rPr>
            </w:pPr>
          </w:p>
        </w:tc>
      </w:tr>
      <w:tr>
        <w:trPr>
          <w:trHeight w:val="290"/>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50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color w:val="0000EE"/>
              </w:rPr>
            </w:pPr>
            <w:hyperlink r:id="rId348">
              <w:r>
                <w:rPr>
                  <w:rFonts w:ascii="Arial" w:cs="Arial" w:eastAsia="Arial" w:hAnsi="Arial"/>
                  <w:sz w:val="18"/>
                  <w:szCs w:val="18"/>
                  <w:color w:val="0000EE"/>
                </w:rPr>
                <w:t>Amended and Restated Change in Control and Severance Policy Participation Agreement, dated August 18, 2020, by and</w:t>
              </w:r>
            </w:hyperlink>
          </w:p>
        </w:tc>
      </w:tr>
      <w:tr>
        <w:trPr>
          <w:trHeight w:val="182"/>
        </w:trPr>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3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348">
              <w:r>
                <w:rPr>
                  <w:rFonts w:ascii="Arial" w:cs="Arial" w:eastAsia="Arial" w:hAnsi="Arial"/>
                  <w:sz w:val="18"/>
                  <w:szCs w:val="18"/>
                  <w:color w:val="0000EE"/>
                  <w:w w:val="99"/>
                </w:rPr>
                <w:t>between the Registrant and Deepika Jalota, Pharm.D.</w:t>
              </w:r>
            </w:hyperlink>
          </w:p>
        </w:tc>
        <w:tc>
          <w:tcPr>
            <w:tcW w:w="5400" w:type="dxa"/>
            <w:vAlign w:val="bottom"/>
            <w:tcBorders>
              <w:top w:val="single" w:sz="8" w:color="0000EE"/>
            </w:tcBorders>
            <w:gridSpan w:val="6"/>
          </w:tcPr>
          <w:p>
            <w:pPr>
              <w:spacing w:after="0"/>
              <w:rPr>
                <w:sz w:val="15"/>
                <w:szCs w:val="15"/>
                <w:color w:val="auto"/>
              </w:rPr>
            </w:pPr>
          </w:p>
        </w:tc>
        <w:tc>
          <w:tcPr>
            <w:tcW w:w="80" w:type="dxa"/>
            <w:vAlign w:val="bottom"/>
          </w:tcPr>
          <w:p>
            <w:pPr>
              <w:spacing w:after="0"/>
              <w:rPr>
                <w:sz w:val="15"/>
                <w:szCs w:val="15"/>
                <w:color w:val="auto"/>
              </w:rPr>
            </w:pPr>
          </w:p>
        </w:tc>
      </w:tr>
    </w:tbl>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12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560" w:type="dxa"/>
            <w:vAlign w:val="bottom"/>
            <w:gridSpan w:val="2"/>
          </w:tcPr>
          <w:p>
            <w:pPr>
              <w:spacing w:after="0"/>
              <w:rPr>
                <w:sz w:val="15"/>
                <w:szCs w:val="15"/>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8"/>
                <w:szCs w:val="18"/>
                <w:color w:val="auto"/>
              </w:rPr>
              <w:t>10.15+</w:t>
            </w:r>
          </w:p>
        </w:tc>
        <w:tc>
          <w:tcPr>
            <w:tcW w:w="420" w:type="dxa"/>
            <w:vAlign w:val="bottom"/>
          </w:tcPr>
          <w:p>
            <w:pPr>
              <w:spacing w:after="0"/>
              <w:rPr>
                <w:sz w:val="24"/>
                <w:szCs w:val="24"/>
                <w:color w:val="auto"/>
              </w:rPr>
            </w:pPr>
          </w:p>
        </w:tc>
        <w:tc>
          <w:tcPr>
            <w:tcW w:w="9920" w:type="dxa"/>
            <w:vAlign w:val="bottom"/>
            <w:gridSpan w:val="5"/>
          </w:tcPr>
          <w:p>
            <w:pPr>
              <w:spacing w:after="0"/>
              <w:rPr>
                <w:rFonts w:ascii="Arial" w:cs="Arial" w:eastAsia="Arial" w:hAnsi="Arial"/>
                <w:sz w:val="18"/>
                <w:szCs w:val="18"/>
                <w:u w:val="single" w:color="auto"/>
                <w:color w:val="0000EE"/>
              </w:rPr>
            </w:pPr>
            <w:hyperlink w:anchor="page440">
              <w:r>
                <w:rPr>
                  <w:rFonts w:ascii="Arial" w:cs="Arial" w:eastAsia="Arial" w:hAnsi="Arial"/>
                  <w:sz w:val="18"/>
                  <w:szCs w:val="18"/>
                  <w:u w:val="single" w:color="auto"/>
                  <w:color w:val="0000EE"/>
                </w:rPr>
                <w:t>Outside Director Compensation Policy.</w:t>
              </w:r>
            </w:hyperlink>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24"/>
                <w:szCs w:val="24"/>
                <w:color w:val="auto"/>
              </w:rPr>
            </w:pPr>
          </w:p>
        </w:tc>
        <w:tc>
          <w:tcPr>
            <w:tcW w:w="9920" w:type="dxa"/>
            <w:vAlign w:val="bottom"/>
            <w:gridSpan w:val="5"/>
          </w:tcPr>
          <w:p>
            <w:pPr>
              <w:spacing w:after="0"/>
              <w:rPr>
                <w:rFonts w:ascii="Arial" w:cs="Arial" w:eastAsia="Arial" w:hAnsi="Arial"/>
                <w:sz w:val="18"/>
                <w:szCs w:val="18"/>
                <w:u w:val="single" w:color="auto"/>
                <w:color w:val="0000EE"/>
              </w:rPr>
            </w:pPr>
            <w:hyperlink r:id="rId350">
              <w:r>
                <w:rPr>
                  <w:rFonts w:ascii="Arial" w:cs="Arial" w:eastAsia="Arial" w:hAnsi="Arial"/>
                  <w:sz w:val="18"/>
                  <w:szCs w:val="18"/>
                  <w:u w:val="single" w:color="auto"/>
                  <w:color w:val="0000EE"/>
                </w:rPr>
                <w:t>Consulting Agreement, dated January 1, 2016, by and between the Registrant and Arnold Levine, Ph.D.</w:t>
              </w:r>
            </w:hyperlink>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10.17^</w:t>
            </w:r>
          </w:p>
        </w:tc>
        <w:tc>
          <w:tcPr>
            <w:tcW w:w="420" w:type="dxa"/>
            <w:vAlign w:val="bottom"/>
          </w:tcPr>
          <w:p>
            <w:pPr>
              <w:spacing w:after="0"/>
              <w:rPr>
                <w:sz w:val="24"/>
                <w:szCs w:val="24"/>
                <w:color w:val="auto"/>
              </w:rPr>
            </w:pPr>
          </w:p>
        </w:tc>
        <w:tc>
          <w:tcPr>
            <w:tcW w:w="9920" w:type="dxa"/>
            <w:vAlign w:val="bottom"/>
            <w:gridSpan w:val="5"/>
          </w:tcPr>
          <w:p>
            <w:pPr>
              <w:spacing w:after="0"/>
              <w:rPr>
                <w:rFonts w:ascii="Arial" w:cs="Arial" w:eastAsia="Arial" w:hAnsi="Arial"/>
                <w:sz w:val="18"/>
                <w:szCs w:val="18"/>
                <w:color w:val="0000EE"/>
              </w:rPr>
            </w:pPr>
            <w:hyperlink r:id="rId351">
              <w:r>
                <w:rPr>
                  <w:rFonts w:ascii="Arial" w:cs="Arial" w:eastAsia="Arial" w:hAnsi="Arial"/>
                  <w:sz w:val="18"/>
                  <w:szCs w:val="18"/>
                  <w:u w:val="single" w:color="auto"/>
                  <w:color w:val="0000EE"/>
                </w:rPr>
                <w:t>Consulting Agreement, dated July 14, 2017, by and between the Registrant and Richard Heyman, Ph.D</w:t>
              </w:r>
              <w:r>
                <w:rPr>
                  <w:rFonts w:ascii="Arial" w:cs="Arial" w:eastAsia="Arial" w:hAnsi="Arial"/>
                  <w:sz w:val="18"/>
                  <w:szCs w:val="18"/>
                  <w:color w:val="0000EE"/>
                </w:rPr>
                <w:t>.</w:t>
              </w:r>
            </w:hyperlink>
          </w:p>
        </w:tc>
      </w:tr>
      <w:tr>
        <w:trPr>
          <w:trHeight w:val="266"/>
        </w:trPr>
        <w:tc>
          <w:tcPr>
            <w:tcW w:w="680" w:type="dxa"/>
            <w:vAlign w:val="bottom"/>
            <w:gridSpan w:val="2"/>
          </w:tcPr>
          <w:p>
            <w:pPr>
              <w:spacing w:after="0"/>
              <w:rPr>
                <w:sz w:val="20"/>
                <w:szCs w:val="20"/>
                <w:color w:val="auto"/>
              </w:rPr>
            </w:pPr>
            <w:r>
              <w:rPr>
                <w:rFonts w:ascii="Arial" w:cs="Arial" w:eastAsia="Arial" w:hAnsi="Arial"/>
                <w:sz w:val="18"/>
                <w:szCs w:val="18"/>
                <w:color w:val="auto"/>
              </w:rPr>
              <w:t>10.18^</w:t>
            </w:r>
          </w:p>
        </w:tc>
        <w:tc>
          <w:tcPr>
            <w:tcW w:w="420" w:type="dxa"/>
            <w:vAlign w:val="bottom"/>
          </w:tcPr>
          <w:p>
            <w:pPr>
              <w:spacing w:after="0"/>
              <w:rPr>
                <w:sz w:val="23"/>
                <w:szCs w:val="23"/>
                <w:color w:val="auto"/>
              </w:rPr>
            </w:pPr>
          </w:p>
        </w:tc>
        <w:tc>
          <w:tcPr>
            <w:tcW w:w="9920" w:type="dxa"/>
            <w:vAlign w:val="bottom"/>
            <w:gridSpan w:val="5"/>
          </w:tcPr>
          <w:p>
            <w:pPr>
              <w:spacing w:after="0"/>
              <w:rPr>
                <w:rFonts w:ascii="Arial" w:cs="Arial" w:eastAsia="Arial" w:hAnsi="Arial"/>
                <w:sz w:val="18"/>
                <w:szCs w:val="18"/>
                <w:color w:val="0000EE"/>
                <w:w w:val="99"/>
              </w:rPr>
            </w:pPr>
            <w:hyperlink r:id="rId352">
              <w:r>
                <w:rPr>
                  <w:rFonts w:ascii="Arial" w:cs="Arial" w:eastAsia="Arial" w:hAnsi="Arial"/>
                  <w:sz w:val="18"/>
                  <w:szCs w:val="18"/>
                  <w:color w:val="0000EE"/>
                  <w:w w:val="99"/>
                </w:rPr>
                <w:t>Lease Agreement, dated March 3, 2015, by and between the Registrant and Cedar Brook 2005, LP, as amended by the First</w:t>
              </w:r>
            </w:hyperlink>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0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r:id="rId352">
              <w:r>
                <w:rPr>
                  <w:rFonts w:ascii="Arial" w:cs="Arial" w:eastAsia="Arial" w:hAnsi="Arial"/>
                  <w:sz w:val="18"/>
                  <w:szCs w:val="18"/>
                  <w:color w:val="0000EE"/>
                </w:rPr>
                <w:t>Amendment to Lease dated April 24, 2017.</w:t>
              </w:r>
            </w:hyperlink>
          </w:p>
        </w:tc>
        <w:tc>
          <w:tcPr>
            <w:tcW w:w="20" w:type="dxa"/>
            <w:vAlign w:val="bottom"/>
          </w:tcPr>
          <w:p>
            <w:pPr>
              <w:spacing w:after="0"/>
              <w:rPr>
                <w:sz w:val="15"/>
                <w:szCs w:val="15"/>
                <w:color w:val="auto"/>
              </w:rPr>
            </w:pPr>
          </w:p>
        </w:tc>
      </w:tr>
      <w:tr>
        <w:trPr>
          <w:trHeight w:val="20"/>
        </w:trPr>
        <w:tc>
          <w:tcPr>
            <w:tcW w:w="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6500" w:type="dxa"/>
            <w:vAlign w:val="bottom"/>
            <w:gridSpan w:val="4"/>
          </w:tcPr>
          <w:p>
            <w:pPr>
              <w:spacing w:after="0" w:line="20" w:lineRule="exact"/>
              <w:rPr>
                <w:sz w:val="1"/>
                <w:szCs w:val="1"/>
                <w:color w:val="auto"/>
              </w:rPr>
            </w:pPr>
          </w:p>
        </w:tc>
      </w:tr>
      <w:tr>
        <w:trPr>
          <w:trHeight w:val="335"/>
        </w:trPr>
        <w:tc>
          <w:tcPr>
            <w:tcW w:w="680" w:type="dxa"/>
            <w:vAlign w:val="bottom"/>
            <w:gridSpan w:val="2"/>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9920" w:type="dxa"/>
            <w:vAlign w:val="bottom"/>
            <w:gridSpan w:val="5"/>
          </w:tcPr>
          <w:p>
            <w:pPr>
              <w:spacing w:after="0"/>
              <w:rPr>
                <w:rFonts w:ascii="Arial" w:cs="Arial" w:eastAsia="Arial" w:hAnsi="Arial"/>
                <w:sz w:val="18"/>
                <w:szCs w:val="18"/>
                <w:u w:val="single" w:color="auto"/>
                <w:color w:val="0000EE"/>
              </w:rPr>
            </w:pPr>
            <w:hyperlink w:anchor="page443">
              <w:r>
                <w:rPr>
                  <w:rFonts w:ascii="Arial" w:cs="Arial" w:eastAsia="Arial" w:hAnsi="Arial"/>
                  <w:sz w:val="18"/>
                  <w:szCs w:val="18"/>
                  <w:u w:val="single" w:color="auto"/>
                  <w:color w:val="0000EE"/>
                </w:rPr>
                <w:t>Consent of Independent Registered Public Accounting Firm.</w:t>
              </w:r>
            </w:hyperlink>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9920" w:type="dxa"/>
            <w:vAlign w:val="bottom"/>
            <w:gridSpan w:val="5"/>
          </w:tcPr>
          <w:p>
            <w:pPr>
              <w:spacing w:after="0"/>
              <w:rPr>
                <w:rFonts w:ascii="Arial" w:cs="Arial" w:eastAsia="Arial" w:hAnsi="Arial"/>
                <w:sz w:val="18"/>
                <w:szCs w:val="18"/>
                <w:color w:val="0000EE"/>
              </w:rPr>
            </w:pPr>
            <w:hyperlink w:anchor="page331">
              <w:r>
                <w:rPr>
                  <w:rFonts w:ascii="Arial" w:cs="Arial" w:eastAsia="Arial" w:hAnsi="Arial"/>
                  <w:sz w:val="18"/>
                  <w:szCs w:val="18"/>
                  <w:u w:val="single" w:color="auto"/>
                  <w:color w:val="0000EE"/>
                </w:rPr>
                <w:t>Consent of Wilson Sonsini Goodrich &amp; Rosati, Professional Corporation (included in Exhibit 5.1)</w:t>
              </w:r>
              <w:r>
                <w:rPr>
                  <w:rFonts w:ascii="Arial" w:cs="Arial" w:eastAsia="Arial" w:hAnsi="Arial"/>
                  <w:sz w:val="18"/>
                  <w:szCs w:val="18"/>
                  <w:color w:val="0000EE"/>
                </w:rPr>
                <w:t>.</w:t>
              </w:r>
            </w:hyperlink>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9920" w:type="dxa"/>
            <w:vAlign w:val="bottom"/>
            <w:gridSpan w:val="5"/>
          </w:tcPr>
          <w:p>
            <w:pPr>
              <w:spacing w:after="0"/>
              <w:rPr>
                <w:rFonts w:ascii="Arial" w:cs="Arial" w:eastAsia="Arial" w:hAnsi="Arial"/>
                <w:sz w:val="18"/>
                <w:szCs w:val="18"/>
                <w:u w:val="single" w:color="auto"/>
                <w:color w:val="0000EE"/>
              </w:rPr>
            </w:pPr>
            <w:hyperlink r:id="rId353">
              <w:r>
                <w:rPr>
                  <w:rFonts w:ascii="Arial" w:cs="Arial" w:eastAsia="Arial" w:hAnsi="Arial"/>
                  <w:sz w:val="18"/>
                  <w:szCs w:val="18"/>
                  <w:u w:val="single" w:color="auto"/>
                  <w:color w:val="0000EE"/>
                </w:rPr>
                <w:t>Power of Attorney (see page II-7 to Form S-1 filed with the SEC on September 4, 2020).</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660" w:hanging="544"/>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8" w:lineRule="exact"/>
        <w:rPr>
          <w:sz w:val="20"/>
          <w:szCs w:val="20"/>
          <w:color w:val="auto"/>
        </w:rPr>
      </w:pPr>
    </w:p>
    <w:p>
      <w:pPr>
        <w:ind w:left="660" w:hanging="544"/>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Indicated management contract or compensatory plan.</w:t>
      </w: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14" w:lineRule="exact"/>
        <w:rPr>
          <w:sz w:val="20"/>
          <w:szCs w:val="20"/>
          <w:color w:val="auto"/>
        </w:rPr>
      </w:pPr>
    </w:p>
    <w:p>
      <w:pPr>
        <w:ind w:left="120" w:firstLine="551"/>
        <w:spacing w:after="0" w:line="306"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Cranbury, New Jersey, on September 21, 2020.</w:t>
      </w:r>
    </w:p>
    <w:p>
      <w:pPr>
        <w:spacing w:after="0" w:line="1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PMV PHARMACEUTICALS, INC.</w:t>
      </w:r>
    </w:p>
    <w:p>
      <w:pPr>
        <w:spacing w:after="0" w:line="21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11430</wp:posOffset>
            </wp:positionV>
            <wp:extent cx="25628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David H. Mack, Ph.D.</w:t>
      </w:r>
    </w:p>
    <w:p>
      <w:pPr>
        <w:spacing w:after="0" w:line="4"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0" w:lineRule="exact"/>
        <w:rPr>
          <w:sz w:val="20"/>
          <w:szCs w:val="20"/>
          <w:color w:val="auto"/>
        </w:rPr>
      </w:pPr>
    </w:p>
    <w:p>
      <w:pPr>
        <w:ind w:left="120" w:right="540" w:firstLine="551"/>
        <w:spacing w:after="0" w:line="27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1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60" w:type="dxa"/>
            <w:vAlign w:val="bottom"/>
            <w:gridSpan w:val="2"/>
          </w:tcPr>
          <w:p>
            <w:pPr>
              <w:jc w:val="center"/>
              <w:ind w:right="2160"/>
              <w:spacing w:after="0"/>
              <w:rPr>
                <w:sz w:val="20"/>
                <w:szCs w:val="20"/>
                <w:color w:val="auto"/>
              </w:rPr>
            </w:pPr>
            <w:r>
              <w:rPr>
                <w:rFonts w:ascii="Arial" w:cs="Arial" w:eastAsia="Arial" w:hAnsi="Arial"/>
                <w:sz w:val="14"/>
                <w:szCs w:val="14"/>
                <w:b w:val="1"/>
                <w:bCs w:val="1"/>
                <w:color w:val="auto"/>
              </w:rPr>
              <w:t>Title</w:t>
            </w:r>
          </w:p>
        </w:tc>
        <w:tc>
          <w:tcPr>
            <w:tcW w:w="2020" w:type="dxa"/>
            <w:vAlign w:val="bottom"/>
            <w:gridSpan w:val="3"/>
          </w:tcPr>
          <w:p>
            <w:pPr>
              <w:jc w:val="center"/>
              <w:ind w:left="31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40" w:type="dxa"/>
            <w:vAlign w:val="bottom"/>
          </w:tcPr>
          <w:p>
            <w:pPr>
              <w:spacing w:after="0"/>
              <w:rPr>
                <w:sz w:val="24"/>
                <w:szCs w:val="24"/>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/s/ David H. Mack</w:t>
            </w:r>
          </w:p>
        </w:tc>
        <w:tc>
          <w:tcPr>
            <w:tcW w:w="440" w:type="dxa"/>
            <w:vAlign w:val="bottom"/>
          </w:tcPr>
          <w:p>
            <w:pPr>
              <w:spacing w:after="0"/>
              <w:rPr>
                <w:sz w:val="24"/>
                <w:szCs w:val="24"/>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President, Chief Executive Officer and Director</w:t>
            </w:r>
          </w:p>
        </w:tc>
        <w:tc>
          <w:tcPr>
            <w:tcW w:w="202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September 21, 2020</w:t>
            </w:r>
          </w:p>
        </w:tc>
        <w:tc>
          <w:tcPr>
            <w:tcW w:w="0" w:type="dxa"/>
            <w:vAlign w:val="bottom"/>
          </w:tcPr>
          <w:p>
            <w:pPr>
              <w:spacing w:after="0"/>
              <w:rPr>
                <w:sz w:val="1"/>
                <w:szCs w:val="1"/>
                <w:color w:val="auto"/>
              </w:rPr>
            </w:pPr>
          </w:p>
        </w:tc>
      </w:tr>
      <w:tr>
        <w:trPr>
          <w:trHeight w:val="23"/>
        </w:trPr>
        <w:tc>
          <w:tcPr>
            <w:tcW w:w="44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gridSpan w:val="3"/>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300" w:type="dxa"/>
            <w:vAlign w:val="bottom"/>
            <w:gridSpan w:val="3"/>
            <w:vMerge w:val="restart"/>
          </w:tcPr>
          <w:p>
            <w:pPr>
              <w:jc w:val="center"/>
              <w:ind w:right="320"/>
              <w:spacing w:after="0"/>
              <w:rPr>
                <w:sz w:val="20"/>
                <w:szCs w:val="20"/>
                <w:color w:val="auto"/>
              </w:rPr>
            </w:pPr>
            <w:r>
              <w:rPr>
                <w:rFonts w:ascii="Arial" w:cs="Arial" w:eastAsia="Arial" w:hAnsi="Arial"/>
                <w:sz w:val="18"/>
                <w:szCs w:val="18"/>
                <w:color w:val="auto"/>
                <w:w w:val="99"/>
              </w:rPr>
              <w:t>(Principal Executive Officer)</w:t>
            </w: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David H. Mack, Ph.D.</w:t>
            </w:r>
          </w:p>
        </w:tc>
        <w:tc>
          <w:tcPr>
            <w:tcW w:w="440" w:type="dxa"/>
            <w:vAlign w:val="bottom"/>
            <w:vMerge w:val="continue"/>
          </w:tcPr>
          <w:p>
            <w:pPr>
              <w:spacing w:after="0"/>
              <w:rPr>
                <w:sz w:val="20"/>
                <w:szCs w:val="20"/>
                <w:color w:val="auto"/>
              </w:rPr>
            </w:pPr>
          </w:p>
        </w:tc>
        <w:tc>
          <w:tcPr>
            <w:tcW w:w="4300" w:type="dxa"/>
            <w:vAlign w:val="bottom"/>
            <w:gridSpan w:val="3"/>
            <w:vMerge w:val="continue"/>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40" w:type="dxa"/>
            <w:vAlign w:val="bottom"/>
          </w:tcPr>
          <w:p>
            <w:pPr>
              <w:spacing w:after="0"/>
              <w:rPr>
                <w:sz w:val="24"/>
                <w:szCs w:val="24"/>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/s/ Winston Kung</w:t>
            </w:r>
          </w:p>
        </w:tc>
        <w:tc>
          <w:tcPr>
            <w:tcW w:w="440" w:type="dxa"/>
            <w:vAlign w:val="bottom"/>
          </w:tcPr>
          <w:p>
            <w:pPr>
              <w:spacing w:after="0"/>
              <w:rPr>
                <w:sz w:val="24"/>
                <w:szCs w:val="24"/>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Chief Operating Officer</w:t>
            </w:r>
          </w:p>
        </w:tc>
        <w:tc>
          <w:tcPr>
            <w:tcW w:w="202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September 21, 2020</w:t>
            </w:r>
          </w:p>
        </w:tc>
        <w:tc>
          <w:tcPr>
            <w:tcW w:w="0" w:type="dxa"/>
            <w:vAlign w:val="bottom"/>
          </w:tcPr>
          <w:p>
            <w:pPr>
              <w:spacing w:after="0"/>
              <w:rPr>
                <w:sz w:val="1"/>
                <w:szCs w:val="1"/>
                <w:color w:val="auto"/>
              </w:rPr>
            </w:pPr>
          </w:p>
        </w:tc>
      </w:tr>
      <w:tr>
        <w:trPr>
          <w:trHeight w:val="23"/>
        </w:trPr>
        <w:tc>
          <w:tcPr>
            <w:tcW w:w="44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gridSpan w:val="3"/>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4300" w:type="dxa"/>
            <w:vAlign w:val="bottom"/>
            <w:gridSpan w:val="3"/>
            <w:vMerge w:val="restart"/>
          </w:tcPr>
          <w:p>
            <w:pPr>
              <w:jc w:val="center"/>
              <w:ind w:right="300"/>
              <w:spacing w:after="0" w:line="202" w:lineRule="exact"/>
              <w:rPr>
                <w:sz w:val="20"/>
                <w:szCs w:val="20"/>
                <w:color w:val="auto"/>
              </w:rPr>
            </w:pPr>
            <w:r>
              <w:rPr>
                <w:rFonts w:ascii="Arial" w:cs="Arial" w:eastAsia="Arial" w:hAnsi="Arial"/>
                <w:sz w:val="18"/>
                <w:szCs w:val="18"/>
                <w:color w:val="auto"/>
                <w:w w:val="99"/>
              </w:rPr>
              <w:t>and Chief Financial Officer</w:t>
            </w: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3520" w:type="dxa"/>
            <w:vAlign w:val="bottom"/>
            <w:gridSpan w:val="3"/>
          </w:tcPr>
          <w:p>
            <w:pPr>
              <w:jc w:val="center"/>
              <w:ind w:right="440"/>
              <w:spacing w:after="0" w:line="160" w:lineRule="exact"/>
              <w:rPr>
                <w:sz w:val="20"/>
                <w:szCs w:val="20"/>
                <w:color w:val="auto"/>
              </w:rPr>
            </w:pPr>
            <w:r>
              <w:rPr>
                <w:rFonts w:ascii="Arial" w:cs="Arial" w:eastAsia="Arial" w:hAnsi="Arial"/>
                <w:sz w:val="18"/>
                <w:szCs w:val="18"/>
                <w:color w:val="auto"/>
                <w:w w:val="99"/>
              </w:rPr>
              <w:t>Winston Kung</w:t>
            </w:r>
          </w:p>
        </w:tc>
        <w:tc>
          <w:tcPr>
            <w:tcW w:w="440" w:type="dxa"/>
            <w:vAlign w:val="bottom"/>
            <w:vMerge w:val="continue"/>
          </w:tcPr>
          <w:p>
            <w:pPr>
              <w:spacing w:after="0"/>
              <w:rPr>
                <w:sz w:val="13"/>
                <w:szCs w:val="13"/>
                <w:color w:val="auto"/>
              </w:rPr>
            </w:pPr>
          </w:p>
        </w:tc>
        <w:tc>
          <w:tcPr>
            <w:tcW w:w="430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(Principal Financial and Accounting Officer)</w:t>
            </w: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3"/>
        </w:trPr>
        <w:tc>
          <w:tcPr>
            <w:tcW w:w="2320" w:type="dxa"/>
            <w:vAlign w:val="bottom"/>
            <w:tcBorders>
              <w:bottom w:val="single" w:sz="8" w:color="auto"/>
            </w:tcBorders>
            <w:gridSpan w:val="3"/>
          </w:tcPr>
          <w:p>
            <w:pPr>
              <w:jc w:val="center"/>
              <w:ind w:left="15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Director and Chairman of the Board of Directors</w:t>
            </w:r>
          </w:p>
        </w:tc>
        <w:tc>
          <w:tcPr>
            <w:tcW w:w="202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September 21, 2020</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Richard Heyman, Ph.D.</w:t>
            </w: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320" w:type="dxa"/>
            <w:vAlign w:val="bottom"/>
            <w:tcBorders>
              <w:bottom w:val="single" w:sz="8" w:color="auto"/>
            </w:tcBorders>
            <w:gridSpan w:val="3"/>
          </w:tcPr>
          <w:p>
            <w:pPr>
              <w:jc w:val="center"/>
              <w:ind w:left="15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September 21, 2020</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Arnold Levine, Ph.D.</w:t>
            </w: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320" w:type="dxa"/>
            <w:vAlign w:val="bottom"/>
            <w:tcBorders>
              <w:bottom w:val="single" w:sz="8" w:color="auto"/>
            </w:tcBorders>
            <w:gridSpan w:val="3"/>
          </w:tcPr>
          <w:p>
            <w:pPr>
              <w:jc w:val="center"/>
              <w:ind w:left="15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September 21, 2020</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Arnold Oronsky, Ph.D.</w:t>
            </w: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320" w:type="dxa"/>
            <w:vAlign w:val="bottom"/>
            <w:tcBorders>
              <w:bottom w:val="single" w:sz="8" w:color="auto"/>
            </w:tcBorders>
            <w:gridSpan w:val="3"/>
          </w:tcPr>
          <w:p>
            <w:pPr>
              <w:jc w:val="center"/>
              <w:ind w:left="15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September 21, 2020</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Thilo Schroeder, Ph.D.</w:t>
            </w: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320" w:type="dxa"/>
            <w:vAlign w:val="bottom"/>
            <w:tcBorders>
              <w:bottom w:val="single" w:sz="8" w:color="auto"/>
            </w:tcBorders>
            <w:gridSpan w:val="3"/>
          </w:tcPr>
          <w:p>
            <w:pPr>
              <w:jc w:val="center"/>
              <w:ind w:left="15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September 21, 2020</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rPr>
              <w:t>Laurie Stelzer</w:t>
            </w: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320" w:type="dxa"/>
            <w:vAlign w:val="bottom"/>
            <w:tcBorders>
              <w:bottom w:val="single" w:sz="8" w:color="auto"/>
            </w:tcBorders>
            <w:gridSpan w:val="3"/>
          </w:tcPr>
          <w:p>
            <w:pPr>
              <w:jc w:val="center"/>
              <w:ind w:left="155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tcPr>
          <w:p>
            <w:pPr>
              <w:jc w:val="center"/>
              <w:ind w:right="30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312"/>
              <w:spacing w:after="0"/>
              <w:rPr>
                <w:sz w:val="20"/>
                <w:szCs w:val="20"/>
                <w:color w:val="auto"/>
              </w:rPr>
            </w:pPr>
            <w:r>
              <w:rPr>
                <w:rFonts w:ascii="Arial" w:cs="Arial" w:eastAsia="Arial" w:hAnsi="Arial"/>
                <w:sz w:val="18"/>
                <w:szCs w:val="18"/>
                <w:color w:val="auto"/>
                <w:w w:val="99"/>
              </w:rPr>
              <w:t>September 21, 2020</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52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Peter Thompson, M.D.</w:t>
            </w: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960" w:type="dxa"/>
            <w:vAlign w:val="bottom"/>
            <w:gridSpan w:val="4"/>
          </w:tcPr>
          <w:p>
            <w:pPr>
              <w:spacing w:after="0"/>
              <w:rPr>
                <w:sz w:val="20"/>
                <w:szCs w:val="20"/>
                <w:color w:val="auto"/>
              </w:rPr>
            </w:pPr>
            <w:r>
              <w:rPr>
                <w:rFonts w:ascii="Arial" w:cs="Arial" w:eastAsia="Arial" w:hAnsi="Arial"/>
                <w:sz w:val="18"/>
                <w:szCs w:val="18"/>
                <w:color w:val="auto"/>
              </w:rPr>
              <w:t>*By: /s/ David H. Mack</w:t>
            </w: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5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David H. Mack, Attorney-in-fact</w:t>
            </w:r>
          </w:p>
        </w:tc>
        <w:tc>
          <w:tcPr>
            <w:tcW w:w="440" w:type="dxa"/>
            <w:vAlign w:val="bottom"/>
            <w:tcBorders>
              <w:top w:val="single" w:sz="8" w:color="auto"/>
            </w:tcBorders>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3"/>
          </w:tcPr>
          <w:p>
            <w:pPr>
              <w:ind w:left="980"/>
              <w:spacing w:after="0"/>
              <w:rPr>
                <w:sz w:val="20"/>
                <w:szCs w:val="20"/>
                <w:color w:val="auto"/>
              </w:rPr>
            </w:pPr>
            <w:r>
              <w:rPr>
                <w:rFonts w:ascii="Arial" w:cs="Arial" w:eastAsia="Arial" w:hAnsi="Arial"/>
                <w:sz w:val="18"/>
                <w:szCs w:val="18"/>
                <w:color w:val="auto"/>
              </w:rPr>
              <w:t>II-7</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5" w:right="59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(the “Representatives”) of the several Underwriters</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10282-2198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Cowen and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Evercore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East 52nd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PMV Pharmaceuticals, Inc., a Delaware corporation (the “Company”), proposes, subject to the terms and conditions stated in this agreement (this “Agreement”), to issue and sell to the Underwriters named in Schedule I hereto (the “Underwriters”) an aggregate of [●] shares of common stock, par value $0.00001 per share (the “Common Stock”), of the Company (the “Firm Shares”) and, at the election of the Underwriters, up to [●] additional shares (the “Optional Shares”) of Common Stock (the Firm Shares and the Optional Shares that the Underwriters elect to purchase pursuant to Section 2 hereof being collectively called the “Shares”).</w:t>
      </w:r>
    </w:p>
    <w:p>
      <w:pPr>
        <w:sectPr>
          <w:pgSz w:w="11900" w:h="16838" w:orient="portrait"/>
          <w:cols w:equalWidth="0" w:num="1">
            <w:col w:w="11020"/>
          </w:cols>
          <w:pgMar w:left="440" w:top="117" w:right="439" w:bottom="1440" w:gutter="0" w:footer="0" w:header="0"/>
        </w:sectPr>
      </w:pPr>
    </w:p>
    <w:bookmarkStart w:id="262" w:name="page263"/>
    <w:bookmarkEnd w:id="26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 The Company represents and warrants to, and agrees with, each of the Underwriters that:</w:t>
      </w:r>
    </w:p>
    <w:p>
      <w:pPr>
        <w:spacing w:after="0" w:line="225" w:lineRule="exact"/>
        <w:rPr>
          <w:sz w:val="20"/>
          <w:szCs w:val="20"/>
          <w:color w:val="auto"/>
        </w:rPr>
      </w:pPr>
    </w:p>
    <w:p>
      <w:pPr>
        <w:ind w:firstLine="436"/>
        <w:spacing w:after="0" w:line="252" w:lineRule="auto"/>
        <w:tabs>
          <w:tab w:leader="none" w:pos="68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S-1 (File No. 333-248627) (the “Initial Registration Statement”) in respect of the Shares has been filed 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Act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189"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representation and warranty shall not apply to any statements or omissions made in reliance upon and in conformity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Information (as defined in Section 9(b) of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263" w:name="page264"/>
    <w:bookmarkEnd w:id="263"/>
    <w:p>
      <w:pPr>
        <w:ind w:left="-20" w:firstLine="436"/>
        <w:spacing w:after="0" w:line="253" w:lineRule="auto"/>
        <w:tabs>
          <w:tab w:leader="none" w:pos="66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purposes of this Agreement, the “Applicable Time” is [ : 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(with respect to each Time of Delivery after the First Time of Delivery, as supplemented by any post-effective amendment thereto)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(with respect to each Time of Delivery after the First Time of Delivery, as supplemented by any post-effective amendment thereto)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any Underwriter Information.</w:t>
      </w:r>
    </w:p>
    <w:p>
      <w:pPr>
        <w:spacing w:after="0" w:line="189" w:lineRule="exact"/>
        <w:rPr>
          <w:rFonts w:ascii="Times New Roman" w:cs="Times New Roman" w:eastAsia="Times New Roman" w:hAnsi="Times New Roman"/>
          <w:sz w:val="18"/>
          <w:szCs w:val="18"/>
          <w:color w:val="auto"/>
        </w:rPr>
      </w:pPr>
    </w:p>
    <w:p>
      <w:pPr>
        <w:ind w:left="-20" w:right="60" w:firstLine="436"/>
        <w:spacing w:after="0" w:line="256" w:lineRule="auto"/>
        <w:tabs>
          <w:tab w:leader="none" w:pos="67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87" w:lineRule="exact"/>
        <w:rPr>
          <w:rFonts w:ascii="Times New Roman" w:cs="Times New Roman" w:eastAsia="Times New Roman" w:hAnsi="Times New Roman"/>
          <w:sz w:val="18"/>
          <w:szCs w:val="18"/>
          <w:color w:val="auto"/>
        </w:rPr>
      </w:pPr>
    </w:p>
    <w:p>
      <w:pPr>
        <w:ind w:left="-20" w:firstLine="436"/>
        <w:spacing w:after="0" w:line="253" w:lineRule="auto"/>
        <w:tabs>
          <w:tab w:leader="none" w:pos="66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since the date of the latest audited financial statements included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or incurred any liability or obligation, direct or contingent, that is material to the Company other than as set forth or contemplated in the Pricing Prospectus; and, since the respective dates as of which information is given in the Registration Statement and the Pricing Prospectus, there has not been (x) any change in the capital stock of the Company (other than as a result of (i) the exercise, if any, of stock options or the award, if any, of stock options, restricted stock or other awards in the ordinary course of business pursuant to the Company’s equity plans that are described in the Pricing Prospectus and the Prospectus or (ii) the issuance, if any, of shares of Common Stock upon conversion of Company securities as described in the Pricing Prospectus and the Prospectus) or long-term debt of the Company or (y) any Material Adverse Effect (as defined below); as used in this Agreement, “Material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264" w:name="page265"/>
    <w:bookmarkEnd w:id="264"/>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w:t>
      </w:r>
    </w:p>
    <w:p>
      <w:pPr>
        <w:spacing w:after="0" w:line="180" w:lineRule="exact"/>
        <w:rPr>
          <w:sz w:val="20"/>
          <w:szCs w:val="20"/>
          <w:color w:val="auto"/>
        </w:rPr>
      </w:pPr>
    </w:p>
    <w:p>
      <w:pPr>
        <w:ind w:right="40" w:firstLine="436"/>
        <w:spacing w:after="0" w:line="256" w:lineRule="auto"/>
        <w:tabs>
          <w:tab w:leader="none" w:pos="66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any real property and the Company has good and marketable title to all personal property owned by it (other than with respect to Intellectual Property (as defined below), which is addressed exclusively in subsection (aa) below), in each case free and clear of all liens, encumbrances and defects except such as are described in the Pricing Prospectus or such as do not materially affect the value of such property and do not interfere with the use made and proposed to be made of such property by the Company; and any real property and buildings held under lease by the Company are, to the Company’s knowledge, held by the Company under valid, subsisting and enforceable leases with such exceptions as are, not material and do not materially interfere with the use made and proposed to be made of such property and buildings by the Company.</w:t>
      </w:r>
    </w:p>
    <w:p>
      <w:pPr>
        <w:spacing w:after="0" w:line="187"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(i) duly organized and is validly existing and in good standing under the laws of its jurisdiction of organization, with power and authority (corporate and other) to own and/or lease its properties and conduct its business as described in the Pricing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have a Material Adverse Effect.</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subsidiaries.</w:t>
      </w:r>
    </w:p>
    <w:p>
      <w:pPr>
        <w:spacing w:after="0" w:line="225" w:lineRule="exact"/>
        <w:rPr>
          <w:rFonts w:ascii="Times New Roman" w:cs="Times New Roman" w:eastAsia="Times New Roman" w:hAnsi="Times New Roman"/>
          <w:sz w:val="18"/>
          <w:szCs w:val="18"/>
          <w:color w:val="auto"/>
        </w:rPr>
      </w:pPr>
    </w:p>
    <w:p>
      <w:pPr>
        <w:ind w:firstLine="436"/>
        <w:spacing w:after="0" w:line="266"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Pricing Prospectus and all of the issued shares of capital stock of the Company have been duly and validly authorized and issued and are fully paid and non-assessable and conform in all material respects to the description of the Common Stock contained in the Pricing Disclosure Package and Prospectus.</w:t>
      </w:r>
    </w:p>
    <w:p>
      <w:pPr>
        <w:spacing w:after="0" w:line="175" w:lineRule="exact"/>
        <w:rPr>
          <w:rFonts w:ascii="Times New Roman" w:cs="Times New Roman" w:eastAsia="Times New Roman" w:hAnsi="Times New Roman"/>
          <w:sz w:val="18"/>
          <w:szCs w:val="18"/>
          <w:color w:val="auto"/>
        </w:rPr>
      </w:pPr>
    </w:p>
    <w:p>
      <w:pPr>
        <w:ind w:right="40" w:firstLine="436"/>
        <w:spacing w:after="0" w:line="261"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Common Stock contained in the Pricing Disclosure Package and the Prospectus; and the issuance of the Shares is not subject to any preemptive or similar rights except as have been validly waived or complied with.</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and sale of the Shares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or other agreement or instrument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65" w:name="page266"/>
    <w:bookmarkEnd w:id="265"/>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which the Company is a party or by which the Company is bound or to which any of the property or assets of the Company is subject, (B) the certificate of incorporation or by-laws (or other applicable organizational document) of the Company, or (C) any statute or any judgment, order, rule or regulation of any court or governmental agency or body having jurisdiction over the Company or any of its properties except, in the case of clauses (A) or (C), for such defaults, breaches, or violations that would not, individually or in the aggregate,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by the Financial Industry Regulatory Authority (“FINRA”) of the underwriting terms and arrangements and such consents, approvals, authorizations, registrations or qualifications as may be required under state securities or Blue Sky laws in connection with the purchase and distribution of the Shares by the Underwriters.</w:t>
      </w:r>
    </w:p>
    <w:p>
      <w:pPr>
        <w:spacing w:after="0" w:line="188" w:lineRule="exact"/>
        <w:rPr>
          <w:sz w:val="20"/>
          <w:szCs w:val="20"/>
          <w:color w:val="auto"/>
        </w:rPr>
      </w:pPr>
    </w:p>
    <w:p>
      <w:pPr>
        <w:ind w:right="20" w:firstLine="436"/>
        <w:spacing w:after="0" w:line="256"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 in violation of its certificate of incorporation or by-laws (or other applicable organizational document), (ii) in violation of any statute or any judgment, order, rule or regulation of any court or governmental agency or body having jurisdiction over the Company or any of its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have a Material Adverse Effect.</w:t>
      </w:r>
    </w:p>
    <w:p>
      <w:pPr>
        <w:spacing w:after="0" w:line="187"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74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the Pricing Prospectus and Prospectus under the caption “Description of Capital Stock”, insofar as they purport to constitute a summary of the terms of the Common Stock, under the caption “Material U.S. Federal Income Tax Consequences for Non-U.S. Holders of Our Common Stock”, insofar as they purport to describe the provisions of the laws and documents referred to therein, are accurate, complete and fair in all material respects.</w:t>
      </w:r>
    </w:p>
    <w:p>
      <w:pPr>
        <w:spacing w:after="0" w:line="179" w:lineRule="exact"/>
        <w:rPr>
          <w:rFonts w:ascii="Times New Roman" w:cs="Times New Roman" w:eastAsia="Times New Roman" w:hAnsi="Times New Roman"/>
          <w:sz w:val="18"/>
          <w:szCs w:val="18"/>
          <w:color w:val="auto"/>
        </w:rPr>
      </w:pPr>
    </w:p>
    <w:p>
      <w:pPr>
        <w:ind w:right="200" w:firstLine="436"/>
        <w:spacing w:after="0" w:line="261" w:lineRule="auto"/>
        <w:tabs>
          <w:tab w:leader="none" w:pos="6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Pricing Prospectus, there are no legal or governmental proceedings pending to which the Company or, to the Company’s knowledge, any officer or director of the Company, is a party or of which any property of the Company is the subject which, if determined adversely to the Company (or such officer or director), would individually or in the aggregate have a Material Adverse Effect; and, to the Company’s knowledge, no such proceedings are threatened or contemplated by governmental authorities or others.</w:t>
      </w:r>
    </w:p>
    <w:p>
      <w:pPr>
        <w:spacing w:after="0" w:line="179"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the Pricing Prospectus, will not be an “investment company”, as such term is defined in the Investment Company Act of 1940, as amended (the “Investment Company Act”).</w:t>
      </w:r>
    </w:p>
    <w:p>
      <w:pPr>
        <w:spacing w:after="0" w:line="175"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266" w:name="page267"/>
    <w:bookmarkEnd w:id="266"/>
    <w:p>
      <w:pPr>
        <w:ind w:right="360" w:firstLine="436"/>
        <w:spacing w:after="0" w:line="282" w:lineRule="auto"/>
        <w:tabs>
          <w:tab w:leader="none" w:pos="69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Ernst &amp; Young LLP, who has certified certain financial statements of the Company, is an independent registered public accounting firm as required by the Act and the rules and regulations of the Commission thereunder.</w:t>
      </w:r>
    </w:p>
    <w:p>
      <w:pPr>
        <w:spacing w:after="0" w:line="161" w:lineRule="exact"/>
        <w:rPr>
          <w:rFonts w:ascii="Times New Roman" w:cs="Times New Roman" w:eastAsia="Times New Roman" w:hAnsi="Times New Roman"/>
          <w:sz w:val="18"/>
          <w:szCs w:val="18"/>
          <w:color w:val="auto"/>
        </w:rPr>
      </w:pPr>
    </w:p>
    <w:p>
      <w:pPr>
        <w:ind w:right="120" w:firstLine="436"/>
        <w:spacing w:after="0" w:line="253" w:lineRule="auto"/>
        <w:tabs>
          <w:tab w:leader="none" w:pos="66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control over financial reporting (as such term is defined in Rule 13a-15(f) under the Securities Exchange Act of 1934, as amended (the “Exchange Act”)) (i) that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 is designed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The Company is not aware of any material weaknesses in its internal control over financial reporting (it being understood that this subsection shall not require the Company to comply with Section 404 of the Sarbanes Oxley Act of 2002 as of an earlier date than it would otherwise be required to so comply under applicable law).</w:t>
      </w:r>
    </w:p>
    <w:p>
      <w:pPr>
        <w:spacing w:after="0" w:line="191" w:lineRule="exact"/>
        <w:rPr>
          <w:rFonts w:ascii="Times New Roman" w:cs="Times New Roman" w:eastAsia="Times New Roman" w:hAnsi="Times New Roman"/>
          <w:sz w:val="18"/>
          <w:szCs w:val="18"/>
          <w:color w:val="auto"/>
        </w:rPr>
      </w:pPr>
    </w:p>
    <w:p>
      <w:pPr>
        <w:ind w:right="80" w:firstLine="436"/>
        <w:spacing w:after="0" w:line="266" w:lineRule="auto"/>
        <w:tabs>
          <w:tab w:leader="none" w:pos="67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75" w:lineRule="exact"/>
        <w:rPr>
          <w:rFonts w:ascii="Times New Roman" w:cs="Times New Roman" w:eastAsia="Times New Roman" w:hAnsi="Times New Roman"/>
          <w:sz w:val="18"/>
          <w:szCs w:val="18"/>
          <w:color w:val="auto"/>
        </w:rPr>
      </w:pPr>
    </w:p>
    <w:p>
      <w:pPr>
        <w:ind w:right="60" w:firstLine="436"/>
        <w:spacing w:after="0" w:line="266"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such term is defined in Rule 13a-15(e) under the Exchange Act) that have been designed to ensure that material information relating to the Company is made known to the Company’s principal executive officer and principal financial officer by others within the Company; and such disclosure controls and procedures are effective in all material respects.</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execute and deliver, and to perform its obligations under, this Agreement. This Agreement has been duly authorized, executed and delivered by the Company.</w:t>
      </w:r>
    </w:p>
    <w:p>
      <w:pPr>
        <w:spacing w:after="0" w:line="161" w:lineRule="exact"/>
        <w:rPr>
          <w:rFonts w:ascii="Times New Roman" w:cs="Times New Roman" w:eastAsia="Times New Roman" w:hAnsi="Times New Roman"/>
          <w:sz w:val="18"/>
          <w:szCs w:val="18"/>
          <w:color w:val="auto"/>
        </w:rPr>
      </w:pPr>
    </w:p>
    <w:p>
      <w:pPr>
        <w:ind w:right="60" w:firstLine="436"/>
        <w:spacing w:after="0" w:line="258" w:lineRule="auto"/>
        <w:tabs>
          <w:tab w:leader="none" w:pos="69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director, officer, agent, employee, affiliate or other person associated with or acting on behalf of the Company has (i) made, offered, promised or authorized any unlawful contribution, gift, entertainment or other unlawful expense or taken any act in furtherance thereof); (ii) made, offered, promised or authorized any direct or indirect unlawful payment; or (iii) violated or is in violation of any applicable provision of the U.S. Foreign Corrupt Practices Act of 1977, as amended, the Bribery Act 2010 of the United Kingdom or any other applicable anti-bribery or anti-corruption law.</w:t>
      </w:r>
    </w:p>
    <w:p>
      <w:pPr>
        <w:spacing w:after="0" w:line="183" w:lineRule="exact"/>
        <w:rPr>
          <w:rFonts w:ascii="Times New Roman" w:cs="Times New Roman" w:eastAsia="Times New Roman" w:hAnsi="Times New Roman"/>
          <w:sz w:val="18"/>
          <w:szCs w:val="18"/>
          <w:color w:val="auto"/>
        </w:rPr>
      </w:pPr>
    </w:p>
    <w:p>
      <w:pPr>
        <w:ind w:right="520" w:firstLine="436"/>
        <w:spacing w:after="0" w:line="282" w:lineRule="auto"/>
        <w:tabs>
          <w:tab w:leader="none" w:pos="73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are and have been conducted at all times in compliance with the requirements of applicable anti-money laundering laws, including,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67" w:name="page268"/>
    <w:bookmarkEnd w:id="267"/>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but not limited to, the Bank Secrecy Act of 1970, as amended by the USA PATRIOT ACT of 2001, and the rules and regulations promulgated thereunder, and the anti-money laundering laws of the various jurisdictions in which the Company conducts business (collectively, the “Money Laundering Laws”) and no action, suit or proceeding by or before any court or governmental agency, authority or body or any arbitrator involving the Company with respect to the Money Laundering Laws is pending or, to the knowledge of the Company, threatened.</w:t>
      </w:r>
    </w:p>
    <w:p>
      <w:pPr>
        <w:spacing w:after="0" w:line="180" w:lineRule="exact"/>
        <w:rPr>
          <w:sz w:val="20"/>
          <w:szCs w:val="20"/>
          <w:color w:val="auto"/>
        </w:rPr>
      </w:pPr>
    </w:p>
    <w:p>
      <w:pPr>
        <w:ind w:right="60" w:firstLine="436"/>
        <w:spacing w:after="0" w:line="253" w:lineRule="auto"/>
        <w:tabs>
          <w:tab w:leader="none" w:pos="69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director, officer, agent, employee or affiliate of the Company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nor is the Company located, organized or resident in a country or territory that is the subject or target of Sanctions,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w:t>
      </w:r>
    </w:p>
    <w:p>
      <w:pPr>
        <w:spacing w:after="0" w:line="194"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in the Registration Statement, the Pricing Prospectus and the Prospectus, together with the related schedules and notes, present fairly in all material respects the financial position of the Company at the dates indicated therein and the statement of operations, stockholders’ equity and cash flows of the Company for the periods specified; except as otherwise stated in the Registration Statement, the Pricing Prospectus and the Prospectus, such financial statements have been prepared in conformity with U.S. generally accepted accounting principles (“GAAP”) applied on a consistent basis throughout the periods involved.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w:t>
      </w:r>
    </w:p>
    <w:p>
      <w:pPr>
        <w:spacing w:after="0" w:line="188" w:lineRule="exact"/>
        <w:rPr>
          <w:rFonts w:ascii="Times New Roman" w:cs="Times New Roman" w:eastAsia="Times New Roman" w:hAnsi="Times New Roman"/>
          <w:sz w:val="18"/>
          <w:szCs w:val="18"/>
          <w:color w:val="auto"/>
        </w:rPr>
      </w:pPr>
    </w:p>
    <w:p>
      <w:pPr>
        <w:ind w:right="40" w:firstLine="436"/>
        <w:spacing w:after="0" w:line="282" w:lineRule="auto"/>
        <w:tabs>
          <w:tab w:leader="none" w:pos="68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confidential submission of a registration statement relating to the Shares with the Commission through the date hereof, the Company has been and is an “emerging growth company” as defined in Section 2(a)(19) of the Act (an “Emerging Growth Company”).</w:t>
      </w:r>
    </w:p>
    <w:p>
      <w:pPr>
        <w:spacing w:after="0" w:line="162" w:lineRule="exact"/>
        <w:rPr>
          <w:sz w:val="20"/>
          <w:szCs w:val="20"/>
          <w:color w:val="auto"/>
        </w:rPr>
      </w:pPr>
    </w:p>
    <w:p>
      <w:pPr>
        <w:ind w:right="280" w:firstLine="436"/>
        <w:spacing w:after="0" w:line="282" w:lineRule="auto"/>
        <w:tabs>
          <w:tab w:leader="none" w:pos="76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Pricing Prospectus, the Company owns or has obtained valid and enforceable licenses for, the inventions, patent applications, patents, trademarks, trade names, service names, copyrights, trade secrets, domain names,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68" w:name="page269"/>
    <w:bookmarkEnd w:id="268"/>
    <w:p>
      <w:pPr>
        <w:ind w:left="4" w:right="8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technology, know-how and other intellectual property described in the Registration Statement and the Pricing Prospectus as being owned or licensed by it or which are necessary for the conduct of its business as currently conducted and as proposed to be conducted (collectively, “Intellectual Property”). To the Company’s knowledge: (i) there are no third parties who have rights to any Intellectual Property, except for customary reversionary rights of third-party licensors with respect to Intellectual Property that is disclosed in the Registration Statement and the Prospectus as licensed to the Company;</w:t>
      </w:r>
    </w:p>
    <w:p>
      <w:pPr>
        <w:spacing w:after="0" w:line="3" w:lineRule="exact"/>
        <w:rPr>
          <w:sz w:val="20"/>
          <w:szCs w:val="20"/>
          <w:color w:val="auto"/>
        </w:rPr>
      </w:pPr>
    </w:p>
    <w:p>
      <w:pPr>
        <w:ind w:left="4" w:hanging="4"/>
        <w:spacing w:after="0" w:line="251" w:lineRule="auto"/>
        <w:tabs>
          <w:tab w:leader="none" w:pos="26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infringing or misappropriating the intellectual property rights of third parties; and (iii) the Company is either the sole owner or the co-owner of the Intellectual Property owned by it and has the valid, enforceable right to use the Intellectual Property without the obligation to obtain consent to sublicense and without a duty of accounting to the co-owner, as applicable. There is no pending or, to the Company’s knowledge, threatened action, suit, proceeding or claim by others and the Company has not received notice of and is unaware of any facts which would form a reasonable basis for any such claim: (A) challenging the Company’s rights in or to any Intellectual Property; (B) challenging the validity, enforceability or scope of any Intellectual Property; or (C) asserting that the Company infringes, misappropriates or otherwise violates, or would, upon the manufacture or commercialization of any product or service described in the Registration Statement and the Prospectus as under development, infringe, misappropriate or violate, any patent, trademark, trade name, service name, copyright, trade secret or other proprietary rights of others. The Company has complied with the terms of each agreement pursuant to which Intellectual Property has been licensed to the Company, and all such agreements are in full force and effect. To the Company’s knowledge, no employee of the Company is or has been in violation of any term of any employment contract, patent disclosure agreement, invention assignment agreement, non-competition agreement, non-solicitation agreement, nondisclosure agreement or any restrictive covenant to or with a former employer where such violation has a Material Adverse Effect on the Company. The Company has taken reasonable steps necessary to secure assignments to the Company of the Intellectual Property purported to be owned by the Company from any employees, consultants, agents or contractors that developed (in whole or in part) such Intellectual Property. No government funding, facilities or resources of a university, college, other educational institution or research center was used in the development of any Intellectual Property that is owned or purported to be owned by the Company that would confer upon any governmental agency or body, university, college, other educational institution or research center any claim or right of ownership to any such Intellectual Property.</w:t>
      </w:r>
    </w:p>
    <w:p>
      <w:pPr>
        <w:spacing w:after="0" w:line="189" w:lineRule="exact"/>
        <w:rPr>
          <w:rFonts w:ascii="Times New Roman" w:cs="Times New Roman" w:eastAsia="Times New Roman" w:hAnsi="Times New Roman"/>
          <w:sz w:val="18"/>
          <w:szCs w:val="18"/>
          <w:color w:val="auto"/>
        </w:rPr>
      </w:pPr>
    </w:p>
    <w:p>
      <w:pPr>
        <w:ind w:left="4" w:right="80" w:firstLine="436"/>
        <w:spacing w:after="0" w:line="255" w:lineRule="auto"/>
        <w:tabs>
          <w:tab w:leader="none" w:pos="78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the Pricing Disclosure and the Prospectus, all patents and patent applications owned by or licensed to the Company or under which the Company has rights have, to the knowledge of the Company, been duly and properly filed and maintained and are valid and enforceable; the Company has, to the knowledge of the Company, complied with its duty of candor and disclosure to the U.S. Patent and Trademark Office (the “USPTO”) in connection with such patents and patent applications for which it has filing, prosecution, and/or maintenance responsibilities; to the knowledge of the Company, the parties having filing, prosecuting and/or maintenance responsibilities for such patents and patent applications have complied with their duty of candor and disclosure to the USPTO in connection with such patents and patent applications; and the Company is not aware of any prior art or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69" w:name="page270"/>
    <w:bookmarkEnd w:id="26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public or commercial activity or other facts required to be disclosed to the USPTO that were not disclosed to the USPTO and which would preclude the grant of a patent in connection with any such application or would reasonably be expected to form the basis of a finding of invalidity with respect to any patents that have been issued with respect to such applications.</w:t>
      </w:r>
    </w:p>
    <w:p>
      <w:pPr>
        <w:spacing w:after="0" w:line="176" w:lineRule="exact"/>
        <w:rPr>
          <w:sz w:val="20"/>
          <w:szCs w:val="20"/>
          <w:color w:val="auto"/>
        </w:rPr>
      </w:pPr>
    </w:p>
    <w:p>
      <w:pPr>
        <w:ind w:firstLine="436"/>
        <w:spacing w:after="0" w:line="251" w:lineRule="auto"/>
        <w:tabs>
          <w:tab w:leader="none" w:pos="76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and the Prospectus, the Company: (i) has operated and currently operates its business in compliance in all material respects with applicable provisions of the Health Care Laws (as defined below) of the Food and Drug Administration (“FDA”), the Department of Health and Human Services (“HHS”) and any comparable foreign or other regulatory authority to which they are subject (collectively, the “Applicable Regulatory Authorities”) applicable to the ownership, testing, development, manufacture, packaging, processing, use, distribution, storage, import, export or disposal of any of the Company’s product candidates or any product manufactured or distributed by the Company; (ii) has not received any FDA Form 483, written notice of adverse finding, warning letter, untitled letter or other correspondence or written notice from any court or arbitrator or the Applicable Regulatory Authorities alleging or asserting non-compliance with any Health Care Laws or the licenses, certificates, approvals, clearances, registrations, exemptions, authorizations, permits and supplements or amendments thereto required by any such Health Care Laws (“Regulatory Authorizations”); (iii) possesses all Regulatory Authorizations required to conduct its business as currently conducted and such Regulatory Authorizations are valid and in full force and effect and the Company is not in violation, in any material respect, of any term of any such Regulatory Authorizations; (iv) has not received notice of any claim, action, suit, proceeding, hearing, enforcement, investigation, arbitration or other action from any court or arbitrator or the Applicable Regulatory Authorities or any other third party alleging that any product operation or activity is in material violation of any Health Care Laws and has no knowledge that the Applicable Regulatory Authorities or any other third party is considering any such claim, litigation, arbitration, action, suit, investigation or proceeding; (v) has not received notice that any of the Applicable Regulatory Authorities has taken, is taking or intends to take action to materially adversely limit, suspend or revoke any material Regulatory Authorizations and has no knowledge that any of the Applicable Regulatory Authorities is considering such action; (vi) has filed, obtained, maintained or submitted all material reports, documents, forms, notices, applications, records, claims, submissions and supplements or amendments as required by any Health Care Laws or Regulatory Authorizations and that all such reports, documents, forms, notices, applications, records, claims, submissions and supplements or amendments were materially complete and correct on the date filed (or were materially corrected or supplemented by a subsequent submission); (vii) is not a party to or have any ongoing reporting obligations pursuant to any corporate integrity agreements, deferred prosecution agreements, monitoring agreements, consent decrees, settlement orders, plans of correction or similar agreements with or imposed by any Applicable Regulatory Authority; and (viii) along with its employees, officers and directors, has not been excluded, suspended or debarred from participation in any government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70" w:name="page271"/>
    <w:bookmarkEnd w:id="270"/>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term “Health Care Laws” means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criminal laws relating to health care fraud and abuse, including but not limited to 18 U.S.C. Sections 286 and 287 and the health care fraud criminal provisions under the Health Insurance Portability and Accountability Act of 1996, 42 U.S.C. §§ 1320d et seq., (“HIPAA”); the Civil Monetary Penalties Law, 42 U.S.C. §§ 1320a-7a and 1320a-7b; the Exclusion Laws, 42 U.S.C. § 1320a-7; HIPAA, as amended by the Health Information Technology for Economic and Clinical Health Act, 42 U.S.C. §§ 17921 et seq.; the Federal Food, Drug, and Cosmetic Act, 21 U.S.C. §§ 301 et seq.; in each case as amended; the regulations promulgated pursuant to such laws; and any similar federal, state and local laws and regulations.</w:t>
      </w:r>
    </w:p>
    <w:p>
      <w:pPr>
        <w:spacing w:after="0" w:line="192" w:lineRule="exact"/>
        <w:rPr>
          <w:sz w:val="20"/>
          <w:szCs w:val="20"/>
          <w:color w:val="auto"/>
        </w:rPr>
      </w:pPr>
    </w:p>
    <w:p>
      <w:pPr>
        <w:ind w:right="140" w:firstLine="436"/>
        <w:spacing w:after="0" w:line="282" w:lineRule="auto"/>
        <w:tabs>
          <w:tab w:leader="none" w:pos="78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manufacturing facilities and operations of its suppliers are operated in compliance in all material respects with all applicable statutes, rules, regulations and legal requirements of the Applicable Regulatory Authorities.</w:t>
      </w:r>
    </w:p>
    <w:p>
      <w:pPr>
        <w:spacing w:after="0" w:line="161" w:lineRule="exact"/>
        <w:rPr>
          <w:rFonts w:ascii="Times New Roman" w:cs="Times New Roman" w:eastAsia="Times New Roman" w:hAnsi="Times New Roman"/>
          <w:sz w:val="18"/>
          <w:szCs w:val="18"/>
          <w:color w:val="auto"/>
        </w:rPr>
      </w:pPr>
    </w:p>
    <w:p>
      <w:pPr>
        <w:ind w:firstLine="436"/>
        <w:spacing w:after="0" w:line="252" w:lineRule="auto"/>
        <w:tabs>
          <w:tab w:leader="none" w:pos="76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Company’s product candidates have received marketing approval from any Applicable Regulatory Authority. All clinical and pre-clinical studies and trials with respect to the Company’s product candidates (collectively, “Company Trials”), were, and if still pending are, to the Company’s knowledge, being conducted in all material respects in accordance with all applicable Health Care Laws of the Applicable Regulatory Authorities and current Good Clinical Practices and Good Laboratory Practices, study protocols, applicable rules and regulations the jurisdiction in which such trials and studies are being conducted; the descriptions in the Registration Statement, Disclosure Package and the Prospectus of the results of any Company Trials are accurate and complete descriptions in all material respects and fairly present the data derived therefrom; the Company has no knowledge of any other studies or trials not described in the Registration Statement and the Prospectus, the results of which are inconsistent with or call into question the results described or referred to in the Registration Statement and the Prospectus; the Company has not received any written notices, correspondence or other communications from the Applicable Regulatory Authorities or any other governmental entity requiring or threatening the termination, material adverse modification or suspension of Company Trials, other than ordinary course communications in connection with the design and implementation of such studies or trials, and, to the Company’s knowledge, there are no reasonable grounds for the same. No investigational new drug application or comparable submission filed by or on behalf of the Company with the FDA has been terminated or suspended by the FDA or any other Applicable Regulatory Authority. The Company has obtained (or caused to be obtained) informed consent by or on behalf of each human subject who participated in a Company Trial. To the Company’s knowledge, none of the Company Trials have involved any investigator who has been disqualified as a clinical investigator or has been found by the FDA to have engaged in scientific misconduct.</w:t>
      </w:r>
    </w:p>
    <w:p>
      <w:pPr>
        <w:spacing w:after="0" w:line="195" w:lineRule="exact"/>
        <w:rPr>
          <w:rFonts w:ascii="Times New Roman" w:cs="Times New Roman" w:eastAsia="Times New Roman" w:hAnsi="Times New Roman"/>
          <w:sz w:val="18"/>
          <w:szCs w:val="18"/>
          <w:color w:val="auto"/>
        </w:rPr>
      </w:pPr>
    </w:p>
    <w:p>
      <w:pPr>
        <w:ind w:right="200" w:firstLine="436"/>
        <w:spacing w:after="0" w:line="282" w:lineRule="auto"/>
        <w:tabs>
          <w:tab w:leader="none" w:pos="72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possesses such material permits, licenses, clearances, approvals, consents, exemptions, registrations, and other authorizations (collectively,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71" w:name="page272"/>
    <w:bookmarkEnd w:id="271"/>
    <w:p>
      <w:pPr>
        <w:ind w:left="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“Governmental Licenses”) issued by the appropriate governmental entities necessary to conduct the business now operated by them. The Company is in material compliance with the terms and conditions of all governmental licenses, and all Governmental Licenses are valid and in full force and effect. The Company has not received any notice of proceedings relating to the revocation or material modification of any Governmental Licenses.</w:t>
      </w:r>
    </w:p>
    <w:p>
      <w:pPr>
        <w:spacing w:after="0" w:line="176" w:lineRule="exact"/>
        <w:rPr>
          <w:sz w:val="20"/>
          <w:szCs w:val="20"/>
          <w:color w:val="auto"/>
        </w:rPr>
      </w:pPr>
    </w:p>
    <w:p>
      <w:pPr>
        <w:ind w:left="4" w:right="40" w:firstLine="436"/>
        <w:spacing w:after="0" w:line="267" w:lineRule="auto"/>
        <w:tabs>
          <w:tab w:leader="none" w:pos="789"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and at all prior times was, in material compliance with all applicable data privacy and security laws and regulations, including without limitation, as applicable, HIPAA, as amended, and the Company has taken any required and necessary actions to comply in all material respects with the European Union General Data Protection Regulation (“GDPR”) (EU 2016/679) (and all other applicable laws and regulations with respect to Personal Data that have been announced as of the date hereof as becoming effective within 12 months after the date hereof, and for which any non-compliance with the same would be reasonably likely to create a material liability) as soon as they take effect (collectively, the “Privacy Laws”). To ensure material compliance with the Privacy Laws, the Company has in place and is in material compliance with commercially reasonable policies and procedures relating to data privacy and security and the collection, storage, use, disclosure, handling, and analysis of Personal Data (the “Policies”) as applicable. “Personal Data”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w:t>
      </w:r>
    </w:p>
    <w:p>
      <w:pPr>
        <w:spacing w:after="0" w:line="3" w:lineRule="exact"/>
        <w:rPr>
          <w:rFonts w:ascii="Times New Roman" w:cs="Times New Roman" w:eastAsia="Times New Roman" w:hAnsi="Times New Roman"/>
          <w:sz w:val="17"/>
          <w:szCs w:val="17"/>
          <w:color w:val="auto"/>
        </w:rPr>
      </w:pPr>
    </w:p>
    <w:p>
      <w:pPr>
        <w:ind w:left="4" w:hanging="4"/>
        <w:spacing w:after="0" w:line="251" w:lineRule="auto"/>
        <w:tabs>
          <w:tab w:leader="none" w:pos="31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Protected Health Information as defined by HIPAA; (iv) “personal data” as defined by GDPR; and (v) any other piece of information that allows the identification of such natural person or permits the collection or analysis of any data related to an identified person’s health or sexual orientation. The Company has since inception made all disclosures to users or customers required by applicable laws and regulatory rules or requirements, and has provided accurate notice of its Policies then in effect to its customers, employees, third party vendors and representatives as required by applicable laws and regulatory rules or requirements, except where the failure to do so would not, individually or in the aggregate, have a Material Adverse Effect. None of such disclosures made or contained in any of the Policies have been inaccurate, misleading, deceptive or in violation of any Privacy Laws or Policies in any material respect. The execution, delivery and performance of this Agreement or any other agreement referred to in this Agreement will not result in a breach of violation of any Privacy Laws or Policies. The Company further certifies that it: (i) has not received notice of any actual or potential liability under or relating to, or actual or potential violation of, any of the Privacy Laws, and has no knowledge of any event or condition that would reasonably be expected to result in any such notice; (ii) is not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92" w:lineRule="exact"/>
        <w:rPr>
          <w:rFonts w:ascii="Times New Roman" w:cs="Times New Roman" w:eastAsia="Times New Roman" w:hAnsi="Times New Roman"/>
          <w:sz w:val="18"/>
          <w:szCs w:val="18"/>
          <w:color w:val="auto"/>
        </w:rPr>
      </w:pPr>
    </w:p>
    <w:p>
      <w:pPr>
        <w:ind w:left="4" w:firstLine="436"/>
        <w:spacing w:after="0" w:line="282" w:lineRule="auto"/>
        <w:tabs>
          <w:tab w:leader="none" w:pos="78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the Company’s information technology assets and equipment, computers, systems, networks, hardware, software, websites, applications, and databases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272" w:name="page273"/>
    <w:bookmarkEnd w:id="27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(collectively, “IT Systems”) are adequate for, and operate and perform in all material respects as required in connection with the operation of the business of the Company as currently conducted, and to the Company’s knowledge, free and clear of all material bugs, errors, defects, Trojan horses, time bombs, malware and other corruptants. The Company has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and there have been no breaches, violations, outages or known unauthorized uses of or known accesses to same, except for those that have been remedied without material cost or liability or the duty to notify any other person, nor any incidents under internal review or investigations relating to the same and except as would not reasonably be expected to have a Material Adverse Effect.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where the failure to be in compliance would not reasonably be expected to have a Material Adverse Effect.</w:t>
      </w:r>
    </w:p>
    <w:p>
      <w:pPr>
        <w:spacing w:after="0" w:line="190" w:lineRule="exact"/>
        <w:rPr>
          <w:sz w:val="20"/>
          <w:szCs w:val="20"/>
          <w:color w:val="auto"/>
        </w:rPr>
      </w:pPr>
    </w:p>
    <w:p>
      <w:pPr>
        <w:ind w:firstLine="436"/>
        <w:spacing w:after="0" w:line="252" w:lineRule="auto"/>
        <w:tabs>
          <w:tab w:leader="none" w:pos="70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(x) is in compliance with all, and has not violated any, applicable federal, state, local and foreign laws,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has received and is in compliance with all, and have not violated any, permits, licenses, certificates or other authorizations or approvals required of it under any Environmental Laws to conduct its businesses, except where such non-compliance with Environmental Laws, failure to receive required permits, licenses or other approvals or failure to comply with such permits, licenses, certificates or approvals would not individually or in the aggregate, reasonably be expected to have a Material Adverse Effect; and (z) has not received written notice of any actual or potential liability by the Company or obligation of the Company under or relating to, or any actual or potential violation of, any Environmental Laws by the Company, including for the investigation or remediation of any disposal or release of hazardous or toxic substances or wastes, pollutants or contaminants, and have no knowledge of any event or condition that would reasonably be expected to result in any such notice, and (ii) there are no costs or liabilities associated with Environmental Laws of or relating to the Company; and (iii) (x) there is no proceeding that is pending, or that is known by the Company to be contemplated, against the Company under any Environmental Laws in which a governmental entity is also a party, other than such proceeding regarding which the Company reasonably believes no monetary sanctions of $100,000 or more will be imposed, (y) the Company is not aware of any facts or issues regarding compliance with Environmental Laws, or liabilities or other obligations under Environmental Laws or concerning hazardous or toxic substances or wastes, pollutants or contaminants, and (z) the Company does not anticipate material capital expenditures relating to any Environmental Laws.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73" w:name="page274"/>
    <w:bookmarkEnd w:id="273"/>
    <w:p>
      <w:pPr>
        <w:ind w:left="4" w:right="120" w:firstLine="436"/>
        <w:spacing w:after="0" w:line="266" w:lineRule="auto"/>
        <w:tabs>
          <w:tab w:leader="none" w:pos="70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are no off-balance sheet arrangements (as defined in Regulation S-K Item 303(a)(4)(ii) of the Act) that have or are reasonably likely to have a Material Adverse Effect on the Company’s financial condition, changes in financial condition, results of operations, liquidity, capital expenditures or capital resources.</w:t>
      </w:r>
    </w:p>
    <w:p>
      <w:pPr>
        <w:spacing w:after="0" w:line="175" w:lineRule="exact"/>
        <w:rPr>
          <w:rFonts w:ascii="Times New Roman" w:cs="Times New Roman" w:eastAsia="Times New Roman" w:hAnsi="Times New Roman"/>
          <w:sz w:val="18"/>
          <w:szCs w:val="18"/>
          <w:color w:val="auto"/>
        </w:rPr>
      </w:pPr>
    </w:p>
    <w:p>
      <w:pPr>
        <w:ind w:left="4" w:firstLine="436"/>
        <w:spacing w:after="0" w:line="312" w:lineRule="auto"/>
        <w:tabs>
          <w:tab w:leader="none" w:pos="789"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(and prior to each Time of Delivery, will be) no debt securities, convertible securities or preferred stock issued or guaranteed by the Company that are rated by a “nationally recognized statistical rating organization”, as such term is defined in Section 3(a)(62) under the Exchange Act.</w:t>
      </w:r>
    </w:p>
    <w:p>
      <w:pPr>
        <w:spacing w:after="0" w:line="139" w:lineRule="exact"/>
        <w:rPr>
          <w:rFonts w:ascii="Times New Roman" w:cs="Times New Roman" w:eastAsia="Times New Roman" w:hAnsi="Times New Roman"/>
          <w:sz w:val="17"/>
          <w:szCs w:val="17"/>
          <w:color w:val="auto"/>
        </w:rPr>
      </w:pPr>
    </w:p>
    <w:p>
      <w:pPr>
        <w:ind w:left="4" w:right="140" w:firstLine="436"/>
        <w:spacing w:after="0" w:line="282" w:lineRule="auto"/>
        <w:tabs>
          <w:tab w:leader="none" w:pos="70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persons with registration rights or other similar rights to have any securities registered pursuant to the Registration Statement or otherwise registered by the Company under the Act except as have been validly waived or complied with.</w:t>
      </w:r>
    </w:p>
    <w:p>
      <w:pPr>
        <w:spacing w:after="0" w:line="161" w:lineRule="exact"/>
        <w:rPr>
          <w:rFonts w:ascii="Times New Roman" w:cs="Times New Roman" w:eastAsia="Times New Roman" w:hAnsi="Times New Roman"/>
          <w:sz w:val="18"/>
          <w:szCs w:val="18"/>
          <w:color w:val="auto"/>
        </w:rPr>
      </w:pPr>
    </w:p>
    <w:p>
      <w:pPr>
        <w:jc w:val="both"/>
        <w:ind w:left="4" w:right="260" w:firstLine="436"/>
        <w:spacing w:after="0" w:line="266" w:lineRule="auto"/>
        <w:tabs>
          <w:tab w:leader="none" w:pos="88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tax returns required to be filed by it through the date hereof, or has duly requested extensions thereof, and all such tax returns are true and correct. The Company has timely paid all taxes required to be paid by it. No deficiencies for taxes of the Company have been assessed or proposed, or reasonably could be expected to be assessed or proposed, by a tax authority.</w:t>
      </w:r>
    </w:p>
    <w:p>
      <w:pPr>
        <w:spacing w:after="0" w:line="175" w:lineRule="exact"/>
        <w:rPr>
          <w:rFonts w:ascii="Times New Roman" w:cs="Times New Roman" w:eastAsia="Times New Roman" w:hAnsi="Times New Roman"/>
          <w:sz w:val="18"/>
          <w:szCs w:val="18"/>
          <w:color w:val="auto"/>
        </w:rPr>
      </w:pPr>
    </w:p>
    <w:p>
      <w:pPr>
        <w:jc w:val="both"/>
        <w:ind w:left="4" w:right="280" w:firstLine="436"/>
        <w:spacing w:after="0" w:line="289" w:lineRule="auto"/>
        <w:tabs>
          <w:tab w:leader="none" w:pos="789"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labor disturbance by or dispute with the employees of the Company exists or, to the knowledge of the Company, is contemplated or threatened, and the Company is not aware of any existing or imminent labor disturbance by, or dispute with, the employees of any of its principal suppliers, manufacturers, customers or contractors, which, in either case, would, individually or in the aggregate, result in a Material Adverse Effect.</w:t>
      </w:r>
    </w:p>
    <w:p>
      <w:pPr>
        <w:spacing w:after="0" w:line="157" w:lineRule="exact"/>
        <w:rPr>
          <w:rFonts w:ascii="Times New Roman" w:cs="Times New Roman" w:eastAsia="Times New Roman" w:hAnsi="Times New Roman"/>
          <w:sz w:val="17"/>
          <w:szCs w:val="17"/>
          <w:color w:val="auto"/>
        </w:rPr>
      </w:pPr>
    </w:p>
    <w:p>
      <w:pPr>
        <w:ind w:left="4" w:firstLine="436"/>
        <w:spacing w:after="0" w:line="267" w:lineRule="auto"/>
        <w:tabs>
          <w:tab w:leader="none" w:pos="789"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Except as would not, individually or in the aggregate, reasonably be expected to result in a Material Adverse Effect, (i)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 (c),(m) or (o) of the Internal Revenue Code of 1986, as amended (the “Code”)) would have any liability (each, a “Plan”) has been maintained in compliance with its terms and the requirements of any applicable statutes, orders, rules and regulations, including but not limited to ERISA and the Code and no prohibited transaction, within the meaning of Section 406 of ERISA or Section 4975 of the Code, has occurred with respect to any Plan, excluding transactions effected pursuant to a statutory or administrative exemption; (ii) none of the Plans are subject to the funding rules of Section 412 of the Code or Section 302 of ERISA; (iii) none of the Plans are “multiemployer plans” within the meaning of Section 4001(a)(3) of ERISA, and</w:t>
      </w:r>
    </w:p>
    <w:p>
      <w:pPr>
        <w:spacing w:after="0" w:line="5" w:lineRule="exact"/>
        <w:rPr>
          <w:rFonts w:ascii="Times New Roman" w:cs="Times New Roman" w:eastAsia="Times New Roman" w:hAnsi="Times New Roman"/>
          <w:sz w:val="17"/>
          <w:szCs w:val="17"/>
          <w:color w:val="auto"/>
        </w:rPr>
      </w:pPr>
    </w:p>
    <w:p>
      <w:pPr>
        <w:ind w:left="4" w:right="80" w:hanging="4"/>
        <w:spacing w:after="0" w:line="260" w:lineRule="auto"/>
        <w:tabs>
          <w:tab w:leader="none" w:pos="30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that is intended to be qualified under Section 401(a) of the Code is so qualified, and nothing has occurred, whether by action or failure to act, which would cause the loss of such qualification.</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274" w:name="page275"/>
    <w:bookmarkEnd w:id="274"/>
    <w:p>
      <w:pPr>
        <w:ind w:right="240" w:firstLine="436"/>
        <w:spacing w:after="0" w:line="282" w:lineRule="auto"/>
        <w:tabs>
          <w:tab w:leader="none" w:pos="78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are no business relationships or related-party transactions involving the Company or any other person required to be disclosed in the Pricing Prospectus or the Prospectus that have not been described as required.</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78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insurance against such losses and risks and in such amounts as are prudent and customary for the size of the business and the industry in which it is engaged and the Company has not received notice from any insurer or agent of such insurer that capital improvements or other expenditures are required or necessary to be made in order to continue such insurance nor does the Company have any reason to believe that it will not be able to renew its existing insurance coverage as and when such coverage expires or to obtain similar coverage at reasonable cost from similar insurers as may be necessary to continue its business.</w:t>
      </w:r>
    </w:p>
    <w:p>
      <w:pPr>
        <w:spacing w:after="0" w:line="183" w:lineRule="exact"/>
        <w:rPr>
          <w:rFonts w:ascii="Times New Roman" w:cs="Times New Roman" w:eastAsia="Times New Roman" w:hAnsi="Times New Roman"/>
          <w:sz w:val="18"/>
          <w:szCs w:val="18"/>
          <w:color w:val="auto"/>
        </w:rPr>
      </w:pPr>
    </w:p>
    <w:p>
      <w:pPr>
        <w:ind w:right="80" w:firstLine="436"/>
        <w:spacing w:after="0" w:line="266" w:lineRule="auto"/>
        <w:tabs>
          <w:tab w:leader="none" w:pos="72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party to any contract, agreement or understanding with any person (other than this Agreement) that would give rise to a valid claim against any of them or any Underwriter for a brokerage commission, finder’s fee or like payment in connection with the offering and sale of the Shares.</w:t>
      </w:r>
    </w:p>
    <w:p>
      <w:pPr>
        <w:spacing w:after="0" w:line="175" w:lineRule="exact"/>
        <w:rPr>
          <w:rFonts w:ascii="Times New Roman" w:cs="Times New Roman" w:eastAsia="Times New Roman" w:hAnsi="Times New Roman"/>
          <w:sz w:val="18"/>
          <w:szCs w:val="18"/>
          <w:color w:val="auto"/>
        </w:rPr>
      </w:pPr>
    </w:p>
    <w:p>
      <w:pPr>
        <w:ind w:right="300" w:firstLine="436"/>
        <w:spacing w:after="0" w:line="282" w:lineRule="auto"/>
        <w:tabs>
          <w:tab w:leader="none" w:pos="74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and, to its knowledge, no one acting on its behalf (other than any Underwriter) has taken, directly or indirectly, any action designed to or that could reasonably be expected to cause or result in any stabilization or manipulation of the price of the Shares.</w:t>
      </w:r>
    </w:p>
    <w:p>
      <w:pPr>
        <w:spacing w:after="0" w:line="161" w:lineRule="exact"/>
        <w:rPr>
          <w:rFonts w:ascii="Times New Roman" w:cs="Times New Roman" w:eastAsia="Times New Roman" w:hAnsi="Times New Roman"/>
          <w:sz w:val="18"/>
          <w:szCs w:val="18"/>
          <w:color w:val="auto"/>
        </w:rPr>
      </w:pPr>
    </w:p>
    <w:p>
      <w:pPr>
        <w:ind w:right="480" w:firstLine="436"/>
        <w:spacing w:after="0" w:line="282" w:lineRule="auto"/>
        <w:tabs>
          <w:tab w:leader="none" w:pos="70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and market-related data included in the Pricing Prospectus or the Prospectus are based on or derived from sources that the Company believes to be reliable and accurate.</w:t>
      </w:r>
    </w:p>
    <w:p>
      <w:pPr>
        <w:spacing w:after="0" w:line="162" w:lineRule="exact"/>
        <w:rPr>
          <w:sz w:val="20"/>
          <w:szCs w:val="20"/>
          <w:color w:val="auto"/>
        </w:rPr>
      </w:pPr>
    </w:p>
    <w:p>
      <w:pPr>
        <w:ind w:right="20" w:firstLine="436"/>
        <w:spacing w:after="0" w:line="253" w:lineRule="auto"/>
        <w:tabs>
          <w:tab w:leader="none" w:pos="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herein set forth, (a) the Company agrees to issue and sell to each of the Underwriters, and each of the Underwriters agrees, severally and not jointly, to purchase from the Company, at a purchase price per share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9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hereby grants to the Underwriters the right to purchase at their election up to [●] Optional Shares, at the purchase price per share set forth in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75" w:name="page276"/>
    <w:bookmarkEnd w:id="275"/>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paragraph above, for the sole purpose of covering sales of shares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173" w:lineRule="exact"/>
        <w:rPr>
          <w:sz w:val="20"/>
          <w:szCs w:val="20"/>
          <w:color w:val="auto"/>
        </w:rPr>
      </w:pPr>
    </w:p>
    <w:p>
      <w:pPr>
        <w:ind w:right="320" w:firstLine="436"/>
        <w:spacing w:after="0" w:line="282" w:lineRule="auto"/>
        <w:tabs>
          <w:tab w:leader="none" w:pos="6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authorization by you of the release of the Firm Shares, the several Underwriters propose to offer the Firm Shares for sale upon the terms and conditions set forth in the Pricing Prospectus and the Prospectus.</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Shares to be purchased by each Underwriter hereunder, in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time and date of such delivery and payment shall be, with respect to the Firm Shares, [9:30 a.m.], New York City time, on [●], 2020 or such other time and date as the Representatives and the Company may agree upon in writing, and, with respect to the Optional Shares, [9:30 a.m.], New York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92" w:lineRule="exact"/>
        <w:rPr>
          <w:sz w:val="20"/>
          <w:szCs w:val="20"/>
          <w:color w:val="auto"/>
        </w:rPr>
      </w:pPr>
    </w:p>
    <w:p>
      <w:pPr>
        <w:ind w:firstLine="436"/>
        <w:spacing w:after="0" w:line="272" w:lineRule="auto"/>
        <w:tabs>
          <w:tab w:leader="none" w:pos="695"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documents to be delivered at each Time of Delivery by or on behalf of the parties hereto pursuant to Section 8 hereof, including the cross receipt for the Shares and any additional documents requested by the Underwriters pursuant to Section 8(n) hereof, will be delivered at the offices of Latham &amp; Watkins LLP, 140 Scott Drive, Menlo Park, CA 94025 (the “Closing Location”), and the Shares will be delivered at the Designated Office, all</w:t>
      </w:r>
    </w:p>
    <w:p>
      <w:pPr>
        <w:spacing w:after="0" w:line="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at such Time of Delivery. A meeting will be held at the Closing Location at [ : ]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76" w:name="page277"/>
    <w:bookmarkEnd w:id="276"/>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 The Company agrees with each of the Underwriters:</w:t>
      </w:r>
    </w:p>
    <w:p>
      <w:pPr>
        <w:spacing w:after="0" w:line="225" w:lineRule="exact"/>
        <w:rPr>
          <w:sz w:val="20"/>
          <w:szCs w:val="20"/>
          <w:color w:val="auto"/>
        </w:rPr>
      </w:pPr>
    </w:p>
    <w:p>
      <w:pPr>
        <w:ind w:left="-40" w:right="20" w:firstLine="436"/>
        <w:spacing w:after="0" w:line="253" w:lineRule="auto"/>
        <w:tabs>
          <w:tab w:leader="none" w:pos="64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the Registration Statement, any Preliminary Prospectus or other prospectus in respect of the Shares, of the suspension of the qualification of the Shares for offering or sale in any jurisdiction, of the initiation or threatening of any proceeding for any such purpose, including pursuant to Section 8A under the Act, or of any request by the Commission for the amending or supplementing of the Registration Statement or the Prospectus or for additional information; and, in the event of the issuance of any stop order or of any order preventing or suspending the use of the Registration Statement, any Preliminary Prospectus or other prospectus or suspending any such qualification, to promptly use its best efforts to obtain the withdrawal of such order;</w:t>
      </w:r>
    </w:p>
    <w:p>
      <w:pPr>
        <w:spacing w:after="0" w:line="187" w:lineRule="exact"/>
        <w:rPr>
          <w:rFonts w:ascii="Times New Roman" w:cs="Times New Roman" w:eastAsia="Times New Roman" w:hAnsi="Times New Roman"/>
          <w:sz w:val="18"/>
          <w:szCs w:val="18"/>
          <w:color w:val="auto"/>
        </w:rPr>
      </w:pPr>
    </w:p>
    <w:p>
      <w:pPr>
        <w:ind w:left="-40" w:right="80" w:firstLine="436"/>
        <w:spacing w:after="0" w:line="258"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w:t>
      </w:r>
    </w:p>
    <w:p>
      <w:pPr>
        <w:spacing w:after="0" w:line="183" w:lineRule="exact"/>
        <w:rPr>
          <w:rFonts w:ascii="Times New Roman" w:cs="Times New Roman" w:eastAsia="Times New Roman" w:hAnsi="Times New Roman"/>
          <w:sz w:val="18"/>
          <w:szCs w:val="18"/>
          <w:color w:val="auto"/>
        </w:rPr>
      </w:pPr>
    </w:p>
    <w:p>
      <w:pPr>
        <w:ind w:left="-40" w:firstLine="436"/>
        <w:spacing w:after="0" w:line="253" w:lineRule="auto"/>
        <w:tabs>
          <w:tab w:leader="none" w:pos="64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10:00 a.m., New York City time, on the New York Business Day next succeeding the date of this Agreement (or such other time as may be agreed to by the Representatives and the Company)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80" w:top="270" w:right="479" w:bottom="1440" w:gutter="0" w:footer="0" w:header="0"/>
        </w:sectPr>
      </w:pPr>
    </w:p>
    <w:bookmarkStart w:id="277" w:name="page278"/>
    <w:bookmarkEnd w:id="277"/>
    <w:p>
      <w:pPr>
        <w:jc w:val="both"/>
        <w:ind w:left="4"/>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64" w:lineRule="exact"/>
        <w:rPr>
          <w:sz w:val="20"/>
          <w:szCs w:val="20"/>
          <w:color w:val="auto"/>
        </w:rPr>
      </w:pPr>
    </w:p>
    <w:p>
      <w:pPr>
        <w:jc w:val="both"/>
        <w:ind w:left="4" w:right="20" w:firstLine="436"/>
        <w:spacing w:after="0" w:line="261" w:lineRule="auto"/>
        <w:tabs>
          <w:tab w:leader="none" w:pos="69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(which need not be audited) complying with Section 11(a) of the Act and the rules and regulations of the Commission thereunder (including, at the option of the Company, Rule 158);</w:t>
      </w:r>
    </w:p>
    <w:p>
      <w:pPr>
        <w:spacing w:after="0" w:line="180" w:lineRule="exact"/>
        <w:rPr>
          <w:sz w:val="20"/>
          <w:szCs w:val="20"/>
          <w:color w:val="auto"/>
        </w:rPr>
      </w:pPr>
    </w:p>
    <w:p>
      <w:pPr>
        <w:ind w:left="4" w:right="60" w:firstLine="440"/>
        <w:spacing w:after="0" w:line="267" w:lineRule="auto"/>
        <w:rPr>
          <w:sz w:val="20"/>
          <w:szCs w:val="20"/>
          <w:color w:val="auto"/>
        </w:rPr>
      </w:pPr>
      <w:r>
        <w:rPr>
          <w:rFonts w:ascii="Times New Roman" w:cs="Times New Roman" w:eastAsia="Times New Roman" w:hAnsi="Times New Roman"/>
          <w:sz w:val="17"/>
          <w:szCs w:val="17"/>
          <w:color w:val="auto"/>
        </w:rPr>
        <w:t>(e)(1) During the period beginning from the date hereof and continuing to and including the date 180 days after the date of the Prospectus (the “Lock-Up Period”), not to (i) offer, sell, contract to sell, lend,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Common Stock or any securities that are convertible into or exchangeable for, or that represent the right to receive, Common Stock or any such substantially similar securities, or publicly disclose the intention to make any offer, sale, pledge, loan, disposition, confidential submission or filing or (ii) enter into any swap or other agreement that transfers, in whole or in part, any of the economic consequences of ownership of the Common Stock or any such other securities, whether any such transaction described in clauses (i) or (ii) above is to be settled by delivery of Common Stock or such other securities, in cash or otherwise (other than the Shares to be sold hereunder or pursuant to employee stock option plans existing on, or upon the conversion or exchange of convertible or exchangeable securities outstanding as of, the date of this Agreement), without the prior written consent of the Representatives; provided, however, that the foregoing restrictions shall not apply to (1) the Shares to be sold hereunder, (2) any shares of Common Stock issued upon the conversion of convertible preferred stock outstanding on the date of this Agreement in connection with the offering contemplated by this Agreement,</w:t>
      </w:r>
    </w:p>
    <w:p>
      <w:pPr>
        <w:spacing w:after="0" w:line="1" w:lineRule="exact"/>
        <w:rPr>
          <w:sz w:val="20"/>
          <w:szCs w:val="20"/>
          <w:color w:val="auto"/>
        </w:rPr>
      </w:pPr>
    </w:p>
    <w:p>
      <w:pPr>
        <w:ind w:left="4" w:right="20" w:hanging="4"/>
        <w:spacing w:after="0" w:line="251" w:lineRule="auto"/>
        <w:tabs>
          <w:tab w:leader="none" w:pos="25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or any securities or other awards (including without limitation options, restricted stock or restricted stock units) convertible into, exercisable for, or that represent the right to receive, shares of Common Stock pursuant to any stock option plan, incentive plan or stock purchase plan of the Company (collectively, “Company Stock Plans”) or otherwise in equity compensation arrangements described in the Registration Statement and the Prospectus, provided that any directors or officers who are the recipients thereof have provided to the Representatives a signed lock-up letter substantially in the form of Annex I hereto, (4) any shares of Common Stock issued upon the conversion, exercise or exchange of convertible, exercisable or exchangeable securities outstanding on the date of this Agreement, in each case if such convertible, exercisable or exchangeable securities is described in the Registration Statement and the Prospectus and the holders of such convertible, exercisable or exchangeable securities have provided to the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70" w:right="439" w:bottom="1440" w:gutter="0" w:footer="0" w:header="0"/>
        </w:sectPr>
      </w:pPr>
    </w:p>
    <w:bookmarkStart w:id="278" w:name="page279"/>
    <w:bookmarkEnd w:id="278"/>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Representatives a signed lockup-letter substantially in the form of Annex I hereto, (5) the filing by the Company of any registration statement on Form S-8 or a successor form thereto relating to any Company Stock Plan described in the Registration Statement and the Prospectus, and (6) any shares of Common Stock or any securities convertible into or exchangeable for, or that represent the right to receive, shares of Common Stock issued in connection with any joint venture, commercial or collaborative relationship or the acquisition or license by the Company of the securities, businesses, property or other assets of another person or entity or pursuant to any employee benefit plan assumed by the Company in connection with any such acquisition, provided that in the case of clause (6), the aggregate number of shares that the Company may sell or issue or agree to sell or issue pursuant to clause (6), (x) shall not exceed 10.0% of the total number of shares of Common Stock issued and outstanding immediately following the completion of the transactions contemplated by this Agreement) and (y) the recipients thereof provide to the Representatives a signed lock-up letter substantially in the form of Annex I hereto;</w:t>
      </w:r>
    </w:p>
    <w:p>
      <w:pPr>
        <w:spacing w:after="0" w:line="188" w:lineRule="exact"/>
        <w:rPr>
          <w:sz w:val="20"/>
          <w:szCs w:val="20"/>
          <w:color w:val="auto"/>
        </w:rPr>
      </w:pPr>
    </w:p>
    <w:p>
      <w:pPr>
        <w:ind w:left="4" w:right="260" w:firstLine="440"/>
        <w:spacing w:after="0" w:line="258" w:lineRule="auto"/>
        <w:rPr>
          <w:sz w:val="20"/>
          <w:szCs w:val="20"/>
          <w:color w:val="auto"/>
        </w:rPr>
      </w:pPr>
      <w:r>
        <w:rPr>
          <w:rFonts w:ascii="Times New Roman" w:cs="Times New Roman" w:eastAsia="Times New Roman" w:hAnsi="Times New Roman"/>
          <w:sz w:val="18"/>
          <w:szCs w:val="18"/>
          <w:color w:val="auto"/>
        </w:rPr>
        <w:t>(e)(2) If the Representatives, in their sole discretion, agree to release or waive the restrictions set forth in a lock-up letter in the form attached hereto as Annex I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Annex II hereto through a major news service at least two business days before the effective date of the release or waiver;</w:t>
      </w:r>
    </w:p>
    <w:p>
      <w:pPr>
        <w:spacing w:after="0" w:line="183" w:lineRule="exact"/>
        <w:rPr>
          <w:sz w:val="20"/>
          <w:szCs w:val="20"/>
          <w:color w:val="auto"/>
        </w:rPr>
      </w:pPr>
    </w:p>
    <w:p>
      <w:pPr>
        <w:ind w:left="4" w:firstLine="436"/>
        <w:spacing w:after="0" w:line="255" w:lineRule="auto"/>
        <w:tabs>
          <w:tab w:leader="none" w:pos="66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of three years from the effective date of the Registration Statement, for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for such quarter in reasonable detail, provided, that no reports, documents or other information needs to be furnished pursuant to this Section 5(f) to the extent they are available on EDGAR;</w:t>
      </w:r>
    </w:p>
    <w:p>
      <w:pPr>
        <w:spacing w:after="0" w:line="188" w:lineRule="exact"/>
        <w:rPr>
          <w:rFonts w:ascii="Times New Roman" w:cs="Times New Roman" w:eastAsia="Times New Roman" w:hAnsi="Times New Roman"/>
          <w:sz w:val="18"/>
          <w:szCs w:val="18"/>
          <w:color w:val="auto"/>
        </w:rPr>
      </w:pPr>
    </w:p>
    <w:p>
      <w:pPr>
        <w:ind w:left="4" w:right="80" w:firstLine="436"/>
        <w:spacing w:after="0" w:line="272" w:lineRule="auto"/>
        <w:tabs>
          <w:tab w:leader="none" w:pos="699"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 period of three years from the effective date of the Registration Statement,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w:t>
      </w:r>
    </w:p>
    <w:p>
      <w:pPr>
        <w:spacing w:after="0" w:line="1" w:lineRule="exact"/>
        <w:rPr>
          <w:rFonts w:ascii="Times New Roman" w:cs="Times New Roman" w:eastAsia="Times New Roman" w:hAnsi="Times New Roman"/>
          <w:sz w:val="17"/>
          <w:szCs w:val="17"/>
          <w:color w:val="auto"/>
        </w:rPr>
      </w:pPr>
    </w:p>
    <w:p>
      <w:pPr>
        <w:ind w:left="4" w:right="60" w:hanging="4"/>
        <w:spacing w:after="0" w:line="253" w:lineRule="auto"/>
        <w:tabs>
          <w:tab w:leader="none" w:pos="26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information concerning the business and financial condition of the Company as you may from time to time reasonably request (such financial statements to be on a consolidated basis to the extent the accounts of the Company are consolidated in reports furnished to its stockholders generally or to the Commission), provided, that no reports, documents or other information needs to be furnished pursuant to this Section 5(g) to the extent they are available on EDGAR;</w:t>
      </w:r>
    </w:p>
    <w:p>
      <w:pPr>
        <w:spacing w:after="0" w:line="188"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9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net proceeds received by it from the sale of the Shares pursuant to this Agreement in the manner specified in the Pricing Prospectus under the caption “Use of Proceeds”;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279" w:name="page280"/>
    <w:bookmarkEnd w:id="279"/>
    <w:p>
      <w:pPr>
        <w:ind w:left="640" w:hanging="224"/>
        <w:spacing w:after="0"/>
        <w:tabs>
          <w:tab w:leader="none" w:pos="6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use its best efforts to list, subject to notice of issuance, the Shares on the Nasdaq Stock Market Inc.’s National Market (“NASDAQ”);</w:t>
      </w:r>
    </w:p>
    <w:p>
      <w:pPr>
        <w:spacing w:after="0" w:line="225" w:lineRule="exact"/>
        <w:rPr>
          <w:rFonts w:ascii="Times New Roman" w:cs="Times New Roman" w:eastAsia="Times New Roman" w:hAnsi="Times New Roman"/>
          <w:sz w:val="18"/>
          <w:szCs w:val="18"/>
          <w:color w:val="auto"/>
        </w:rPr>
      </w:pPr>
    </w:p>
    <w:p>
      <w:pPr>
        <w:ind w:left="-20" w:right="80" w:firstLine="436"/>
        <w:spacing w:after="0" w:line="261" w:lineRule="auto"/>
        <w:tabs>
          <w:tab w:leader="none" w:pos="63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179" w:lineRule="exact"/>
        <w:rPr>
          <w:rFonts w:ascii="Times New Roman" w:cs="Times New Roman" w:eastAsia="Times New Roman" w:hAnsi="Times New Roman"/>
          <w:sz w:val="18"/>
          <w:szCs w:val="18"/>
          <w:color w:val="auto"/>
        </w:rPr>
      </w:pPr>
    </w:p>
    <w:p>
      <w:pPr>
        <w:ind w:left="-20" w:firstLine="436"/>
        <w:spacing w:after="0" w:line="261" w:lineRule="auto"/>
        <w:tabs>
          <w:tab w:leader="none" w:pos="67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w:t>
      </w:r>
    </w:p>
    <w:p>
      <w:pPr>
        <w:spacing w:after="0" w:line="179" w:lineRule="exact"/>
        <w:rPr>
          <w:rFonts w:ascii="Times New Roman" w:cs="Times New Roman" w:eastAsia="Times New Roman" w:hAnsi="Times New Roman"/>
          <w:sz w:val="18"/>
          <w:szCs w:val="18"/>
          <w:color w:val="auto"/>
        </w:rPr>
      </w:pPr>
    </w:p>
    <w:p>
      <w:pPr>
        <w:ind w:left="-20" w:right="500" w:firstLine="436"/>
        <w:spacing w:after="0" w:line="282" w:lineRule="auto"/>
        <w:tabs>
          <w:tab w:leader="none" w:pos="63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promptly notify you if the Company ceases to be an Emerging Growth Company at any time prior to the later of (i) completion of the distribution of the Shares within the meaning of the Act and (ii) the last Time of Delivery;</w:t>
      </w:r>
    </w:p>
    <w:p>
      <w:pPr>
        <w:spacing w:after="0" w:line="161" w:lineRule="exact"/>
        <w:rPr>
          <w:rFonts w:ascii="Times New Roman" w:cs="Times New Roman" w:eastAsia="Times New Roman" w:hAnsi="Times New Roman"/>
          <w:sz w:val="18"/>
          <w:szCs w:val="18"/>
          <w:color w:val="auto"/>
        </w:rPr>
      </w:pPr>
    </w:p>
    <w:p>
      <w:pPr>
        <w:ind w:left="-20" w:right="520" w:firstLine="436"/>
        <w:spacing w:after="0" w:line="282" w:lineRule="auto"/>
        <w:tabs>
          <w:tab w:leader="none" w:pos="72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take, directly or indirectly, any action designed to or that would reasonably be expected to cause or result in any stabilization or manipulation of the price of any security of the Company to facilitate the sale or resale of the Shares; and</w:t>
      </w:r>
    </w:p>
    <w:p>
      <w:pPr>
        <w:spacing w:after="0" w:line="162" w:lineRule="exact"/>
        <w:rPr>
          <w:sz w:val="20"/>
          <w:szCs w:val="20"/>
          <w:color w:val="auto"/>
        </w:rPr>
      </w:pPr>
    </w:p>
    <w:p>
      <w:pPr>
        <w:ind w:left="-20" w:right="180" w:firstLine="436"/>
        <w:spacing w:after="0" w:line="258" w:lineRule="auto"/>
        <w:tabs>
          <w:tab w:leader="none" w:pos="6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hereto;</w:t>
      </w:r>
    </w:p>
    <w:p>
      <w:pPr>
        <w:spacing w:after="0" w:line="183" w:lineRule="exact"/>
        <w:rPr>
          <w:sz w:val="20"/>
          <w:szCs w:val="20"/>
          <w:color w:val="auto"/>
        </w:rPr>
      </w:pPr>
    </w:p>
    <w:p>
      <w:pPr>
        <w:ind w:left="-20" w:right="20" w:firstLine="436"/>
        <w:spacing w:after="0" w:line="266" w:lineRule="auto"/>
        <w:tabs>
          <w:tab w:leader="none" w:pos="67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75" w:lineRule="exact"/>
        <w:rPr>
          <w:rFonts w:ascii="Times New Roman" w:cs="Times New Roman" w:eastAsia="Times New Roman" w:hAnsi="Times New Roman"/>
          <w:sz w:val="18"/>
          <w:szCs w:val="18"/>
          <w:color w:val="auto"/>
        </w:rPr>
      </w:pPr>
    </w:p>
    <w:p>
      <w:pPr>
        <w:ind w:left="-20" w:firstLine="436"/>
        <w:spacing w:after="0" w:line="256" w:lineRule="auto"/>
        <w:tabs>
          <w:tab w:leader="none" w:pos="66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if at any time following issuance of an Issuer Free Writing Prospectus or Written Testing-the-Waters Communication prepared or authorized by it any event occurred or occurs as a result of which such Issuer Free Writing Prospectus or Written Testing-the-Waters Communication prepared or authorized by it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60" w:top="270" w:right="479" w:bottom="1440" w:gutter="0" w:footer="0" w:header="0"/>
        </w:sectPr>
      </w:pPr>
    </w:p>
    <w:bookmarkStart w:id="280" w:name="page281"/>
    <w:bookmarkEnd w:id="280"/>
    <w:p>
      <w:pPr>
        <w:jc w:val="both"/>
        <w:ind w:right="5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prepare and furnish without charge to each Underwriter an Issuer Free Writing Prospectus, Written Testing-the-Waters Communication or other document which will correct such conflict, statement or omission provided, however, that this representation and warranty shall not apply to any statements or omissions in an Issuer Free Writing Prospectus or Written Testing-the-Waters Communication prepared or authorized by it made in reliance upon and in conformity with the Underwriter Information;</w:t>
      </w:r>
    </w:p>
    <w:p>
      <w:pPr>
        <w:spacing w:after="0" w:line="180" w:lineRule="exact"/>
        <w:rPr>
          <w:sz w:val="20"/>
          <w:szCs w:val="20"/>
          <w:color w:val="auto"/>
        </w:rPr>
      </w:pPr>
    </w:p>
    <w:p>
      <w:pPr>
        <w:ind w:right="120" w:firstLine="436"/>
        <w:spacing w:after="0" w:line="256" w:lineRule="auto"/>
        <w:tabs>
          <w:tab w:leader="none" w:pos="69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 under the Act; and (ii) it has not distributed, or authorized any other person to distribute, any Written Testing-the-Waters Communications, other than those distributed with the prior consent of the Representatives that are listed on Schedule II(d) hereto; and the Company reconfirms that the Underwriters have been authorized to act on its behalf in engaging in Testing-the-Waters Communications; and</w:t>
      </w:r>
    </w:p>
    <w:p>
      <w:pPr>
        <w:spacing w:after="0" w:line="187"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 under the Act.</w:t>
      </w:r>
    </w:p>
    <w:p>
      <w:pPr>
        <w:spacing w:after="0" w:line="176" w:lineRule="exact"/>
        <w:rPr>
          <w:sz w:val="20"/>
          <w:szCs w:val="20"/>
          <w:color w:val="auto"/>
        </w:rPr>
      </w:pPr>
    </w:p>
    <w:p>
      <w:pPr>
        <w:ind w:firstLine="436"/>
        <w:spacing w:after="0" w:line="252" w:lineRule="auto"/>
        <w:tabs>
          <w:tab w:leader="none" w:pos="6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 (iv) all fees and expenses in connection with listing the Shares on NASDAQ; (v) the filing fees incident to, and the fees and disbursements of counsel for the Underwriters in connection with, any required review by FINRA of the terms of the sale of the Shares; (vi) the cost of preparing stock certificates; (vii) the cost and charges of any transfer agent or registrar; (viii) the costs and expenses relating to investor presentations on any “road show” undertaken in connection with the marketing of the Shares, including without limitation, expenses associated with the preparation or dissemination of any broadly available road show, expenses associated with the production of road show slides, graphics and videos, fees and expenses of any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81" w:name="page282"/>
    <w:bookmarkEnd w:id="281"/>
    <w:p>
      <w:pPr>
        <w:ind w:left="4"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consultants engaged in connection with the road show presentations, and travel and lodging expenses of the representatives (not including the Underwriters) and officers of the Company and any such consultants; (ix) any documentary, stamp, registration or similar issuance tax or stock transfer tax, including any interest and penalties, on the sale, issuance or delivery of the Shares by the Company to the Underwriters; and (x) all other costs and expenses incident to the performance of its obligations hereunder which are not otherwise specifically provided for in this Section; provided, however, that the amounts payable by the Company pursuant to clauses (iii) and (v) for fees and disbursements of counsel to the Underwriters described in clauses</w:t>
      </w:r>
    </w:p>
    <w:p>
      <w:pPr>
        <w:spacing w:after="0" w:line="3" w:lineRule="exact"/>
        <w:rPr>
          <w:sz w:val="20"/>
          <w:szCs w:val="20"/>
          <w:color w:val="auto"/>
        </w:rPr>
      </w:pPr>
    </w:p>
    <w:p>
      <w:pPr>
        <w:ind w:left="4" w:right="60" w:hanging="4"/>
        <w:spacing w:after="0" w:line="252" w:lineRule="auto"/>
        <w:tabs>
          <w:tab w:leader="none" w:pos="31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(v) shall not exceed $35,000 in the aggregate. It is understood, however, that, (x)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 and all travel and lodging expenses of the Underwriters and their representatives and counsel; and (y) subject to the Company’s and Representatives’ prior written approval of each such expense, the Underwriters and the Company shall each pay 50% of the cost of chartering any aircraft to be used by the directors and officers of the Company and the employees of the Representatives in connection with the road show or any testing-the-waters meetings by the Company and the Underwriters, provided that both directors and officers of the Company and employees of the Representatives are on board the aircraft.</w:t>
      </w:r>
    </w:p>
    <w:p>
      <w:pPr>
        <w:spacing w:after="0" w:line="188" w:lineRule="exact"/>
        <w:rPr>
          <w:rFonts w:ascii="Times New Roman" w:cs="Times New Roman" w:eastAsia="Times New Roman" w:hAnsi="Times New Roman"/>
          <w:sz w:val="18"/>
          <w:szCs w:val="18"/>
          <w:color w:val="auto"/>
        </w:rPr>
      </w:pPr>
    </w:p>
    <w:p>
      <w:pPr>
        <w:jc w:val="both"/>
        <w:ind w:left="4" w:right="100" w:firstLine="436"/>
        <w:spacing w:after="0" w:line="261" w:lineRule="auto"/>
        <w:tabs>
          <w:tab w:leader="none" w:pos="62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71" w:lineRule="exact"/>
        <w:rPr>
          <w:rFonts w:ascii="Times New Roman" w:cs="Times New Roman" w:eastAsia="Times New Roman" w:hAnsi="Times New Roman"/>
          <w:sz w:val="18"/>
          <w:szCs w:val="18"/>
          <w:color w:val="auto"/>
        </w:rPr>
      </w:pPr>
    </w:p>
    <w:p>
      <w:pPr>
        <w:ind w:left="444" w:firstLine="419"/>
        <w:spacing w:after="0" w:line="254" w:lineRule="auto"/>
        <w:tabs>
          <w:tab w:leader="none" w:pos="1112"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80" w:lineRule="exact"/>
        <w:rPr>
          <w:rFonts w:ascii="Times New Roman" w:cs="Times New Roman" w:eastAsia="Times New Roman" w:hAnsi="Times New Roman"/>
          <w:sz w:val="18"/>
          <w:szCs w:val="18"/>
          <w:color w:val="auto"/>
        </w:rPr>
      </w:pPr>
    </w:p>
    <w:p>
      <w:pPr>
        <w:ind w:left="444" w:right="40" w:firstLine="419"/>
        <w:spacing w:after="0" w:line="266" w:lineRule="auto"/>
        <w:tabs>
          <w:tab w:leader="none" w:pos="1122"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Latham &amp; Watkins LLP, counsel for the Underwriters, shall have furnished to you such written opinion and negative assurance letter, each dated for such Time of Delivery, in form and substance satisfactory to you, and such counsel shall have received such papers and information as they may reasonably request to enable them to pass upon such matters;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4"/>
          </w:cols>
          <w:pgMar w:left="436" w:top="270" w:right="439" w:bottom="1440" w:gutter="0" w:footer="0" w:header="0"/>
        </w:sectPr>
      </w:pPr>
    </w:p>
    <w:bookmarkStart w:id="282" w:name="page283"/>
    <w:bookmarkEnd w:id="282"/>
    <w:p>
      <w:pPr>
        <w:ind w:right="100" w:firstLine="419"/>
        <w:spacing w:after="0" w:line="282" w:lineRule="auto"/>
        <w:tabs>
          <w:tab w:leader="none" w:pos="66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Wilson Sonsini Goodrich &amp; Rosati, corporate, intellectual property and regulatory counsel for the Company, shall have furnished to you their written opinions and negative assurance letters, each in form and substance satisfactory to you;</w:t>
      </w:r>
    </w:p>
    <w:p>
      <w:pPr>
        <w:spacing w:after="0" w:line="53" w:lineRule="exact"/>
        <w:rPr>
          <w:rFonts w:ascii="Times New Roman" w:cs="Times New Roman" w:eastAsia="Times New Roman" w:hAnsi="Times New Roman"/>
          <w:sz w:val="18"/>
          <w:szCs w:val="18"/>
          <w:color w:val="auto"/>
        </w:rPr>
      </w:pPr>
    </w:p>
    <w:p>
      <w:pPr>
        <w:jc w:val="both"/>
        <w:ind w:right="40" w:firstLine="419"/>
        <w:spacing w:after="0" w:line="261" w:lineRule="auto"/>
        <w:tabs>
          <w:tab w:leader="none" w:pos="67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w:t>
      </w:r>
    </w:p>
    <w:p>
      <w:pPr>
        <w:spacing w:after="0" w:line="71"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shall not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the exercise of stock options or the award of stock options or restricted stock in the ordinary course of business pursuant to the Company’s equity plans that are described in the Pricing Prospectus) or long-term debt of the Company or any dividend or distribution of any kind declared, set aside for payment, paid or made by the Company on any class of capital stock or any change or effect, or any development involving a prospective change or effect, in or affecting (x) the business, properties, general affairs, management, financial position, stockholders’ equity, or results of operations of the Company, taken as a whole, except as set forth or contemplated in the Pricing Prospectus and the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79" w:lineRule="exact"/>
        <w:rPr>
          <w:rFonts w:ascii="Times New Roman" w:cs="Times New Roman" w:eastAsia="Times New Roman" w:hAnsi="Times New Roman"/>
          <w:sz w:val="18"/>
          <w:szCs w:val="18"/>
          <w:color w:val="auto"/>
        </w:rPr>
      </w:pPr>
    </w:p>
    <w:p>
      <w:pPr>
        <w:ind w:right="60" w:firstLine="419"/>
        <w:spacing w:after="0" w:line="256" w:lineRule="auto"/>
        <w:tabs>
          <w:tab w:leader="none" w:pos="64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Applicable Time there shall not have occurred any of the following: (i) a suspension or material limitation in trading in securities generally on the New York Stock Exchange or on NASDAQ; (ii) a suspension or material limitation in trading in the Company’s securities on NASDAQ; (iii) a general moratorium on commercial banking activities declared by either Federal or New York or California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283" w:name="page284"/>
    <w:bookmarkEnd w:id="283"/>
    <w:p>
      <w:pPr>
        <w:ind w:left="420" w:righ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68" w:lineRule="exact"/>
        <w:rPr>
          <w:sz w:val="20"/>
          <w:szCs w:val="20"/>
          <w:color w:val="auto"/>
        </w:rPr>
      </w:pPr>
    </w:p>
    <w:p>
      <w:pPr>
        <w:ind w:left="1100" w:hanging="261"/>
        <w:spacing w:after="0"/>
        <w:tabs>
          <w:tab w:leader="none" w:pos="11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at such Time of Delivery shall have been duly listed for quotation on NASDAQ;</w:t>
      </w:r>
    </w:p>
    <w:p>
      <w:pPr>
        <w:spacing w:after="0" w:line="117" w:lineRule="exact"/>
        <w:rPr>
          <w:rFonts w:ascii="Times New Roman" w:cs="Times New Roman" w:eastAsia="Times New Roman" w:hAnsi="Times New Roman"/>
          <w:sz w:val="18"/>
          <w:szCs w:val="18"/>
          <w:color w:val="auto"/>
        </w:rPr>
      </w:pPr>
    </w:p>
    <w:p>
      <w:pPr>
        <w:ind w:left="420" w:right="180" w:firstLine="419"/>
        <w:spacing w:after="0" w:line="312" w:lineRule="auto"/>
        <w:tabs>
          <w:tab w:leader="none" w:pos="1098"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obtained and delivered to the Underwriters executed copies of an agreement from all officers, directors and substantially all securityholders of the Company, substantially to the effect set forth in Annex I hereof in form and substance satisfactory to you;</w:t>
      </w:r>
    </w:p>
    <w:p>
      <w:pPr>
        <w:spacing w:after="0" w:line="31" w:lineRule="exact"/>
        <w:rPr>
          <w:rFonts w:ascii="Times New Roman" w:cs="Times New Roman" w:eastAsia="Times New Roman" w:hAnsi="Times New Roman"/>
          <w:sz w:val="17"/>
          <w:szCs w:val="17"/>
          <w:color w:val="auto"/>
        </w:rPr>
      </w:pPr>
    </w:p>
    <w:p>
      <w:pPr>
        <w:ind w:left="1060" w:hanging="221"/>
        <w:spacing w:after="0"/>
        <w:tabs>
          <w:tab w:leader="none" w:pos="106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have raised no objection to the fairness and reasonableness of the underwriting terms and arrangements;</w:t>
      </w:r>
    </w:p>
    <w:p>
      <w:pPr>
        <w:spacing w:after="0" w:line="117" w:lineRule="exact"/>
        <w:rPr>
          <w:rFonts w:ascii="Times New Roman" w:cs="Times New Roman" w:eastAsia="Times New Roman" w:hAnsi="Times New Roman"/>
          <w:sz w:val="18"/>
          <w:szCs w:val="18"/>
          <w:color w:val="auto"/>
        </w:rPr>
      </w:pPr>
    </w:p>
    <w:p>
      <w:pPr>
        <w:ind w:left="420" w:right="40" w:firstLine="419"/>
        <w:spacing w:after="0" w:line="312" w:lineRule="auto"/>
        <w:tabs>
          <w:tab w:leader="none" w:pos="1058"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complied with the provisions of Section 5(c) hereof with respect to the furnishing of prospectuses on the New York Business Day next succeeding the date of this Agreement (or such other time as may be agreed to by the Representatives and the Company);</w:t>
      </w:r>
    </w:p>
    <w:p>
      <w:pPr>
        <w:spacing w:after="0" w:line="31" w:lineRule="exact"/>
        <w:rPr>
          <w:rFonts w:ascii="Times New Roman" w:cs="Times New Roman" w:eastAsia="Times New Roman" w:hAnsi="Times New Roman"/>
          <w:sz w:val="17"/>
          <w:szCs w:val="17"/>
          <w:color w:val="auto"/>
        </w:rPr>
      </w:pPr>
    </w:p>
    <w:p>
      <w:pPr>
        <w:jc w:val="both"/>
        <w:ind w:left="420" w:right="100" w:firstLine="419"/>
        <w:spacing w:after="0" w:line="261" w:lineRule="auto"/>
        <w:tabs>
          <w:tab w:leader="none" w:pos="109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you may reasonably request;</w:t>
      </w:r>
    </w:p>
    <w:p>
      <w:pPr>
        <w:spacing w:after="0" w:line="71" w:lineRule="exact"/>
        <w:rPr>
          <w:rFonts w:ascii="Times New Roman" w:cs="Times New Roman" w:eastAsia="Times New Roman" w:hAnsi="Times New Roman"/>
          <w:sz w:val="18"/>
          <w:szCs w:val="18"/>
          <w:color w:val="auto"/>
        </w:rPr>
      </w:pPr>
    </w:p>
    <w:p>
      <w:pPr>
        <w:ind w:left="420" w:right="80" w:firstLine="419"/>
        <w:spacing w:after="0" w:line="282" w:lineRule="auto"/>
        <w:tabs>
          <w:tab w:leader="none" w:pos="105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Time of Delivery, the Representatives shall have received a certificate of the Secretary of the Company, as to such matters as the Representatives may reasonably request; and</w:t>
      </w:r>
    </w:p>
    <w:p>
      <w:pPr>
        <w:spacing w:after="0" w:line="53" w:lineRule="exact"/>
        <w:rPr>
          <w:rFonts w:ascii="Times New Roman" w:cs="Times New Roman" w:eastAsia="Times New Roman" w:hAnsi="Times New Roman"/>
          <w:sz w:val="18"/>
          <w:szCs w:val="18"/>
          <w:color w:val="auto"/>
        </w:rPr>
      </w:pPr>
    </w:p>
    <w:p>
      <w:pPr>
        <w:ind w:left="420" w:firstLine="419"/>
        <w:spacing w:after="0" w:line="282" w:lineRule="auto"/>
        <w:tabs>
          <w:tab w:leader="none" w:pos="114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Time of Delivery, the Company shall have furnished to the Representatives such additional information, certificates, opinions or documents as the Representatives may reasonably request.</w:t>
      </w:r>
    </w:p>
    <w:p>
      <w:pPr>
        <w:spacing w:after="0" w:line="161" w:lineRule="exact"/>
        <w:rPr>
          <w:rFonts w:ascii="Times New Roman" w:cs="Times New Roman" w:eastAsia="Times New Roman" w:hAnsi="Times New Roman"/>
          <w:sz w:val="18"/>
          <w:szCs w:val="18"/>
          <w:color w:val="auto"/>
        </w:rPr>
      </w:pPr>
    </w:p>
    <w:p>
      <w:pPr>
        <w:ind w:left="-20" w:right="20" w:firstLine="436"/>
        <w:spacing w:after="0" w:line="272" w:lineRule="auto"/>
        <w:tabs>
          <w:tab w:leader="none" w:pos="60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prepared or authorized by the Company,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60" w:top="270" w:right="459" w:bottom="1440" w:gutter="0" w:footer="0" w:header="0"/>
        </w:sectPr>
      </w:pPr>
    </w:p>
    <w:bookmarkStart w:id="284" w:name="page285"/>
    <w:bookmarkEnd w:id="284"/>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claim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Testing-the-Waters Communication, in reliance upon and in conformity with the Underwriter Information.</w:t>
      </w:r>
    </w:p>
    <w:p>
      <w:pPr>
        <w:spacing w:after="0" w:line="182" w:lineRule="exact"/>
        <w:rPr>
          <w:sz w:val="20"/>
          <w:szCs w:val="20"/>
          <w:color w:val="auto"/>
        </w:rPr>
      </w:pPr>
    </w:p>
    <w:p>
      <w:pPr>
        <w:ind w:firstLine="436"/>
        <w:spacing w:after="0" w:line="252" w:lineRule="auto"/>
        <w:tabs>
          <w:tab w:leader="none" w:pos="69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seventh paragraph under the caption “Underwriting”, and the information contained in the eleventh, twelfth and thirteenth paragraphs under the caption “Underwriting”.</w:t>
      </w:r>
    </w:p>
    <w:p>
      <w:pPr>
        <w:spacing w:after="0" w:line="195" w:lineRule="exact"/>
        <w:rPr>
          <w:rFonts w:ascii="Times New Roman" w:cs="Times New Roman" w:eastAsia="Times New Roman" w:hAnsi="Times New Roman"/>
          <w:sz w:val="18"/>
          <w:szCs w:val="18"/>
          <w:color w:val="auto"/>
        </w:rPr>
      </w:pPr>
    </w:p>
    <w:p>
      <w:pPr>
        <w:ind w:right="20" w:firstLine="436"/>
        <w:spacing w:after="0" w:line="254" w:lineRule="auto"/>
        <w:tabs>
          <w:tab w:leader="none" w:pos="68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68" w:right="439" w:bottom="1440" w:gutter="0" w:footer="0" w:header="0"/>
        </w:sectPr>
      </w:pPr>
    </w:p>
    <w:bookmarkStart w:id="285" w:name="page286"/>
    <w:bookmarkEnd w:id="285"/>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unless (i) the indemnifying party and the indemnified party shall have mutually agreed to the contrary;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in any such proceeding (including any impleaded parties) include both the indemnifying party and the indemnified party and representation of both parties by the same counsel would be inappropriate due to actual or potential differing interests between them.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97" w:lineRule="exact"/>
        <w:rPr>
          <w:sz w:val="20"/>
          <w:szCs w:val="20"/>
          <w:color w:val="auto"/>
        </w:rPr>
      </w:pPr>
    </w:p>
    <w:p>
      <w:pPr>
        <w:ind w:left="704" w:hanging="264"/>
        <w:spacing w:after="0"/>
        <w:tabs>
          <w:tab w:leader="none" w:pos="70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9 is unavailable to or insufficient to hold harmless an indemnified party under subsection</w:t>
      </w:r>
    </w:p>
    <w:p>
      <w:pPr>
        <w:spacing w:after="0" w:line="27" w:lineRule="exact"/>
        <w:rPr>
          <w:rFonts w:ascii="Times New Roman" w:cs="Times New Roman" w:eastAsia="Times New Roman" w:hAnsi="Times New Roman"/>
          <w:sz w:val="18"/>
          <w:szCs w:val="18"/>
          <w:color w:val="auto"/>
        </w:rPr>
      </w:pPr>
    </w:p>
    <w:p>
      <w:pPr>
        <w:ind w:left="4" w:right="20" w:hanging="4"/>
        <w:spacing w:after="0" w:line="251" w:lineRule="auto"/>
        <w:tabs>
          <w:tab w:leader="none" w:pos="24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286" w:name="page287"/>
    <w:bookmarkEnd w:id="28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information and opportunity to correct or prevent such statement or omission. The Company and the Underwriters agree that it would not be just and equitable if contribution pursuant to this subsection (d)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92" w:lineRule="exact"/>
        <w:rPr>
          <w:sz w:val="20"/>
          <w:szCs w:val="20"/>
          <w:color w:val="auto"/>
        </w:rPr>
      </w:pPr>
    </w:p>
    <w:p>
      <w:pPr>
        <w:ind w:right="220" w:firstLine="436"/>
        <w:spacing w:after="0" w:line="258" w:lineRule="auto"/>
        <w:tabs>
          <w:tab w:leader="none" w:pos="68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183" w:lineRule="exact"/>
        <w:rPr>
          <w:sz w:val="20"/>
          <w:szCs w:val="20"/>
          <w:color w:val="auto"/>
        </w:rPr>
      </w:pPr>
    </w:p>
    <w:p>
      <w:pPr>
        <w:ind w:right="80" w:firstLine="436"/>
        <w:spacing w:after="0" w:line="253" w:lineRule="auto"/>
        <w:tabs>
          <w:tab w:leader="none" w:pos="71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any Underwriter shall default in its obligation to purchase the Shares which it has agreed to purchase hereunder at a Time of Delivery, the Representatives may in their discretion arrange for the Representatives or another party or other parties to purchase such Shares on the terms contained herein. If within thirty-six hours after such default by any Underwriter the Representatives do not arrange for the purchase of such Shares, then the Company shall be entitled to a further period of thirty-six hours within which to procure another party or other parties satisfactory to the Representatives to purchase such Shares on such terms. In the event that, within the respective prescribed periods, the Representatives notify the Company that the Representatives have so arranged for the purchase of such Shares, or the Company notifies the Representatives that it has so arranged for the purchase of such Shares, the Representatives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287" w:name="page288"/>
    <w:bookmarkEnd w:id="287"/>
    <w:p>
      <w:pPr>
        <w:ind w:firstLine="436"/>
        <w:spacing w:after="0" w:line="255" w:lineRule="auto"/>
        <w:tabs>
          <w:tab w:leader="none" w:pos="69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after giving effect to any arrangements for the purchase of the Shares of a defaulting Underwriter or Underwriters by the Representatives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88" w:lineRule="exact"/>
        <w:rPr>
          <w:rFonts w:ascii="Times New Roman" w:cs="Times New Roman" w:eastAsia="Times New Roman" w:hAnsi="Times New Roman"/>
          <w:sz w:val="18"/>
          <w:szCs w:val="18"/>
          <w:color w:val="auto"/>
        </w:rPr>
      </w:pPr>
    </w:p>
    <w:p>
      <w:pPr>
        <w:ind w:right="20" w:firstLine="436"/>
        <w:spacing w:after="0" w:line="254" w:lineRule="auto"/>
        <w:tabs>
          <w:tab w:leader="none" w:pos="68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92" w:lineRule="exact"/>
        <w:rPr>
          <w:sz w:val="20"/>
          <w:szCs w:val="20"/>
          <w:color w:val="auto"/>
        </w:rPr>
      </w:pPr>
    </w:p>
    <w:p>
      <w:pPr>
        <w:ind w:right="20" w:firstLine="436"/>
        <w:spacing w:after="0" w:line="261" w:lineRule="auto"/>
        <w:tabs>
          <w:tab w:leader="none" w:pos="70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179" w:lineRule="exact"/>
        <w:rPr>
          <w:rFonts w:ascii="Times New Roman" w:cs="Times New Roman" w:eastAsia="Times New Roman" w:hAnsi="Times New Roman"/>
          <w:sz w:val="18"/>
          <w:szCs w:val="18"/>
          <w:color w:val="auto"/>
        </w:rPr>
      </w:pPr>
    </w:p>
    <w:p>
      <w:pPr>
        <w:ind w:right="60" w:firstLine="436"/>
        <w:spacing w:after="0" w:line="256" w:lineRule="auto"/>
        <w:tabs>
          <w:tab w:leader="none" w:pos="71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or the Underwriters decline to purchase the Shares for any reason permitted under this Agreement,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187"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71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dealings hereunder, the Representatives shall act on behalf of each of the Underwriters, and the parties hereto shall be entitled to act and rely upon any statement, request, notice or agreement on behalf of any Underwriter made or given by you jointly or by the Representatives on behalf of the Underwriters.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288" w:name="page289"/>
    <w:bookmarkEnd w:id="288"/>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statements, requests, notices and agreements hereunder shall be in writing, and if to the Underwriters shall be delivered or sent by mail, telex or facsimile transmission to you as the Representatives in care of Goldman Sachs &amp; Co. LLC, 200 West Street, New York, New York 10282-2198, Attention: Registration Department; in the care of BofA Securities, Inc., One Bryant Park, New York, NY 10036, Attention: Syndicate Department (facsimile:(646) 855-3073), with a copy to ECM Legal (facsimile: (212) 230-8730); in the care of Cowen and Company, LLC, 599 Lexington Avenue, New York, New York 10022, Attention: General Counsel (facsimile: (646) 562-1130); in the care of Evercore Group L.L.C., 55 East 52nd Street, New York, New York 10055, attention of General Counsel (facsimile: (212) 857-3101); and if to the Company shall be delivered or sent by mail, telex or facsimile transmission to the address of the Company set forth in the Registration Statement, Attention: Secretary;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provided, however, that notices under subsection 5(e) shall be in writing, and if to the Underwriters shall be delivered or sent by mail, telex or facsimile transmission to you as the Representatives at Goldman Sachs &amp; Co. LLC, 200 West Street, New York, New York 10282-2198, Attention: Control Room; BofA Securities, Inc., One Bryant Park, New York, NY 10036, Attention: Syndicate Department (facsimile (646) 855-3073), with a copy to ECM Legal (facsimile: (212) 230-8730); Cowen and Company, LLC, 599 Lexington Avenue, New York, New York 10022, Attention: General Counsel (facsimile: (646) 562-1130); and Evercore Group L.L.C., 55 East 52nd Street, New York, New York 10055, attention of General Counsel (facsimile: (212) 857-3101).</w:t>
      </w:r>
    </w:p>
    <w:p>
      <w:pPr>
        <w:spacing w:after="0" w:line="19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6" w:lineRule="exact"/>
        <w:rPr>
          <w:sz w:val="20"/>
          <w:szCs w:val="20"/>
          <w:color w:val="auto"/>
        </w:rPr>
      </w:pPr>
    </w:p>
    <w:p>
      <w:pPr>
        <w:ind w:right="60" w:firstLine="436"/>
        <w:spacing w:after="0" w:line="261" w:lineRule="auto"/>
        <w:tabs>
          <w:tab w:leader="none" w:pos="71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79" w:lineRule="exact"/>
        <w:rPr>
          <w:rFonts w:ascii="Times New Roman" w:cs="Times New Roman" w:eastAsia="Times New Roman" w:hAnsi="Times New Roman"/>
          <w:sz w:val="18"/>
          <w:szCs w:val="18"/>
          <w:color w:val="auto"/>
        </w:rPr>
      </w:pPr>
    </w:p>
    <w:p>
      <w:pPr>
        <w:ind w:right="120" w:firstLine="436"/>
        <w:spacing w:after="0" w:line="282" w:lineRule="auto"/>
        <w:tabs>
          <w:tab w:leader="none" w:pos="71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shall be of the essence of this Agreement. As used herein, the term “business day” shall mean any day when the Commission’s office in Washington, D.C. is open for business.</w:t>
      </w:r>
    </w:p>
    <w:p>
      <w:pPr>
        <w:spacing w:after="0" w:line="161" w:lineRule="exact"/>
        <w:rPr>
          <w:rFonts w:ascii="Times New Roman" w:cs="Times New Roman" w:eastAsia="Times New Roman" w:hAnsi="Times New Roman"/>
          <w:sz w:val="18"/>
          <w:szCs w:val="18"/>
          <w:color w:val="auto"/>
        </w:rPr>
      </w:pPr>
    </w:p>
    <w:p>
      <w:pPr>
        <w:ind w:right="100" w:firstLine="436"/>
        <w:spacing w:after="0" w:line="282" w:lineRule="auto"/>
        <w:tabs>
          <w:tab w:leader="none" w:pos="71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(i) the purchase and sale of the Shares pursuant to this Agreement is an arm’s-length commercial transaction between the Company, on the one hand, and the several Underwriters, on the other, (ii)</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289" w:name="page290"/>
    <w:bookmarkEnd w:id="28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89" w:lineRule="exact"/>
        <w:rPr>
          <w:sz w:val="20"/>
          <w:szCs w:val="20"/>
          <w:color w:val="auto"/>
        </w:rPr>
      </w:pPr>
    </w:p>
    <w:p>
      <w:pPr>
        <w:ind w:right="220" w:firstLine="436"/>
        <w:spacing w:after="0" w:line="282" w:lineRule="auto"/>
        <w:tabs>
          <w:tab w:leader="none" w:pos="71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supersedes all prior agreements and understandings (whether written or oral) among the Company and the Underwriters, or any of them, with respect to the subject matter hereof.</w:t>
      </w:r>
    </w:p>
    <w:p>
      <w:pPr>
        <w:spacing w:after="0" w:line="157" w:lineRule="exact"/>
        <w:rPr>
          <w:rFonts w:ascii="Times New Roman" w:cs="Times New Roman" w:eastAsia="Times New Roman" w:hAnsi="Times New Roman"/>
          <w:sz w:val="18"/>
          <w:szCs w:val="18"/>
          <w:color w:val="auto"/>
        </w:rPr>
      </w:pPr>
    </w:p>
    <w:p>
      <w:pPr>
        <w:ind w:right="40" w:firstLine="436"/>
        <w:spacing w:after="0" w:line="257" w:lineRule="auto"/>
        <w:tabs>
          <w:tab w:leader="none" w:pos="71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86" w:lineRule="exact"/>
        <w:rPr>
          <w:rFonts w:ascii="Times New Roman" w:cs="Times New Roman" w:eastAsia="Times New Roman" w:hAnsi="Times New Roman"/>
          <w:sz w:val="18"/>
          <w:szCs w:val="18"/>
          <w:color w:val="auto"/>
        </w:rPr>
      </w:pPr>
    </w:p>
    <w:p>
      <w:pPr>
        <w:ind w:right="240" w:firstLine="436"/>
        <w:spacing w:after="0" w:line="282" w:lineRule="auto"/>
        <w:tabs>
          <w:tab w:leader="none" w:pos="71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61" w:lineRule="exact"/>
        <w:rPr>
          <w:rFonts w:ascii="Times New Roman" w:cs="Times New Roman" w:eastAsia="Times New Roman" w:hAnsi="Times New Roman"/>
          <w:sz w:val="18"/>
          <w:szCs w:val="18"/>
          <w:color w:val="auto"/>
        </w:rPr>
      </w:pPr>
    </w:p>
    <w:p>
      <w:pPr>
        <w:ind w:right="40" w:firstLine="436"/>
        <w:spacing w:after="0" w:line="253" w:lineRule="auto"/>
        <w:tabs>
          <w:tab w:leader="none" w:pos="71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any one or more of the parties hereto in any number of counterparts, each of which shall be deemed to be an original, but all such counterparts shall together constitute one and the same instrument. The words “execution,” signed,” “signature,” and words of like import in this Agreement or in any other certificate, agreement or document related to this Agreement or the Shares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290" w:name="page291"/>
    <w:bookmarkEnd w:id="290"/>
    <w:p>
      <w:pPr>
        <w:ind w:right="120" w:firstLine="436"/>
        <w:spacing w:after="0" w:line="258" w:lineRule="auto"/>
        <w:tabs>
          <w:tab w:leader="none" w:pos="71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the U.S. Special Resolution Regimes.</w:t>
      </w:r>
    </w:p>
    <w:p>
      <w:pPr>
        <w:spacing w:after="0" w:line="225" w:lineRule="exact"/>
        <w:rPr>
          <w:sz w:val="20"/>
          <w:szCs w:val="20"/>
          <w:color w:val="auto"/>
        </w:rPr>
      </w:pPr>
    </w:p>
    <w:p>
      <w:pPr>
        <w:ind w:right="60" w:firstLine="436"/>
        <w:spacing w:after="0" w:line="261" w:lineRule="auto"/>
        <w:tabs>
          <w:tab w:leader="none" w:pos="68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225" w:lineRule="exact"/>
        <w:rPr>
          <w:sz w:val="20"/>
          <w:szCs w:val="20"/>
          <w:color w:val="auto"/>
        </w:rPr>
      </w:pPr>
    </w:p>
    <w:p>
      <w:pPr>
        <w:ind w:left="660" w:hanging="224"/>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291" w:name="page292"/>
    <w:bookmarkEnd w:id="291"/>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 Page Follows]</w:t>
      </w:r>
    </w:p>
    <w:p>
      <w:pPr>
        <w:sectPr>
          <w:pgSz w:w="11900" w:h="16838" w:orient="portrait"/>
          <w:cols w:equalWidth="0" w:num="1">
            <w:col w:w="9019"/>
          </w:cols>
          <w:pgMar w:left="1440" w:top="268" w:right="1440"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019"/>
          </w:cols>
          <w:pgMar w:left="1440" w:top="268" w:right="1440" w:bottom="1440" w:gutter="0" w:footer="0" w:header="0"/>
          <w:type w:val="continuous"/>
        </w:sectPr>
      </w:pPr>
    </w:p>
    <w:bookmarkStart w:id="292" w:name="page293"/>
    <w:bookmarkEnd w:id="29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please sign and return to us a counterpart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960"/>
          </w:cols>
          <w:pgMar w:left="440" w:top="270" w:right="4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as of the date 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Cowen and Company, LLC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Evercore Group L.L.C.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On behalf of each of the Underwriters</w:t>
      </w:r>
    </w:p>
    <w:p>
      <w:pPr>
        <w:spacing w:after="0" w:line="156" w:lineRule="exact"/>
        <w:rPr>
          <w:sz w:val="20"/>
          <w:szCs w:val="20"/>
          <w:color w:val="auto"/>
        </w:rPr>
      </w:pPr>
    </w:p>
    <w:p>
      <w:pPr>
        <w:jc w:val="right"/>
        <w:ind w:right="235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294" w:name="page295"/>
    <w:bookmarkEnd w:id="294"/>
    <w:p>
      <w:pPr>
        <w:jc w:val="right"/>
        <w:ind w:right="26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Underwriter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Optional</w:t>
            </w:r>
          </w:p>
        </w:tc>
        <w:tc>
          <w:tcPr>
            <w:tcW w:w="0" w:type="dxa"/>
            <w:vAlign w:val="bottom"/>
          </w:tcPr>
          <w:p>
            <w:pPr>
              <w:spacing w:after="0"/>
              <w:rPr>
                <w:sz w:val="1"/>
                <w:szCs w:val="1"/>
                <w:color w:val="auto"/>
              </w:rPr>
            </w:pPr>
          </w:p>
        </w:tc>
      </w:tr>
      <w:tr>
        <w:trPr>
          <w:trHeight w:val="148"/>
        </w:trPr>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to</w:t>
            </w:r>
          </w:p>
        </w:tc>
        <w:tc>
          <w:tcPr>
            <w:tcW w:w="0" w:type="dxa"/>
            <w:vAlign w:val="bottom"/>
          </w:tcPr>
          <w:p>
            <w:pPr>
              <w:spacing w:after="0"/>
              <w:rPr>
                <w:sz w:val="1"/>
                <w:szCs w:val="1"/>
                <w:color w:val="auto"/>
              </w:rPr>
            </w:pPr>
          </w:p>
        </w:tc>
      </w:tr>
      <w:tr>
        <w:trPr>
          <w:trHeight w:val="149"/>
        </w:trPr>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Firm</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if</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952"/>
        </w:trPr>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8720" w:space="720"/>
            <w:col w:w="1520"/>
          </w:cols>
          <w:pgMar w:left="440" w:top="261" w:right="499" w:bottom="1440" w:gutter="0" w:footer="0" w:header="0"/>
        </w:sectPr>
      </w:pPr>
    </w:p>
    <w:bookmarkStart w:id="295" w:name="page296"/>
    <w:bookmarkEnd w:id="295"/>
    <w:p>
      <w:pPr>
        <w:ind w:left="49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29" w:lineRule="exact"/>
        <w:rPr>
          <w:sz w:val="20"/>
          <w:szCs w:val="20"/>
          <w:color w:val="auto"/>
        </w:rPr>
      </w:pPr>
    </w:p>
    <w:p>
      <w:pPr>
        <w:ind w:left="5384" w:right="3959" w:hanging="5384"/>
        <w:spacing w:after="0" w:line="409" w:lineRule="auto"/>
        <w:tabs>
          <w:tab w:leader="none" w:pos="235"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Issuer Free Writing Prospectuses not included in the Pricing Disclosure Package: [●]</w:t>
      </w:r>
    </w:p>
    <w:p>
      <w:pPr>
        <w:spacing w:after="0" w:line="200" w:lineRule="exact"/>
        <w:rPr>
          <w:rFonts w:ascii="Times New Roman" w:cs="Times New Roman" w:eastAsia="Times New Roman" w:hAnsi="Times New Roman"/>
          <w:sz w:val="17"/>
          <w:szCs w:val="17"/>
          <w:color w:val="auto"/>
        </w:rPr>
      </w:pPr>
    </w:p>
    <w:p>
      <w:pPr>
        <w:spacing w:after="0" w:line="330"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Documents Incorporated by Reference: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 Information other than the Pricing Prospectus that comprise the Pricing Disclosure Package:</w:t>
      </w:r>
    </w:p>
    <w:p>
      <w:pPr>
        <w:spacing w:after="0" w:line="1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initial public offering price per share for the Shares is $[●].</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number of Firm Shares purchased by the Underwriters is [●].</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number of Optional Shares is [●].</w:t>
      </w:r>
    </w:p>
    <w:p>
      <w:pPr>
        <w:spacing w:after="0" w:line="207" w:lineRule="exact"/>
        <w:rPr>
          <w:sz w:val="20"/>
          <w:szCs w:val="20"/>
          <w:color w:val="auto"/>
        </w:rPr>
      </w:pPr>
    </w:p>
    <w:p>
      <w:pPr>
        <w:ind w:left="444" w:right="6499" w:hanging="444"/>
        <w:spacing w:after="0" w:line="407" w:lineRule="auto"/>
        <w:tabs>
          <w:tab w:leader="none" w:pos="2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Testing-the-Waters Communications: [●]</w:t>
      </w:r>
    </w:p>
    <w:p>
      <w:pPr>
        <w:sectPr>
          <w:pgSz w:w="11900" w:h="16838" w:orient="portrait"/>
          <w:cols w:equalWidth="0" w:num="1">
            <w:col w:w="10023"/>
          </w:cols>
          <w:pgMar w:left="436" w:top="266" w:right="1440"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I</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ectPr>
          <w:pgSz w:w="11900" w:h="16838" w:orient="portrait"/>
          <w:cols w:equalWidth="0" w:num="1">
            <w:col w:w="10020"/>
          </w:cols>
          <w:pgMar w:left="1440" w:top="266" w:right="439" w:bottom="1440" w:gutter="0" w:footer="0" w:header="0"/>
        </w:sectPr>
      </w:pPr>
    </w:p>
    <w:bookmarkStart w:id="297" w:name="page298"/>
    <w:bookmarkEnd w:id="29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PMV Pharmaceuticals,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-5080</wp:posOffset>
            </wp:positionV>
            <wp:extent cx="4572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in Schedule I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Cowen and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Evercore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East 52nd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10055</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PMV Pharmaceuticals, Inc. - 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you, as representatives (the “Representatives”), propose to enter into an underwriting agreement (the “Underwriting Agreement”) on behalf of the several Underwriters named in Schedule I to such agreement (collectively, the “Underwriters”), with PMV Pharmaceuticals, Inc., a Delaware corporation (the “Company”), providing for a public offering (the “Public Offering”) of shares (the “Shares”) of Common Stock of the Company (the “Common Stock”) pursuant to a Registration Statement on Form S-1 to be filed with the Securities and Exchange Commission (the “SEC”).</w:t>
      </w:r>
    </w:p>
    <w:p>
      <w:pPr>
        <w:spacing w:after="0" w:line="183" w:lineRule="exact"/>
        <w:rPr>
          <w:sz w:val="20"/>
          <w:szCs w:val="20"/>
          <w:color w:val="auto"/>
        </w:rPr>
      </w:pPr>
    </w:p>
    <w:p>
      <w:pPr>
        <w:ind w:right="300" w:firstLine="440"/>
        <w:spacing w:after="0" w:line="258" w:lineRule="auto"/>
        <w:rPr>
          <w:sz w:val="20"/>
          <w:szCs w:val="20"/>
          <w:color w:val="auto"/>
        </w:rPr>
      </w:pPr>
      <w:r>
        <w:rPr>
          <w:rFonts w:ascii="Times New Roman" w:cs="Times New Roman" w:eastAsia="Times New Roman" w:hAnsi="Times New Roman"/>
          <w:sz w:val="18"/>
          <w:szCs w:val="18"/>
          <w:color w:val="auto"/>
        </w:rPr>
        <w:t>In consideration of the agreement by the Underwriters to purchase, offer and sell the Shares, and of other good and valuable consideration the receipt and sufficiency of which is hereby acknowledged, the undersigned agrees that, during the period beginning from the date of this Lock-Up Agreement and continuing to and including the date 180 days after the date set forth on the final prospectus used to sell the Shares (the “Lock-Up Period”), the undersigned shall not, and shall not cause or direct any of its affiliates to, (i) offer, sell, contract to sell, pledge, grant any option to purchase, lend or otherwise dispose of any shares of Common Stock, or any options or</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440" w:top="266" w:right="519" w:bottom="1440" w:gutter="0" w:footer="0" w:header="0"/>
        </w:sectPr>
      </w:pPr>
    </w:p>
    <w:bookmarkStart w:id="298" w:name="page299"/>
    <w:bookmarkEnd w:id="298"/>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warrants to purchase any shares of Common Stock, or any securities convertible into, exchangeable for or that represent the right to receive shares of Common Stock (such options, warrants or other securities, collectively, “Derivative Instruments”), including without limitation any such shares or Derivative Instruments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would be expected to lead to or result in a sale, loan, pledge or other disposition (whether by the undersigned or someone other than the undersigned), or transfer of any of the economic consequences of ownership, in whole or in part, directly or indirectly, of any shares of Common Stock or Derivative Instruments, whether any such transaction or arrangement (or instrument provided for thereunder) would be settled by delivery of Common Stock or other securities, in cash or otherwise (any such sale, loan, pledge or other disposition, or transfer of economic consequences, a “Transfer”) or (iii) otherwise publicly announce any intention to engage in or cause any action or activity described in clause (i) above or transaction or arrangement described in clause (ii) above.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For the avoidance of doubt, the undersigned, if an officer or director of the Company, agrees that the foregoing provisions shall be equally applicable to any issuer-directed Shares the undersigned may purchase in the Public Offering.</w:t>
      </w:r>
    </w:p>
    <w:p>
      <w:pPr>
        <w:spacing w:after="0" w:line="19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the undersigned may transfer or otherwise dispose of the undersigned’s shares of Common Stock:</w:t>
      </w:r>
    </w:p>
    <w:p>
      <w:pPr>
        <w:spacing w:after="0" w:line="223" w:lineRule="exact"/>
        <w:rPr>
          <w:sz w:val="20"/>
          <w:szCs w:val="20"/>
          <w:color w:val="auto"/>
        </w:rPr>
      </w:pPr>
    </w:p>
    <w:p>
      <w:pPr>
        <w:ind w:right="480" w:firstLine="436"/>
        <w:spacing w:after="0" w:line="284" w:lineRule="auto"/>
        <w:tabs>
          <w:tab w:leader="none" w:pos="65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provided that the donee or donees thereof agree to be bound in writing by the restrictions set forth herein; and provided further that any such transfer shall not involve a disposition for value;</w:t>
      </w:r>
    </w:p>
    <w:p>
      <w:pPr>
        <w:spacing w:after="0" w:line="160" w:lineRule="exact"/>
        <w:rPr>
          <w:rFonts w:ascii="Times New Roman" w:cs="Times New Roman" w:eastAsia="Times New Roman" w:hAnsi="Times New Roman"/>
          <w:sz w:val="18"/>
          <w:szCs w:val="18"/>
          <w:color w:val="auto"/>
        </w:rPr>
      </w:pPr>
    </w:p>
    <w:p>
      <w:pPr>
        <w:ind w:right="160" w:firstLine="436"/>
        <w:spacing w:after="0" w:line="266" w:lineRule="auto"/>
        <w:tabs>
          <w:tab w:leader="none" w:pos="70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(as defined below) of the undersigned, provided that the trustee of the trust agrees to be bound in writing by the restrictions set forth herein, and provided further that any such transfer shall not involve a disposition for value and that no other public announcement shall be required in connection with such transfer;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299" w:name="page300"/>
    <w:bookmarkEnd w:id="299"/>
    <w:p>
      <w:pPr>
        <w:ind w:left="-20" w:right="160" w:firstLine="436"/>
        <w:spacing w:after="0" w:line="282" w:lineRule="auto"/>
        <w:tabs>
          <w:tab w:leader="none" w:pos="73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connection with the sale of the undersigned’s shares of Common Stock acquired in the Public Offering if the undersigned is not an officer or director of the Company or in open market transactions after the Public Offering;</w:t>
      </w:r>
    </w:p>
    <w:p>
      <w:pPr>
        <w:spacing w:after="0" w:line="161" w:lineRule="exact"/>
        <w:rPr>
          <w:rFonts w:ascii="Times New Roman" w:cs="Times New Roman" w:eastAsia="Times New Roman" w:hAnsi="Times New Roman"/>
          <w:sz w:val="18"/>
          <w:szCs w:val="18"/>
          <w:color w:val="auto"/>
        </w:rPr>
      </w:pPr>
    </w:p>
    <w:p>
      <w:pPr>
        <w:ind w:left="-20" w:firstLine="436"/>
        <w:spacing w:after="0" w:line="254" w:lineRule="auto"/>
        <w:tabs>
          <w:tab w:leader="none" w:pos="72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of the undersigned, or to any investment fund or other entity controlled or managed by or under common control with the undersigned or affiliates of the undersigned, or (B) as part of a distribution, transfer or disposition without consideration by the undersigned to its stockholders, partners, members, beneficiaries or other equity holders; provided, however, that in the case of any transfer or disposition contemplated by clauses (A) or (B) above, it shall be a condition to the transfer or disposition that the transferee execute an agreement stating that the transferee is receiving and holding such securities subject to the restrictions on transfer set forth herein and there shall be no further transfer of such securities except in accordance with this Lock-Up Agreement; and provided further that any such transfer shall not involve a disposition for value;</w:t>
      </w:r>
    </w:p>
    <w:p>
      <w:pPr>
        <w:spacing w:after="0" w:line="191" w:lineRule="exact"/>
        <w:rPr>
          <w:rFonts w:ascii="Times New Roman" w:cs="Times New Roman" w:eastAsia="Times New Roman" w:hAnsi="Times New Roman"/>
          <w:sz w:val="18"/>
          <w:szCs w:val="18"/>
          <w:color w:val="auto"/>
        </w:rPr>
      </w:pPr>
    </w:p>
    <w:p>
      <w:pPr>
        <w:ind w:left="-20" w:right="240" w:firstLine="436"/>
        <w:spacing w:after="0" w:line="255" w:lineRule="auto"/>
        <w:tabs>
          <w:tab w:leader="none" w:pos="67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exercise or settlement of options, warrants or other rights to acquire shares of Common Stock or any security convertible into or exercisable for shares of Common Stock in accordance with their terms pursuant to an employee benefit plan, option, warrant or other right disclosed in the final prospectus for the Public Offering, provided that any such shares issued upon exercise of such option, warrant or other right shall be subject to the restrictions on transfer set forth herein; provided further that any filing under Section 16 of the Securities Exchange Act of 1934, as amended (the “Exchange Act”), reporting a reduction in beneficial ownership shall indicate in the footnotes thereto that the filing relates to the applicable circumstances described in this clause, and no other public announcement shall be required in connection with such transfer;</w:t>
      </w:r>
    </w:p>
    <w:p>
      <w:pPr>
        <w:spacing w:after="0" w:line="188" w:lineRule="exact"/>
        <w:rPr>
          <w:rFonts w:ascii="Times New Roman" w:cs="Times New Roman" w:eastAsia="Times New Roman" w:hAnsi="Times New Roman"/>
          <w:sz w:val="18"/>
          <w:szCs w:val="18"/>
          <w:color w:val="auto"/>
        </w:rPr>
      </w:pPr>
    </w:p>
    <w:p>
      <w:pPr>
        <w:ind w:left="-20" w:right="100" w:firstLine="436"/>
        <w:spacing w:after="0" w:line="282" w:lineRule="auto"/>
        <w:tabs>
          <w:tab w:leader="none" w:pos="72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intestacy, provided that the legatee, heir or other transferee, as the case may be, agrees to be bound in writing by the restrictions on transfer set forth herein;</w:t>
      </w:r>
    </w:p>
    <w:p>
      <w:pPr>
        <w:spacing w:after="0" w:line="161" w:lineRule="exact"/>
        <w:rPr>
          <w:rFonts w:ascii="Times New Roman" w:cs="Times New Roman" w:eastAsia="Times New Roman" w:hAnsi="Times New Roman"/>
          <w:sz w:val="18"/>
          <w:szCs w:val="18"/>
          <w:color w:val="auto"/>
        </w:rPr>
      </w:pPr>
    </w:p>
    <w:p>
      <w:pPr>
        <w:ind w:left="-20" w:right="60" w:firstLine="436"/>
        <w:spacing w:after="0" w:line="282" w:lineRule="auto"/>
        <w:tabs>
          <w:tab w:leader="none" w:pos="77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immediate family (as defined below) member, provided that such family member agrees to be bound by the restrictions on transfer set forth herein; and provided further that any such transfer shall not involve a disposition for value;</w:t>
      </w:r>
    </w:p>
    <w:p>
      <w:pPr>
        <w:spacing w:after="0" w:line="161" w:lineRule="exact"/>
        <w:rPr>
          <w:rFonts w:ascii="Times New Roman" w:cs="Times New Roman" w:eastAsia="Times New Roman" w:hAnsi="Times New Roman"/>
          <w:sz w:val="18"/>
          <w:szCs w:val="18"/>
          <w:color w:val="auto"/>
        </w:rPr>
      </w:pPr>
    </w:p>
    <w:p>
      <w:pPr>
        <w:ind w:left="-20" w:right="140" w:firstLine="436"/>
        <w:spacing w:after="0" w:line="261" w:lineRule="auto"/>
        <w:tabs>
          <w:tab w:leader="none" w:pos="82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court order or a settlement agreement related to the distribution of assets in connection with the dissolution of a marriage or civil union, provided that such transferee agrees to be bound by the restrictions on transfer set forth herein and provided further that any required filing under Section 16 of the Exchange Act shall indicate in the footnotes thereto that the filing relates to the circumstances described in this clause and no other public announcement shall be required or shall be made voluntarily in connection with such transfer or disposition;</w:t>
      </w:r>
    </w:p>
    <w:p>
      <w:pPr>
        <w:spacing w:after="0" w:line="179" w:lineRule="exact"/>
        <w:rPr>
          <w:rFonts w:ascii="Times New Roman" w:cs="Times New Roman" w:eastAsia="Times New Roman" w:hAnsi="Times New Roman"/>
          <w:sz w:val="18"/>
          <w:szCs w:val="18"/>
          <w:color w:val="auto"/>
        </w:rPr>
      </w:pPr>
    </w:p>
    <w:p>
      <w:pPr>
        <w:ind w:left="-20" w:right="160" w:firstLine="436"/>
        <w:spacing w:after="0" w:line="282" w:lineRule="auto"/>
        <w:tabs>
          <w:tab w:leader="none" w:pos="72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pursuant to agreements under which the Company has (A) the option to repurchase such shares or (B) a right of first refusal with respect to transfers of such shares upon termination of service of the undersigned;</w:t>
      </w:r>
    </w:p>
    <w:p>
      <w:pPr>
        <w:spacing w:after="0" w:line="161" w:lineRule="exact"/>
        <w:rPr>
          <w:rFonts w:ascii="Times New Roman" w:cs="Times New Roman" w:eastAsia="Times New Roman" w:hAnsi="Times New Roman"/>
          <w:sz w:val="18"/>
          <w:szCs w:val="18"/>
          <w:color w:val="auto"/>
        </w:rPr>
      </w:pPr>
    </w:p>
    <w:p>
      <w:pPr>
        <w:ind w:left="-20" w:right="40" w:firstLine="436"/>
        <w:spacing w:after="0" w:line="261" w:lineRule="auto"/>
        <w:tabs>
          <w:tab w:leader="none" w:pos="67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outstanding shares of the Company’s preferred stock into Common Stock as described in the Registration Statement relating to the Public Offering, provided that any Common Stock received upon such conversion will be subject to the restrictions set forth herein; provided that any required filing under Section 16 of the Exchange Act shall indicate in the footnotes thereto that the filing relates to the circumstances described in this clause;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70" w:right="459" w:bottom="1440" w:gutter="0" w:footer="0" w:header="0"/>
        </w:sectPr>
      </w:pPr>
    </w:p>
    <w:bookmarkStart w:id="300" w:name="page301"/>
    <w:bookmarkEnd w:id="30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(xi) with the prior written consent of the Representatives on behalf of the Underwriters.</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with respect to clauses (i), (ii), (iii), (iv), (vii) and (ix) above, it shall be a condition to such transfer that no filing under the Exchange Act (including, without limitation, Section 16(a) thereof) nor any other public filing or disclosure of such transfer by or on behalf of the undersigned, reporting a reduction in beneficial ownership, shall be required or made until after the expiration of the Lock-Up Period; provided that any required Schedule 13G (or 13G/A) or 13F (or 13F/A) filing may be made, provided that such filing clearly indicates in the footnotes thereto an explanation of the type of transaction giving rise to the change in ownership.</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Lock-Up Agreement, “immediate family” shall mean any relationship by blood, marriage or adoption, not more remote than first cousin.</w:t>
      </w:r>
    </w:p>
    <w:p>
      <w:pPr>
        <w:spacing w:after="0" w:line="162"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In addition, nothing herein shall prevent the undersigned from establishing a 10b5-1 trading plan that complies with Rule 10b5-1 under the Exchange Act for the transfer of the undersigned’s shares of Common Stock, provided that such plan does not provide for any transfers of Common Stock during the Lock-Up Period and no filing under the Exchange Act nor any other public filing or disclosure of such trading plan shall be made during the Lock-Up Period;</w:t>
      </w:r>
    </w:p>
    <w:p>
      <w:pPr>
        <w:spacing w:after="0" w:line="178"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Furthermore, this Lock-Up Agreement shall not restrict any sale, disposal or transfer of the undersigned’s shares of Common Stock to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third party pursuant to a tender offer for securities of the Company or any merger, consolidation or other business combination involving a Change of Control (as defined below) of the Company occurring after the settlement of the Public Offering, that, in each case, has been approved by the board of directors of the Company; provided that all of the undersigned’s shares of Common Stock subject to this Lock-Up Agreement that are not so transferred, sold, tendered or otherwise disposed of remain subject to this Lock-Up Agreement; and provided, further, that it shall be a condition of transfer, sale, tender or other disposition that if such tender offer or other transaction is not completed, any of the undersigned’s shares of Common Stock subject to this Lock-Up Agreement shall remain subject to the restrictions on transfer set forth herein. For the purposes of this paragraph, “Change of Control” means the consummation of any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third party tender offer, merger, consolidation or other similar transaction, the result of which is that any “person” (as defined in Rule 13d-3 of the Exchange Act), or group of persons, other than the Company or its subsidiaries, becomes the beneficial owner (as defined in Rule 13d-3 and 13d-5 of the Exchange Act) of a majority of the total voting power of the voting share capital of the Company.</w:t>
      </w:r>
    </w:p>
    <w:p>
      <w:pPr>
        <w:spacing w:after="0" w:line="17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undersigned now has, and, except as contemplated above, for the duration of this Lock-Up Agreement will have, good and marketable title to the undersigned’s shares of Common Stock, free and clear of all liens, encumbrances, and claims whatsoever. The undersigned also agrees and consents to the entry of stop transfer instructions with the Company’s transfer agent and registrar against the transfer of the undersigned’s shares of Common Stock except in compliance with the foregoing restrictions. During the Lock-Up Period, the undersigned hereby waives any and all notice requirements and rights with respect to the registration of securities pursuant to any agreement, understanding or anything otherwise setting forth the terms of any security of the Company held by the undersigned, including any registration rights agreement or investors’ rights agreement to which the undersigned and the Company may be party.</w:t>
      </w:r>
    </w:p>
    <w:p>
      <w:pPr>
        <w:spacing w:after="0" w:line="189"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301" w:name="page302"/>
    <w:bookmarkEnd w:id="301"/>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76"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If the Representatives release any officer, director or beneficial owner of 1% or more of the outstanding shares of Common Stock as of the date of the Underwriting Agreement (calculated assuming conversion of all outstanding shares of the Company’s preferred stock), other than the undersigned, from the restrictions described herein during the Lock-Up Period, then the undersigned shall also be granted an early release from its obligations hereunder with respect to a pro rata portion of the securities of the undersigned that are subject to this Lock-Up Agreement, based on all other similarly restricted securities of the Company and on the maximum percentage of shares held by any such beneficial holder being released from such holder’s lock-up agreement (the “Pro-rata Release”); provided, however, that no Pro-rata Release of the undersigned’s securities will occur unless the Representatives have waived such prohibitions with respect to Common Stock, or any securities convertible into or exercisable for Common Stock, valued at $1,000,000 or more in the aggregate, in one or a series of similar transactions (based on the closing or last reported sale price of the Common Stock on the date such waiver becomes effective). The Pro-rata Release shall not be applied in the case of (A) an early release of any executive officer, director or other individual from the restrictions described herein due to circumstances of an emergency or hardship, as determined by the Representatives in their sole judgment, (B) a release effective solely to permit a transfer not involving a disposition for value if the transferee agrees in writing to be bound by the same terms described in this Lock-Up Agreement or (C) any secondary underwritten public offering of shares of Common Stock (including a secondary underwritten public offering with a primary component); provided that, if the undersigned has a contractual right to demand or require the registration of the undersigned’s shares or otherwise “piggyback” on a registration statement filed by the Company for the offer and sale of Common Stock, the undersigned is offered the opportunity to participate in such underwritten sale on a basis consistent with such contractual rights. The Representatives shall use commercially reasonable efforts to promptly notify the Company upon the occurrence of a release of a stockholder of its obligations under any lock-up agreement executed in connection with the Public Offering that gives rise to a corresponding release of the undersigned from its obligations hereunder pursuant to the terms of this paragraph, provided that the failure to give such notice shall not give rise to any claim or liability against the Underwriters. The undersigned further acknowledges that the Representatives are under no obligation to inquire into whether, or to ensure that, the Company notifies the undersigned of the delivery by the Representatives of any such notice, which is a matter between the undersigned and the Company. For purposes of determining beneficial ownership of a stockholder, all shares of securities held by investment funds affiliated with such stockholder shall be aggregated.</w:t>
      </w:r>
    </w:p>
    <w:p>
      <w:pPr>
        <w:spacing w:after="0" w:line="206" w:lineRule="exact"/>
        <w:rPr>
          <w:sz w:val="20"/>
          <w:szCs w:val="20"/>
          <w:color w:val="auto"/>
        </w:rPr>
      </w:pPr>
    </w:p>
    <w:p>
      <w:pPr>
        <w:ind w:right="400" w:firstLine="440"/>
        <w:spacing w:after="0" w:line="277" w:lineRule="auto"/>
        <w:rPr>
          <w:sz w:val="20"/>
          <w:szCs w:val="20"/>
          <w:color w:val="auto"/>
        </w:rPr>
      </w:pPr>
      <w:r>
        <w:rPr>
          <w:rFonts w:ascii="Times New Roman" w:cs="Times New Roman" w:eastAsia="Times New Roman" w:hAnsi="Times New Roman"/>
          <w:sz w:val="17"/>
          <w:szCs w:val="17"/>
          <w:color w:val="auto"/>
        </w:rPr>
        <w:t>This Lock-Up Agreement (and for the avoidance of doubt, the Lock-Up Period described herein) and related restrictions shall automatically terminate upon the earliest to occur, if any, of (i) the Company advising the Representatives in writing prior to the execution of the Underwriting Agreement that it has determined not to proceed with the Public Offering, (ii) the termination of the Underwriting Agreement before the sale of any Shares to the Underwriters, (iii) the registration statement filed with the SEC with respect to the Public Offering contemplated by the Underwriting Agreement is withdrawn or (iv) December 31, 2020, in the event the closing of the Public Offering shall not have occurred on or before such date.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302" w:name="page303"/>
    <w:bookmarkEnd w:id="302"/>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8" w:right="1440"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019"/>
          </w:cols>
          <w:pgMar w:left="1440" w:top="268" w:right="1440" w:bottom="1440" w:gutter="0" w:footer="0" w:header="0"/>
          <w:type w:val="continuous"/>
        </w:sectPr>
      </w:pPr>
    </w:p>
    <w:bookmarkStart w:id="303" w:name="page304"/>
    <w:bookmarkEnd w:id="303"/>
    <w:tbl>
      <w:tblPr>
        <w:tblLayout w:type="fixed"/>
        <w:tblInd w:w="0" w:type="dxa"/>
        <w:tblCellMar>
          <w:top w:w="0" w:type="dxa"/>
          <w:left w:w="0" w:type="dxa"/>
          <w:bottom w:w="0" w:type="dxa"/>
          <w:right w:w="0" w:type="dxa"/>
        </w:tblCellMar>
      </w:tblP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1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59"/>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IF AN INDIVIDUAL:</w:t>
            </w: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IF AN ENTITY:</w:t>
            </w:r>
          </w:p>
        </w:tc>
      </w:tr>
      <w:tr>
        <w:trPr>
          <w:trHeight w:val="4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30"/>
        </w:trPr>
        <w:tc>
          <w:tcPr>
            <w:tcW w:w="640" w:type="dxa"/>
            <w:vAlign w:val="bottom"/>
          </w:tcPr>
          <w:p>
            <w:pPr>
              <w:spacing w:after="0"/>
              <w:rPr>
                <w:sz w:val="19"/>
                <w:szCs w:val="19"/>
                <w:color w:val="auto"/>
              </w:rPr>
            </w:pPr>
          </w:p>
        </w:tc>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(duly authorized signature)</w:t>
            </w:r>
          </w:p>
        </w:tc>
        <w:tc>
          <w:tcPr>
            <w:tcW w:w="17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5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(please print complete name of entity)</w:t>
            </w:r>
          </w:p>
        </w:tc>
      </w:tr>
      <w:tr>
        <w:trPr>
          <w:trHeight w:val="425"/>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0"/>
        </w:trPr>
        <w:tc>
          <w:tcPr>
            <w:tcW w:w="640" w:type="dxa"/>
            <w:vAlign w:val="bottom"/>
          </w:tcPr>
          <w:p>
            <w:pPr>
              <w:spacing w:after="0"/>
              <w:rPr>
                <w:sz w:val="19"/>
                <w:szCs w:val="19"/>
                <w:color w:val="auto"/>
              </w:rPr>
            </w:pPr>
          </w:p>
        </w:tc>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(please print full name)</w:t>
            </w:r>
          </w:p>
        </w:tc>
        <w:tc>
          <w:tcPr>
            <w:tcW w:w="17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(duly authorized signature)</w:t>
            </w:r>
          </w:p>
        </w:tc>
      </w:tr>
      <w:tr>
        <w:trPr>
          <w:trHeight w:val="425"/>
        </w:trPr>
        <w:tc>
          <w:tcPr>
            <w:tcW w:w="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230"/>
        </w:trPr>
        <w:tc>
          <w:tcPr>
            <w:tcW w:w="6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(please print full name)</w:t>
            </w:r>
          </w:p>
        </w:tc>
      </w:tr>
      <w:tr>
        <w:trPr>
          <w:trHeight w:val="425"/>
        </w:trPr>
        <w:tc>
          <w:tcPr>
            <w:tcW w:w="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30"/>
        </w:trPr>
        <w:tc>
          <w:tcPr>
            <w:tcW w:w="6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(please print full title)</w:t>
            </w:r>
          </w:p>
        </w:tc>
      </w:tr>
      <w:tr>
        <w:trPr>
          <w:trHeight w:val="358"/>
        </w:trPr>
        <w:tc>
          <w:tcPr>
            <w:tcW w:w="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64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Lock-Up Agreement Signature Page</w:t>
            </w:r>
            <w:r>
              <w:rPr>
                <w:rFonts w:ascii="Times New Roman" w:cs="Times New Roman" w:eastAsia="Times New Roman" w:hAnsi="Times New Roman"/>
                <w:sz w:val="18"/>
                <w:szCs w:val="18"/>
                <w:color w:val="auto"/>
              </w:rPr>
              <w:t>]</w:t>
            </w:r>
          </w:p>
        </w:tc>
      </w:tr>
    </w:tbl>
    <w:p>
      <w:pPr>
        <w:ind w:left="76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PMV Pharmaceuticals, Inc. (the “Company”) announced today that Goldman Sachs &amp; Co. LLC, BofA Securities, Inc., Cowen and Company, LLC and</w:t>
      </w:r>
    </w:p>
    <w:p>
      <w:pPr>
        <w:spacing w:after="0" w:line="27"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Evercore Group L.L.C., the lead book-running managers in the Company’s recent public sale of shares of common stock, is [waiving] [releasing] a lock-up restriction with respect to shares of the Company’s common stock held by [certain officers or directors] [an officer or director] of the Company. The [waiver] [release] will take effect on 20 , and the shares may be sold on or after such date.</w:t>
      </w:r>
    </w:p>
    <w:p>
      <w:pPr>
        <w:spacing w:after="0" w:line="182"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020"/>
          </w:cols>
          <w:pgMar w:left="440" w:top="266" w:right="43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PMV Pharmaceuticals, Inc., a corporation organized and existing under the laws of the State of Delaware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hereby certifies as follows:</w:t>
      </w:r>
    </w:p>
    <w:p>
      <w:pPr>
        <w:spacing w:after="0" w:line="159" w:lineRule="exact"/>
        <w:rPr>
          <w:sz w:val="20"/>
          <w:szCs w:val="20"/>
          <w:color w:val="auto"/>
        </w:rPr>
      </w:pPr>
    </w:p>
    <w:p>
      <w:pPr>
        <w:ind w:right="140" w:firstLine="436"/>
        <w:spacing w:after="0" w:line="258" w:lineRule="auto"/>
        <w:tabs>
          <w:tab w:leader="none" w:pos="6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PMV Pharmaceuticals, Inc. The Corporation was originally incorporated under the name “PJ Pharmaceuticals, Inc.” The original Certificate of Incorporation of the Corporation was filed with the Secretary of State of the State of Delaware on March 19, 2013, an Amendment to the Amended and Restated Certificate of Incorporation was filed with the Secretary of State of the State of Delaware on each of December 10, 2013, May 30, 2014, and October 24, 2014, and an Amended and Restated Certificate of Incorporation was filed with the Secretary of State of the State of Delaware on each of July 26, 2013, November 25, 2014, February 17, 2017, and November 8, 2019.</w:t>
      </w:r>
    </w:p>
    <w:p>
      <w:pPr>
        <w:spacing w:after="0" w:line="183"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was duly adopted in accordance with Sections 242 and 245 of the General Corporation Law of the State of Delaware, and has been duly approved by the written consent of the stockholders of the Corporation in accordance with Section 228 of the General Corporation Law of the State of Delaware.</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Certificate of Incorporation is amended and restated to read as set forth in EXHIBIT A attached hereto.</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Amended and Restated Certificate of Incorporation to be signed by David H. Mack, a duly authorized officer of the Corporation, effective as of July 16, 2020.</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David H. Mack</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1020"/>
          </w:cols>
          <w:pgMar w:left="440" w:top="117" w:right="439" w:bottom="1440" w:gutter="0" w:footer="0" w:header="0"/>
        </w:sectPr>
      </w:pPr>
    </w:p>
    <w:bookmarkStart w:id="306" w:name="page307"/>
    <w:bookmarkEnd w:id="30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PMV Pharmaceuticals, Inc.</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purpose of this corporation is to engage in any lawful act or activity for which corporations may be organized under the General Corporation Law of Delaware.</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City of Wilmington, County of New Castle, DE 19808. The name of the registered agent at such address is Corporation Service Company.</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Corporation is authorized to issue 350,217,456 shares of capital stock in the aggregate. The capital stock of this Corporation shall be divided into two classes, designated “Common Stock” and “Preferred Stock.” The number of shares of Common Stock the Corporation is authorized to issue is 201,747,258, $0.00001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number of shares of Preferred Stock the Corporation is authorized to issue is 148,470,198, $0.00001 par value per share, 8,729,029 of which shall be designated as Series Seed Preferred Stock (“</w:t>
      </w:r>
      <w:r>
        <w:rPr>
          <w:rFonts w:ascii="Times New Roman" w:cs="Times New Roman" w:eastAsia="Times New Roman" w:hAnsi="Times New Roman"/>
          <w:sz w:val="18"/>
          <w:szCs w:val="18"/>
          <w:b w:val="1"/>
          <w:bCs w:val="1"/>
          <w:i w:val="1"/>
          <w:iCs w:val="1"/>
          <w:color w:val="auto"/>
        </w:rPr>
        <w:t>Series Seed Preferred Stock</w:t>
      </w:r>
      <w:r>
        <w:rPr>
          <w:rFonts w:ascii="Times New Roman" w:cs="Times New Roman" w:eastAsia="Times New Roman" w:hAnsi="Times New Roman"/>
          <w:sz w:val="18"/>
          <w:szCs w:val="18"/>
          <w:color w:val="auto"/>
        </w:rPr>
        <w:t>”), 42,526,138 of which shall be designated as Series A Preferred Stock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40,396,799 of which shall be designated as Series B Preferred Stock (“</w:t>
      </w:r>
      <w:r>
        <w:rPr>
          <w:rFonts w:ascii="Times New Roman" w:cs="Times New Roman" w:eastAsia="Times New Roman" w:hAnsi="Times New Roman"/>
          <w:sz w:val="18"/>
          <w:szCs w:val="18"/>
          <w:b w:val="1"/>
          <w:bCs w:val="1"/>
          <w:i w:val="1"/>
          <w:iCs w:val="1"/>
          <w:color w:val="auto"/>
        </w:rPr>
        <w:t>Series B Preferred Stock</w:t>
      </w:r>
      <w:r>
        <w:rPr>
          <w:rFonts w:ascii="Times New Roman" w:cs="Times New Roman" w:eastAsia="Times New Roman" w:hAnsi="Times New Roman"/>
          <w:sz w:val="18"/>
          <w:szCs w:val="18"/>
          <w:color w:val="auto"/>
        </w:rPr>
        <w:t>”), 28,798,050 of which shall be designated as Series C Preferred Stock (“</w:t>
      </w:r>
      <w:r>
        <w:rPr>
          <w:rFonts w:ascii="Times New Roman" w:cs="Times New Roman" w:eastAsia="Times New Roman" w:hAnsi="Times New Roman"/>
          <w:sz w:val="18"/>
          <w:szCs w:val="18"/>
          <w:b w:val="1"/>
          <w:bCs w:val="1"/>
          <w:i w:val="1"/>
          <w:iCs w:val="1"/>
          <w:color w:val="auto"/>
        </w:rPr>
        <w:t>Series C Preferred Stock</w:t>
      </w:r>
      <w:r>
        <w:rPr>
          <w:rFonts w:ascii="Times New Roman" w:cs="Times New Roman" w:eastAsia="Times New Roman" w:hAnsi="Times New Roman"/>
          <w:sz w:val="18"/>
          <w:szCs w:val="18"/>
          <w:color w:val="auto"/>
        </w:rPr>
        <w:t>”), and 28,020,182 of which shall be designated as Series D Preferred Stock (“</w:t>
      </w:r>
      <w:r>
        <w:rPr>
          <w:rFonts w:ascii="Times New Roman" w:cs="Times New Roman" w:eastAsia="Times New Roman" w:hAnsi="Times New Roman"/>
          <w:sz w:val="18"/>
          <w:szCs w:val="18"/>
          <w:b w:val="1"/>
          <w:bCs w:val="1"/>
          <w:i w:val="1"/>
          <w:iCs w:val="1"/>
          <w:color w:val="auto"/>
        </w:rPr>
        <w:t>Series D Preferred Stock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terms and provisions of the Common Stock and Preferred Stock are as follows:</w:t>
      </w:r>
    </w:p>
    <w:p>
      <w:pPr>
        <w:spacing w:after="0" w:line="221" w:lineRule="exact"/>
        <w:rPr>
          <w:sz w:val="20"/>
          <w:szCs w:val="20"/>
          <w:color w:val="auto"/>
        </w:rPr>
      </w:pPr>
    </w:p>
    <w:p>
      <w:pPr>
        <w:ind w:left="620" w:hanging="184"/>
        <w:spacing w:after="0"/>
        <w:tabs>
          <w:tab w:leader="none" w:pos="6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For purposes of this ARTICLE V, the following definitions shall apply:</w:t>
      </w:r>
    </w:p>
    <w:p>
      <w:pPr>
        <w:spacing w:after="0" w:line="225" w:lineRule="exact"/>
        <w:rPr>
          <w:rFonts w:ascii="Times New Roman" w:cs="Times New Roman" w:eastAsia="Times New Roman" w:hAnsi="Times New Roman"/>
          <w:sz w:val="18"/>
          <w:szCs w:val="18"/>
          <w:color w:val="auto"/>
        </w:rPr>
      </w:pPr>
    </w:p>
    <w:p>
      <w:pPr>
        <w:jc w:val="both"/>
        <w:ind w:right="220" w:firstLine="987"/>
        <w:spacing w:after="0" w:line="268" w:lineRule="auto"/>
        <w:tabs>
          <w:tab w:leader="none" w:pos="123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shall mean $0.3517 per share for the Series Seed Preferred Stock, $0.7078 per share for the Series A Preferred Stock, $1.8251 per share for the Series B Preferred Stock, $2.1485 per share for the Series C Preferred Stock, and $2.4982 per share for the Series D Preferred Stock (in each case subject to adjustment from time to time for Recapitalizations and as otherwise set forth elsewhere herein).</w:t>
      </w:r>
    </w:p>
    <w:p>
      <w:pPr>
        <w:spacing w:after="0" w:line="17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shall mean any evidences of indebtedness, shares or other securities convertible into or exchangeable for</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0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shall mean PMV Pharmaceuticals, Inc.</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66" w:right="559" w:bottom="1440" w:gutter="0" w:footer="0" w:header="0"/>
        </w:sectPr>
      </w:pPr>
    </w:p>
    <w:bookmarkStart w:id="307" w:name="page308"/>
    <w:bookmarkEnd w:id="307"/>
    <w:p>
      <w:pPr>
        <w:ind w:left="4" w:right="100" w:firstLine="987"/>
        <w:spacing w:after="0" w:line="256" w:lineRule="auto"/>
        <w:tabs>
          <w:tab w:leader="none" w:pos="125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shall mean the transfer of cash or other property without consideration whether by way of dividend or otherwise, other than dividends on Common Stock payable in Common Stock, or the purchase or redemption of shares of the Corporation by the Corporation or its subsidiaries for cash or property other than: (i) repurchases of Common Stock issued to or held by employees, officers, directors or consultants of the Corporation or its subsidiaries upon termination of their employment or services pursuant to agreements providing for the right of said repurchase,</w:t>
      </w:r>
    </w:p>
    <w:p>
      <w:pPr>
        <w:spacing w:after="0" w:line="3" w:lineRule="exact"/>
        <w:rPr>
          <w:rFonts w:ascii="Times New Roman" w:cs="Times New Roman" w:eastAsia="Times New Roman" w:hAnsi="Times New Roman"/>
          <w:sz w:val="18"/>
          <w:szCs w:val="18"/>
          <w:color w:val="auto"/>
        </w:rPr>
      </w:pPr>
    </w:p>
    <w:p>
      <w:pPr>
        <w:ind w:left="4" w:right="120" w:hanging="4"/>
        <w:spacing w:after="0" w:line="253" w:lineRule="auto"/>
        <w:tabs>
          <w:tab w:leader="none" w:pos="26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Common Stock issued to or held by employees, officers, directors or consultants of the Corporation or its subsidiaries pursuant to rights of first refusal contained in agreements providing for such right, (iii) repurchase of capital stock of the Corporation in connection with the settlement of disputes with any stockholder, and (iv) any other repurchase or redemption of capital stock of the Corporation approved by the holders of Common Stock, voting as a separate class, and the Preferred Majority.</w:t>
      </w:r>
    </w:p>
    <w:p>
      <w:pPr>
        <w:spacing w:after="0" w:line="184" w:lineRule="exact"/>
        <w:rPr>
          <w:rFonts w:ascii="Times New Roman" w:cs="Times New Roman" w:eastAsia="Times New Roman" w:hAnsi="Times New Roman"/>
          <w:sz w:val="18"/>
          <w:szCs w:val="18"/>
          <w:color w:val="auto"/>
        </w:rPr>
      </w:pPr>
    </w:p>
    <w:p>
      <w:pPr>
        <w:ind w:left="4" w:right="20" w:firstLine="987"/>
        <w:spacing w:after="0" w:line="262" w:lineRule="auto"/>
        <w:tabs>
          <w:tab w:leader="none" w:pos="124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Rate</w:t>
      </w:r>
      <w:r>
        <w:rPr>
          <w:rFonts w:ascii="Times New Roman" w:cs="Times New Roman" w:eastAsia="Times New Roman" w:hAnsi="Times New Roman"/>
          <w:sz w:val="18"/>
          <w:szCs w:val="18"/>
          <w:color w:val="auto"/>
        </w:rPr>
        <w:t>” shall mean an annual rate of $0.028136 per share for the Series Seed Preferred Stock, an annual rate of $0.056624 per share for the Series A Preferred Stock an annual rate of $0.146008 per share for the Series B Preferred Stock, an annual rate of $0.171880 per share for the Series C Preferred Stock and an annual rate of $0.199856 per share for the Series D Preferred Stock (in each case subject to adjustment from time to time for Recapitalizations as set forth elsewhere herein).</w:t>
      </w:r>
    </w:p>
    <w:p>
      <w:pPr>
        <w:spacing w:after="0" w:line="176"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shall have the meaning given to such term in the Purchase Agreement.</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shall mean rights, options or warrants to subscribe for, purchase or otherwise acquire Common Stock or Convertible</w:t>
      </w:r>
    </w:p>
    <w:p>
      <w:pPr>
        <w:spacing w:after="0" w:line="3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2" w:lineRule="exact"/>
        <w:rPr>
          <w:rFonts w:ascii="Times New Roman" w:cs="Times New Roman" w:eastAsia="Times New Roman" w:hAnsi="Times New Roman"/>
          <w:sz w:val="18"/>
          <w:szCs w:val="18"/>
          <w:color w:val="auto"/>
        </w:rPr>
      </w:pPr>
    </w:p>
    <w:p>
      <w:pPr>
        <w:ind w:left="4" w:right="100" w:firstLine="987"/>
        <w:spacing w:after="0" w:line="268" w:lineRule="auto"/>
        <w:tabs>
          <w:tab w:leader="none" w:pos="125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Issue Price</w:t>
      </w:r>
      <w:r>
        <w:rPr>
          <w:rFonts w:ascii="Times New Roman" w:cs="Times New Roman" w:eastAsia="Times New Roman" w:hAnsi="Times New Roman"/>
          <w:sz w:val="18"/>
          <w:szCs w:val="18"/>
          <w:color w:val="auto"/>
        </w:rPr>
        <w:t>” shall mean $0.3517 per share for the Series Seed Preferred Stock, $0.7078 per share for the Series A Preferred Stock, $1.8251 per share for the Series B Preferred Stock, $2.1485 per share for the Series C Preferred Stock, and $2.4982 per share for the Series D Preferred Stock (in each case subject to adjustment from time to time for Recapitalizations as set forth elsewhere herein).</w:t>
      </w:r>
    </w:p>
    <w:p>
      <w:pPr>
        <w:spacing w:after="0" w:line="170" w:lineRule="exact"/>
        <w:rPr>
          <w:rFonts w:ascii="Times New Roman" w:cs="Times New Roman" w:eastAsia="Times New Roman" w:hAnsi="Times New Roman"/>
          <w:sz w:val="18"/>
          <w:szCs w:val="18"/>
          <w:color w:val="auto"/>
        </w:rPr>
      </w:pPr>
    </w:p>
    <w:p>
      <w:pPr>
        <w:ind w:left="4" w:right="340" w:firstLine="987"/>
        <w:spacing w:after="0" w:line="286" w:lineRule="auto"/>
        <w:tabs>
          <w:tab w:leader="none" w:pos="121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Preferred Majority</w:t>
      </w:r>
      <w:r>
        <w:rPr>
          <w:rFonts w:ascii="Times New Roman" w:cs="Times New Roman" w:eastAsia="Times New Roman" w:hAnsi="Times New Roman"/>
          <w:sz w:val="18"/>
          <w:szCs w:val="18"/>
          <w:color w:val="auto"/>
        </w:rPr>
        <w:t>” shall mean the holders in the aggregate of at least two-thirds (2/3) of the then outstanding shares of Preferred Stock, voting together as a single class on an as-converted to Common Stock basis.</w:t>
      </w:r>
    </w:p>
    <w:p>
      <w:pPr>
        <w:spacing w:after="0" w:line="154" w:lineRule="exact"/>
        <w:rPr>
          <w:rFonts w:ascii="Times New Roman" w:cs="Times New Roman" w:eastAsia="Times New Roman" w:hAnsi="Times New Roman"/>
          <w:sz w:val="18"/>
          <w:szCs w:val="18"/>
          <w:color w:val="auto"/>
        </w:rPr>
      </w:pPr>
    </w:p>
    <w:p>
      <w:pPr>
        <w:ind w:left="4" w:right="100" w:firstLine="987"/>
        <w:spacing w:after="0" w:line="286" w:lineRule="auto"/>
        <w:tabs>
          <w:tab w:leader="none" w:pos="121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shall mean the Series Seed Preferred Stock, the Series A Preferred Stock, the Series B Preferred Stock, the Series C Preferred Stock and the Series D Preferred Stock.</w:t>
      </w:r>
    </w:p>
    <w:p>
      <w:pPr>
        <w:spacing w:after="0" w:line="154" w:lineRule="exact"/>
        <w:rPr>
          <w:rFonts w:ascii="Times New Roman" w:cs="Times New Roman" w:eastAsia="Times New Roman" w:hAnsi="Times New Roman"/>
          <w:sz w:val="18"/>
          <w:szCs w:val="18"/>
          <w:color w:val="auto"/>
        </w:rPr>
      </w:pPr>
    </w:p>
    <w:p>
      <w:pPr>
        <w:ind w:left="4" w:right="80" w:firstLine="987"/>
        <w:spacing w:after="0" w:line="286" w:lineRule="auto"/>
        <w:tabs>
          <w:tab w:leader="none" w:pos="125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shall mean that certain Series D Preferred Stock Purchase Agreement by and between the Corporation and the Investors listed on Exhibit A thereto, dated on or about the date hereof.</w:t>
      </w:r>
    </w:p>
    <w:p>
      <w:pPr>
        <w:spacing w:after="0" w:line="154" w:lineRule="exact"/>
        <w:rPr>
          <w:rFonts w:ascii="Times New Roman" w:cs="Times New Roman" w:eastAsia="Times New Roman" w:hAnsi="Times New Roman"/>
          <w:sz w:val="18"/>
          <w:szCs w:val="18"/>
          <w:color w:val="auto"/>
        </w:rPr>
      </w:pPr>
    </w:p>
    <w:p>
      <w:pPr>
        <w:ind w:left="4" w:firstLine="987"/>
        <w:spacing w:after="0" w:line="286" w:lineRule="auto"/>
        <w:tabs>
          <w:tab w:leader="none" w:pos="121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Recapitalization</w:t>
      </w:r>
      <w:r>
        <w:rPr>
          <w:rFonts w:ascii="Times New Roman" w:cs="Times New Roman" w:eastAsia="Times New Roman" w:hAnsi="Times New Roman"/>
          <w:sz w:val="18"/>
          <w:szCs w:val="18"/>
          <w:color w:val="auto"/>
        </w:rPr>
        <w:t>” shall mean any stock dividend, stock split, combination of shares, reorganization, recapitalization, reclassification or other similar event.</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308" w:name="page309"/>
    <w:bookmarkEnd w:id="308"/>
    <w:p>
      <w:pPr>
        <w:ind w:left="-20" w:right="140" w:firstLine="987"/>
        <w:spacing w:after="0" w:line="286" w:lineRule="auto"/>
        <w:tabs>
          <w:tab w:leader="none" w:pos="127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Series C Majority</w:t>
      </w:r>
      <w:r>
        <w:rPr>
          <w:rFonts w:ascii="Times New Roman" w:cs="Times New Roman" w:eastAsia="Times New Roman" w:hAnsi="Times New Roman"/>
          <w:sz w:val="18"/>
          <w:szCs w:val="18"/>
          <w:color w:val="auto"/>
        </w:rPr>
        <w:t>” shall mean the holders in the aggregate of a majority of the then outstanding shares of Series C Preferred Stock, voting together as a separate class.</w:t>
      </w:r>
    </w:p>
    <w:p>
      <w:pPr>
        <w:spacing w:after="0" w:line="154" w:lineRule="exact"/>
        <w:rPr>
          <w:rFonts w:ascii="Times New Roman" w:cs="Times New Roman" w:eastAsia="Times New Roman" w:hAnsi="Times New Roman"/>
          <w:sz w:val="18"/>
          <w:szCs w:val="18"/>
          <w:color w:val="auto"/>
        </w:rPr>
      </w:pPr>
    </w:p>
    <w:p>
      <w:pPr>
        <w:ind w:left="-20" w:right="40" w:firstLine="987"/>
        <w:spacing w:after="0" w:line="286" w:lineRule="auto"/>
        <w:tabs>
          <w:tab w:leader="none" w:pos="122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D Majority</w:t>
      </w:r>
      <w:r>
        <w:rPr>
          <w:rFonts w:ascii="Times New Roman" w:cs="Times New Roman" w:eastAsia="Times New Roman" w:hAnsi="Times New Roman"/>
          <w:sz w:val="18"/>
          <w:szCs w:val="18"/>
          <w:color w:val="auto"/>
        </w:rPr>
        <w:t>” shall mean the holders in the aggregate of at least 60% of the then outstanding shares of Series D Preferred Stock, voting together as a separate class.</w:t>
      </w:r>
    </w:p>
    <w:p>
      <w:pPr>
        <w:spacing w:after="0" w:line="154" w:lineRule="exact"/>
        <w:rPr>
          <w:rFonts w:ascii="Times New Roman" w:cs="Times New Roman" w:eastAsia="Times New Roman" w:hAnsi="Times New Roman"/>
          <w:sz w:val="18"/>
          <w:szCs w:val="18"/>
          <w:color w:val="auto"/>
        </w:rPr>
      </w:pPr>
    </w:p>
    <w:p>
      <w:pPr>
        <w:ind w:left="-20" w:right="240" w:firstLine="987"/>
        <w:spacing w:after="0" w:line="286" w:lineRule="auto"/>
        <w:tabs>
          <w:tab w:leader="none" w:pos="122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Agreement</w:t>
      </w:r>
      <w:r>
        <w:rPr>
          <w:rFonts w:ascii="Times New Roman" w:cs="Times New Roman" w:eastAsia="Times New Roman" w:hAnsi="Times New Roman"/>
          <w:sz w:val="18"/>
          <w:szCs w:val="18"/>
          <w:color w:val="auto"/>
        </w:rPr>
        <w:t>” shall mean that certain Amended and Restated Voting Agreement entered into by and between the Corporation and Voting Parties listed on Exhibits A and B thereto, dated on or about the date hereof.</w:t>
      </w:r>
    </w:p>
    <w:p>
      <w:pPr>
        <w:spacing w:after="0" w:line="154"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Dividends.</w:t>
      </w:r>
    </w:p>
    <w:p>
      <w:pPr>
        <w:spacing w:after="0" w:line="225" w:lineRule="exact"/>
        <w:rPr>
          <w:rFonts w:ascii="Times New Roman" w:cs="Times New Roman" w:eastAsia="Times New Roman" w:hAnsi="Times New Roman"/>
          <w:sz w:val="18"/>
          <w:szCs w:val="18"/>
          <w:color w:val="auto"/>
        </w:rPr>
      </w:pPr>
    </w:p>
    <w:p>
      <w:pPr>
        <w:ind w:left="-20" w:right="20" w:firstLine="987"/>
        <w:spacing w:after="0" w:line="255" w:lineRule="auto"/>
        <w:tabs>
          <w:tab w:leader="none" w:pos="121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In any calendar year, the holders of outstanding shares of Preferred Stock shall be entitled to receive dividends,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 and if declared by the Board of Directors, out of any assets at the time legally available therefor, at the Dividend Rate specified for such shares of Preferred Stock payable in preference and priority to any declaration or payment of any Distribution on Common Stock of the Corporation in such calendar year. No Distributions shall be made with respect to the Common Stock unless dividends on the Preferred Stock have been declared in accordance with the preferences stated herein and all declared dividends on the Preferred Stock have been paid or set aside for payment to the Preferred Stock holders. The right to receive dividends on shares of Preferred Stock shall not be cumulative, and no right to dividends shall accrue to holders of Preferred Stock by reason of the fact that dividends on said shares are not declared or paid. Payment of any dividends to the holders of Preferred Stock shall be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in proportion to the Dividend Rates for each series of Preferred Stock.</w:t>
      </w:r>
    </w:p>
    <w:p>
      <w:pPr>
        <w:spacing w:after="0" w:line="184" w:lineRule="exact"/>
        <w:rPr>
          <w:rFonts w:ascii="Times New Roman" w:cs="Times New Roman" w:eastAsia="Times New Roman" w:hAnsi="Times New Roman"/>
          <w:sz w:val="18"/>
          <w:szCs w:val="18"/>
          <w:color w:val="auto"/>
        </w:rPr>
      </w:pPr>
    </w:p>
    <w:p>
      <w:pPr>
        <w:ind w:left="-20" w:firstLine="987"/>
        <w:spacing w:after="0" w:line="259" w:lineRule="auto"/>
        <w:tabs>
          <w:tab w:leader="none" w:pos="122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Additional Dividends. </w:t>
      </w:r>
      <w:r>
        <w:rPr>
          <w:rFonts w:ascii="Times New Roman" w:cs="Times New Roman" w:eastAsia="Times New Roman" w:hAnsi="Times New Roman"/>
          <w:sz w:val="18"/>
          <w:szCs w:val="18"/>
          <w:color w:val="auto"/>
        </w:rPr>
        <w:t>After the payment or setting aside for payment of the dividends described in Section 2(a), any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dividends (other than dividends on Common Stock payable solely in Common Stock) set aside or paid in any fiscal year shall be set aside or paid among the holders of the Preferred Stock and Common Stock then outstanding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in proportion to the greatest whole number of shares of Common Stock which would be held by each such holder if all shares of Preferred Stock were converted into Common Stock at the then-effective Conversion Rate (as defined in Section 4).</w:t>
      </w:r>
    </w:p>
    <w:p>
      <w:pPr>
        <w:spacing w:after="0" w:line="179" w:lineRule="exact"/>
        <w:rPr>
          <w:rFonts w:ascii="Times New Roman" w:cs="Times New Roman" w:eastAsia="Times New Roman" w:hAnsi="Times New Roman"/>
          <w:sz w:val="18"/>
          <w:szCs w:val="18"/>
          <w:color w:val="auto"/>
        </w:rPr>
      </w:pPr>
    </w:p>
    <w:p>
      <w:pPr>
        <w:ind w:left="-20" w:right="40" w:firstLine="987"/>
        <w:spacing w:after="0" w:line="268" w:lineRule="auto"/>
        <w:tabs>
          <w:tab w:leader="none" w:pos="121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Non-Cash Distributions. </w:t>
      </w:r>
      <w:r>
        <w:rPr>
          <w:rFonts w:ascii="Times New Roman" w:cs="Times New Roman" w:eastAsia="Times New Roman" w:hAnsi="Times New Roman"/>
          <w:sz w:val="18"/>
          <w:szCs w:val="18"/>
          <w:color w:val="auto"/>
        </w:rPr>
        <w:t>Whenever a Distribution provided for in this Section 2 shall be payable in property other than cash, the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such Distribution shall be deemed to be the fair market value of such property as determined in good faith by the Board of Directors, including a majority of the directors designated by the holders of Preferred Stock (the “</w:t>
      </w:r>
      <w:r>
        <w:rPr>
          <w:rFonts w:ascii="Times New Roman" w:cs="Times New Roman" w:eastAsia="Times New Roman" w:hAnsi="Times New Roman"/>
          <w:sz w:val="18"/>
          <w:szCs w:val="18"/>
          <w:b w:val="1"/>
          <w:bCs w:val="1"/>
          <w:i w:val="1"/>
          <w:iCs w:val="1"/>
          <w:color w:val="auto"/>
        </w:rPr>
        <w:t>Preferred Directors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20" w:right="40" w:firstLine="987"/>
        <w:spacing w:after="0" w:line="257" w:lineRule="auto"/>
        <w:tabs>
          <w:tab w:leader="none" w:pos="122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Consent to Certain Distributions. </w:t>
      </w:r>
      <w:r>
        <w:rPr>
          <w:rFonts w:ascii="Times New Roman" w:cs="Times New Roman" w:eastAsia="Times New Roman" w:hAnsi="Times New Roman"/>
          <w:sz w:val="18"/>
          <w:szCs w:val="18"/>
          <w:color w:val="auto"/>
        </w:rPr>
        <w:t>In accordance with Section 500 of the California Corporations Code, solely to the extent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applicable to the Corporation, a distribution can be made without regard to any preferential dividends arrears amount (as defined in Section 500 of the California Corporations Code) or any preferential rights amount (as defined in Section 500 of the California Corporations Code) in connection with (i) repurchases of Common Stock issued to or held by employees, officers, directors or consultants of the Corporation or its subsidiaries upon termination of their employment or services pursuant to agreements providing for the right of said repurchase, (ii) repurchases of Common Stock issued to or held by employees, officers, directors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66" w:right="479" w:bottom="1440" w:gutter="0" w:footer="0" w:header="0"/>
        </w:sectPr>
      </w:pPr>
    </w:p>
    <w:bookmarkStart w:id="309" w:name="page310"/>
    <w:bookmarkEnd w:id="309"/>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consultants of the Corporation or its subsidiaries pursuant to rights of first refusal contained in agreements providing for such right, (iii) repurchases of Common Stock or Preferred Stock in connection with the settlement of disputes with any stockholder, or (iv) any other repurchase or redemption of Common Stock or Preferred Stock approved by the Preferred Majority.</w:t>
      </w:r>
    </w:p>
    <w:p>
      <w:pPr>
        <w:spacing w:after="0" w:line="172" w:lineRule="exact"/>
        <w:rPr>
          <w:sz w:val="20"/>
          <w:szCs w:val="20"/>
          <w:color w:val="auto"/>
        </w:rPr>
      </w:pPr>
    </w:p>
    <w:p>
      <w:pPr>
        <w:ind w:right="80" w:firstLine="987"/>
        <w:spacing w:after="0" w:line="259" w:lineRule="auto"/>
        <w:tabs>
          <w:tab w:leader="none" w:pos="1236"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Waiver of Dividends. </w:t>
      </w:r>
      <w:r>
        <w:rPr>
          <w:rFonts w:ascii="Times New Roman" w:cs="Times New Roman" w:eastAsia="Times New Roman" w:hAnsi="Times New Roman"/>
          <w:sz w:val="18"/>
          <w:szCs w:val="18"/>
          <w:color w:val="auto"/>
        </w:rPr>
        <w:t>Any dividend preference of any series of Preferred Stock may be waived, in whole or in part, by the consent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of the holders of the majority of the outstanding shares of such series; provided that (i) with respect to the Series A Preferred Stock such waiver shall be based only upon the consent or vote of the holders in the aggregate of at least sixty percent (60%) of the then outstanding shares of Series A Preferred Stock (the “</w:t>
      </w:r>
      <w:r>
        <w:rPr>
          <w:rFonts w:ascii="Times New Roman" w:cs="Times New Roman" w:eastAsia="Times New Roman" w:hAnsi="Times New Roman"/>
          <w:sz w:val="18"/>
          <w:szCs w:val="18"/>
          <w:b w:val="1"/>
          <w:bCs w:val="1"/>
          <w:i w:val="1"/>
          <w:iCs w:val="1"/>
          <w:color w:val="auto"/>
        </w:rPr>
        <w:t>Series A Majority</w:t>
      </w:r>
      <w:r>
        <w:rPr>
          <w:rFonts w:ascii="Times New Roman" w:cs="Times New Roman" w:eastAsia="Times New Roman" w:hAnsi="Times New Roman"/>
          <w:sz w:val="18"/>
          <w:szCs w:val="18"/>
          <w:color w:val="auto"/>
        </w:rPr>
        <w:t>”) and (ii) with respect to the Series D Preferred Stock such waiver shall be based only upon the consent or vote of the Series D Majority.</w:t>
      </w:r>
    </w:p>
    <w:p>
      <w:pPr>
        <w:spacing w:after="0" w:line="17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Liquidation Rights.</w:t>
      </w:r>
    </w:p>
    <w:p>
      <w:pPr>
        <w:spacing w:after="0" w:line="225" w:lineRule="exact"/>
        <w:rPr>
          <w:rFonts w:ascii="Times New Roman" w:cs="Times New Roman" w:eastAsia="Times New Roman" w:hAnsi="Times New Roman"/>
          <w:sz w:val="18"/>
          <w:szCs w:val="18"/>
          <w:color w:val="auto"/>
        </w:rPr>
      </w:pPr>
    </w:p>
    <w:p>
      <w:pPr>
        <w:ind w:right="60" w:firstLine="987"/>
        <w:spacing w:after="0" w:line="255" w:lineRule="auto"/>
        <w:tabs>
          <w:tab w:leader="none" w:pos="123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any liquidation, dissolution or winding up of the Corporation, either voluntary or involuntary,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holders of the Preferred Stock shall be entitled to receive, prior and in preference to any Distribution of any of the assets of the Corporation to the holders of the Common Stock by reason of their ownership of such stock, an amount per share for each share of Preferred Stock held by them equal to the sum of (i) the Original Issue Price specified for such share of Preferred Stock and (ii) all declared but unpaid dividends (if any) on such share of Preferred Stock. If upon the liquidation, dissolution or winding up of the Corporation, the assets of the Corporation legally available for distribution to the holders of the Preferred Stock are insufficient to permit the payment to such holders of the full amounts specified in this Section 3(a), then the entire assets of the Corporation legally available for distribution shall be distributed with equal priority and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holders of the Preferred Stock in proportion to the full amounts they would otherwise be entitled to receive pursuant to this Section 3(a).</w:t>
      </w:r>
    </w:p>
    <w:p>
      <w:pPr>
        <w:spacing w:after="0" w:line="184"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Remaining Assets. </w:t>
      </w:r>
      <w:r>
        <w:rPr>
          <w:rFonts w:ascii="Times New Roman" w:cs="Times New Roman" w:eastAsia="Times New Roman" w:hAnsi="Times New Roman"/>
          <w:sz w:val="18"/>
          <w:szCs w:val="18"/>
          <w:color w:val="auto"/>
        </w:rPr>
        <w:t>After the payment to the holders of Preferred Stock of the full preferential amounts specified in Section 3(a) above,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entire remaining assets of the Corporation legally available for distribution by the Corporation shall be distributed with equal priority and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holders of the Preferred Stock and Common Stock in proportion to the number of shares of Common Stock held by them, with the shares of Preferred Stock being treated for this purpose as if they had been converted to shares of Common Stock at the then applicable Conversion Rate. Notwithstanding the foregoing, the aggregate distributions made pursuant to Sections 3(a) and 3(b) with respect to any share of Preferred Stock shall not exceed the greater of (i) an amount equal to two times the Original Issue Price for that share of Preferred Stock plus any declared but unpaid dividends (if any) on such share of Preferred Stock or (ii) the amount such holder would have received if all shares of Preferred Stock were deemed to have been converted into Common Stock as of immediately prior to such liquidation, dissolution or winding up of the Corporation, taking into account the distribution of Total Proceeds, as defined below, upon the satisfaction of contingencies, pursuant to Section 3(d).</w:t>
      </w:r>
    </w:p>
    <w:p>
      <w:pPr>
        <w:spacing w:after="0" w:line="188" w:lineRule="exact"/>
        <w:rPr>
          <w:rFonts w:ascii="Times New Roman" w:cs="Times New Roman" w:eastAsia="Times New Roman" w:hAnsi="Times New Roman"/>
          <w:sz w:val="18"/>
          <w:szCs w:val="18"/>
          <w:color w:val="auto"/>
        </w:rPr>
      </w:pPr>
    </w:p>
    <w:p>
      <w:pPr>
        <w:ind w:firstLine="987"/>
        <w:spacing w:after="0" w:line="268" w:lineRule="auto"/>
        <w:tabs>
          <w:tab w:leader="none" w:pos="123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Shares not Treated as Both Preferred Stock and Common Stock in any Distribution</w:t>
      </w:r>
      <w:r>
        <w:rPr>
          <w:rFonts w:ascii="Times New Roman" w:cs="Times New Roman" w:eastAsia="Times New Roman" w:hAnsi="Times New Roman"/>
          <w:sz w:val="18"/>
          <w:szCs w:val="18"/>
          <w:color w:val="auto"/>
        </w:rPr>
        <w:t>. Shares of Preferred Stock shall not be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converted into shares of Common Stock in order to participate in any Distribution, or series of Distributions, as shares of Common Stock, without first foregoing participation in the Distribution, or series of Distributions, as shares of</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10" w:name="page311"/>
    <w:bookmarkEnd w:id="310"/>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Preferred Stock, subject to Section 3(d) below. Upon any liquidation, dissolution or winding up of the Corporation, each holder of Preferred Stock shall be entitled to receive, for each share of each series of Preferred Stock then held, out of the proceeds available for distribution, the greater of (i) the amount of cash, securities or other property to which such holder would be entitled to receive with respect to such shares in such liquidation, dissolution or winding up of the Corporation pursuant to Sections 3(a) and 3(b) or (ii) the amount of cash, securities or other property to which such holder would be entitled to receive in such liquidation, dissolution or winding up of the Corporation with respect to such shares if such shares had been converted to Common Stock immediately prior to such liquidation, dissolution or winding up of the Corporation.</w:t>
      </w:r>
    </w:p>
    <w:p>
      <w:pPr>
        <w:spacing w:after="0" w:line="183" w:lineRule="exact"/>
        <w:rPr>
          <w:sz w:val="20"/>
          <w:szCs w:val="20"/>
          <w:color w:val="auto"/>
        </w:rPr>
      </w:pPr>
    </w:p>
    <w:p>
      <w:pPr>
        <w:ind w:right="60" w:firstLine="987"/>
        <w:spacing w:after="0" w:line="253" w:lineRule="auto"/>
        <w:tabs>
          <w:tab w:leader="none" w:pos="124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Contingent Consideration</w:t>
      </w:r>
      <w:r>
        <w:rPr>
          <w:rFonts w:ascii="Times New Roman" w:cs="Times New Roman" w:eastAsia="Times New Roman" w:hAnsi="Times New Roman"/>
          <w:sz w:val="18"/>
          <w:szCs w:val="18"/>
          <w:color w:val="auto"/>
        </w:rPr>
        <w:t>. In the event of a deemed liquidation, dissolution or winding up of the Corporation, if any portion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consideration payable to the Corporation or to the stockholders of the Corporation is payable only upon satisfaction of contingencies (the “</w:t>
      </w:r>
      <w:r>
        <w:rPr>
          <w:rFonts w:ascii="Times New Roman" w:cs="Times New Roman" w:eastAsia="Times New Roman" w:hAnsi="Times New Roman"/>
          <w:sz w:val="18"/>
          <w:szCs w:val="18"/>
          <w:b w:val="1"/>
          <w:bCs w:val="1"/>
          <w:i w:val="1"/>
          <w:i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 (i) the portion of such consideration that is not Additional Consideration (such portion, the “</w:t>
      </w:r>
      <w:r>
        <w:rPr>
          <w:rFonts w:ascii="Times New Roman" w:cs="Times New Roman" w:eastAsia="Times New Roman" w:hAnsi="Times New Roman"/>
          <w:sz w:val="18"/>
          <w:szCs w:val="18"/>
          <w:b w:val="1"/>
          <w:bCs w:val="1"/>
          <w:i w:val="1"/>
          <w:iCs w:val="1"/>
          <w:color w:val="auto"/>
        </w:rPr>
        <w:t>Initial Consideration</w:t>
      </w:r>
      <w:r>
        <w:rPr>
          <w:rFonts w:ascii="Times New Roman" w:cs="Times New Roman" w:eastAsia="Times New Roman" w:hAnsi="Times New Roman"/>
          <w:sz w:val="18"/>
          <w:szCs w:val="18"/>
          <w:color w:val="auto"/>
        </w:rPr>
        <w:t>”) shall be allocated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among the holders of capital stock of the Corporation in accordance with Sections 3(a) and 3(b) above as if the Initial Consideration were the only consideration payable in connection with such deemed liquidation, dissolution or winding up of the Corporation, and (ii) any Additional Consideration which becomes payable to the Corporation or to the stockholders of the Corporation upon satisfaction of such contingencies shall be allocated among the holders of capital stock of the Corporation in accordance with Sections 3(a) and 3(b) above after taking into account the previous payment of the Initial Consideration as part of the same transaction, and any definitive agreement for such transaction (a “</w:t>
      </w:r>
      <w:r>
        <w:rPr>
          <w:rFonts w:ascii="Times New Roman" w:cs="Times New Roman" w:eastAsia="Times New Roman" w:hAnsi="Times New Roman"/>
          <w:sz w:val="18"/>
          <w:szCs w:val="18"/>
          <w:b w:val="1"/>
          <w:bCs w:val="1"/>
          <w:i w:val="1"/>
          <w:iCs w:val="1"/>
          <w:color w:val="auto"/>
        </w:rPr>
        <w:t>Liquidation Transaction Agreement</w:t>
      </w:r>
      <w:r>
        <w:rPr>
          <w:rFonts w:ascii="Times New Roman" w:cs="Times New Roman" w:eastAsia="Times New Roman" w:hAnsi="Times New Roman"/>
          <w:sz w:val="18"/>
          <w:szCs w:val="18"/>
          <w:color w:val="auto"/>
        </w:rPr>
        <w:t>”) shall provide therefor. Initial Consideration and all Additional Consideration that becomes payable shall be known herein collectively as “</w:t>
      </w:r>
      <w:r>
        <w:rPr>
          <w:rFonts w:ascii="Times New Roman" w:cs="Times New Roman" w:eastAsia="Times New Roman" w:hAnsi="Times New Roman"/>
          <w:sz w:val="18"/>
          <w:szCs w:val="18"/>
          <w:b w:val="1"/>
          <w:bCs w:val="1"/>
          <w:i w:val="1"/>
          <w:iCs w:val="1"/>
          <w:color w:val="auto"/>
        </w:rPr>
        <w:t>Total Proceeds</w:t>
      </w:r>
      <w:r>
        <w:rPr>
          <w:rFonts w:ascii="Times New Roman" w:cs="Times New Roman" w:eastAsia="Times New Roman" w:hAnsi="Times New Roman"/>
          <w:sz w:val="18"/>
          <w:szCs w:val="18"/>
          <w:color w:val="auto"/>
        </w:rPr>
        <w:t>”. For the purposes of this Section 3(d), consideration placed into escrow or retained as holdback to be available for satisfaction of indemnification or similar obligations in connection with such deemed liquidation, dissolution or winding up of the Corporation shall be deemed to be Additional Consideration.</w:t>
      </w:r>
    </w:p>
    <w:p>
      <w:pPr>
        <w:spacing w:after="0" w:line="189"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Reorganization. </w:t>
      </w:r>
      <w:r>
        <w:rPr>
          <w:rFonts w:ascii="Times New Roman" w:cs="Times New Roman" w:eastAsia="Times New Roman" w:hAnsi="Times New Roman"/>
          <w:sz w:val="18"/>
          <w:szCs w:val="18"/>
          <w:color w:val="auto"/>
        </w:rPr>
        <w:t>For purposes of this Section 3, a liquidation, dissolution or winding up of the Corporation shall mean, (i)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of the Corporation by another entity by means of any transaction or series of related transactions to which the Corporation is party (including, without limitation, any stock acquisition, reorganization, merger or consolidation but excluding any sale of stock for bona fide capital raising purposes) other than a transaction or series of related transactions in which the holders of the voting securities of the Corporation outstanding immediately prior to such transaction or series of related transactions retain, immediately after such transaction or series of related transactions, as a result of shares in the Corporation held by such holders prior to such transaction or series of related transactions, at least a majority of the total voting power represented by the outstanding voting securities of the Corporation or such other surviving or resulting entity (or if the Corporation or such other surviving or resulting entity is a wholly-owned subsidiary immediately following such acquisition, its parent); (ii) a sale, lease, transfer, exclusive license or other disposition of all or substantially all of the total assets or intellectual property assets of the Corporation and its subsidiaries taken as a whole by means of any transaction or series of related transactions, except where such sale, lease, transfer, exclusive license or other disposition is to a wholly-owned subsidiary of the Corporation; or (iii) any liquidation, dissolution or winding up of the Corporation, whether voluntary or involuntary. The treatment of any transaction or series of related transactions as a liquidation, dissolution or winding up pursuant to clause (i) or (ii) of the preceding sentence may be waived by the consent or vote of the Preferred Majority, the Series C Majority and the Series D Majority.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11" w:name="page312"/>
    <w:bookmarkEnd w:id="311"/>
    <w:p>
      <w:pPr>
        <w:ind w:left="4" w:right="80" w:firstLine="987"/>
        <w:spacing w:after="0" w:line="262" w:lineRule="auto"/>
        <w:tabs>
          <w:tab w:leader="none" w:pos="12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Valuation of Non-Cash Consideration. </w:t>
      </w:r>
      <w:r>
        <w:rPr>
          <w:rFonts w:ascii="Times New Roman" w:cs="Times New Roman" w:eastAsia="Times New Roman" w:hAnsi="Times New Roman"/>
          <w:sz w:val="18"/>
          <w:szCs w:val="18"/>
          <w:color w:val="auto"/>
        </w:rPr>
        <w:t>If any assets of the Corporation distributed to stockholders in connection with any liquidation,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dissolution, or winding up of the Corporation are other than cash, then the value of such assets shall be their fair market value as determined in good faith by the Board of Directors, including a majority of the Preferred Directors, </w:t>
      </w:r>
      <w:r>
        <w:rPr>
          <w:rFonts w:ascii="Times New Roman" w:cs="Times New Roman" w:eastAsia="Times New Roman" w:hAnsi="Times New Roman"/>
          <w:sz w:val="18"/>
          <w:szCs w:val="18"/>
          <w:i w:val="1"/>
          <w:iCs w:val="1"/>
          <w:color w:val="auto"/>
        </w:rPr>
        <w:t>except that</w:t>
      </w:r>
      <w:r>
        <w:rPr>
          <w:rFonts w:ascii="Times New Roman" w:cs="Times New Roman" w:eastAsia="Times New Roman" w:hAnsi="Times New Roman"/>
          <w:sz w:val="18"/>
          <w:szCs w:val="18"/>
          <w:color w:val="auto"/>
        </w:rPr>
        <w:t xml:space="preserve"> any publicly-traded securities to be distributed to stockholders in a liquidation, dissolution, or winding up of the Corporation shall be valued as follows:</w:t>
      </w:r>
    </w:p>
    <w:p>
      <w:pPr>
        <w:spacing w:after="0" w:line="180" w:lineRule="exact"/>
        <w:rPr>
          <w:rFonts w:ascii="Times New Roman" w:cs="Times New Roman" w:eastAsia="Times New Roman" w:hAnsi="Times New Roman"/>
          <w:sz w:val="18"/>
          <w:szCs w:val="18"/>
          <w:color w:val="auto"/>
        </w:rPr>
      </w:pPr>
    </w:p>
    <w:p>
      <w:pPr>
        <w:ind w:left="4" w:right="540" w:firstLine="1428"/>
        <w:spacing w:after="0" w:line="266" w:lineRule="auto"/>
        <w:tabs>
          <w:tab w:leader="none" w:pos="165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then traded on a national securities exchange, then the value of the securities shall be deemed to be the average of the closing prices of the securities on such exchange over the ten (10) trading day period ending five (5) trading days prior to the Distribution;</w:t>
      </w:r>
    </w:p>
    <w:p>
      <w:pPr>
        <w:spacing w:after="0" w:line="175" w:lineRule="exact"/>
        <w:rPr>
          <w:rFonts w:ascii="Times New Roman" w:cs="Times New Roman" w:eastAsia="Times New Roman" w:hAnsi="Times New Roman"/>
          <w:sz w:val="18"/>
          <w:szCs w:val="18"/>
          <w:color w:val="auto"/>
        </w:rPr>
      </w:pPr>
    </w:p>
    <w:p>
      <w:pPr>
        <w:ind w:left="4" w:right="360" w:firstLine="1428"/>
        <w:spacing w:after="0" w:line="282" w:lineRule="auto"/>
        <w:tabs>
          <w:tab w:leader="none" w:pos="170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actively traded over-the-counter, then the value of the securities shall be deemed to be the average of the closing bid prices of the securities over the ten (10) trading day period ending five (5) trading days prior to the Distribution.</w:t>
      </w:r>
    </w:p>
    <w:p>
      <w:pPr>
        <w:spacing w:after="0" w:line="162"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merger or other acquisition of the Corporation by another entity, the Distribution date for Initial Consideration shall be deemed to be the date such transaction closes and the Distribution date for Additional Consideration shall be the date such payments are released to stockholders following the satisfaction of the applicable contingencies, unless otherwise specified in any Liquidation Transaction Agreement approved by the Preferred Majority.</w:t>
      </w:r>
    </w:p>
    <w:p>
      <w:pPr>
        <w:spacing w:after="0" w:line="176" w:lineRule="exact"/>
        <w:rPr>
          <w:sz w:val="20"/>
          <w:szCs w:val="20"/>
          <w:color w:val="auto"/>
        </w:rPr>
      </w:pPr>
    </w:p>
    <w:p>
      <w:pPr>
        <w:ind w:left="4" w:right="80" w:firstLine="440"/>
        <w:spacing w:after="0" w:line="274" w:lineRule="auto"/>
        <w:rPr>
          <w:sz w:val="20"/>
          <w:szCs w:val="20"/>
          <w:color w:val="auto"/>
        </w:rPr>
      </w:pPr>
      <w:r>
        <w:rPr>
          <w:rFonts w:ascii="Times New Roman" w:cs="Times New Roman" w:eastAsia="Times New Roman" w:hAnsi="Times New Roman"/>
          <w:sz w:val="17"/>
          <w:szCs w:val="17"/>
          <w:color w:val="auto"/>
        </w:rPr>
        <w:t>For the purposes of this subsection 3(f), “</w:t>
      </w:r>
      <w:r>
        <w:rPr>
          <w:rFonts w:ascii="Times New Roman" w:cs="Times New Roman" w:eastAsia="Times New Roman" w:hAnsi="Times New Roman"/>
          <w:sz w:val="17"/>
          <w:szCs w:val="17"/>
          <w:b w:val="1"/>
          <w:bCs w:val="1"/>
          <w:i w:val="1"/>
          <w:iCs w:val="1"/>
          <w:color w:val="auto"/>
        </w:rPr>
        <w:t>trading day</w:t>
      </w:r>
      <w:r>
        <w:rPr>
          <w:rFonts w:ascii="Times New Roman" w:cs="Times New Roman" w:eastAsia="Times New Roman" w:hAnsi="Times New Roman"/>
          <w:sz w:val="17"/>
          <w:szCs w:val="17"/>
          <w:color w:val="auto"/>
        </w:rPr>
        <w:t>” shall mean any day which the exchange or system on which the securities to be distributed are traded is open and “</w:t>
      </w:r>
      <w:r>
        <w:rPr>
          <w:rFonts w:ascii="Times New Roman" w:cs="Times New Roman" w:eastAsia="Times New Roman" w:hAnsi="Times New Roman"/>
          <w:sz w:val="17"/>
          <w:szCs w:val="17"/>
          <w:b w:val="1"/>
          <w:bCs w:val="1"/>
          <w:i w:val="1"/>
          <w:iCs w:val="1"/>
          <w:color w:val="auto"/>
        </w:rPr>
        <w:t>closing prices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closing bid prices</w:t>
      </w:r>
      <w:r>
        <w:rPr>
          <w:rFonts w:ascii="Times New Roman" w:cs="Times New Roman" w:eastAsia="Times New Roman" w:hAnsi="Times New Roman"/>
          <w:sz w:val="17"/>
          <w:szCs w:val="17"/>
          <w:color w:val="auto"/>
        </w:rPr>
        <w:t>” shall be deemed to be: (i) for securities traded primarily on the New York Stock Exchange, NYSE MKT or a Nasdaq market, the last reported trade price or sale price, as the case may be, at 4:00 p.m., New York time, on that day and</w:t>
      </w:r>
    </w:p>
    <w:p>
      <w:pPr>
        <w:spacing w:after="0" w:line="1" w:lineRule="exact"/>
        <w:rPr>
          <w:sz w:val="20"/>
          <w:szCs w:val="20"/>
          <w:color w:val="auto"/>
        </w:rPr>
      </w:pPr>
    </w:p>
    <w:p>
      <w:pPr>
        <w:jc w:val="both"/>
        <w:ind w:left="4" w:right="400" w:hanging="4"/>
        <w:spacing w:after="0" w:line="253" w:lineRule="auto"/>
        <w:tabs>
          <w:tab w:leader="none" w:pos="26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securities listed or traded on other exchanges, markets and systems, the market price as of the end of the regular hours trading period that is generally accepted as such for such exchange, market or system. If, after the date hereof, the benchmark times generally accepted in the securities industry for determining the market price of a stock as of a given trading day shall change from those set forth above, the fair market value shall be determined as of such other generally accepted benchmark times.</w:t>
      </w:r>
    </w:p>
    <w:p>
      <w:pPr>
        <w:spacing w:after="0" w:line="184"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Conversion. </w:t>
      </w:r>
      <w:r>
        <w:rPr>
          <w:rFonts w:ascii="Times New Roman" w:cs="Times New Roman" w:eastAsia="Times New Roman" w:hAnsi="Times New Roman"/>
          <w:sz w:val="18"/>
          <w:szCs w:val="18"/>
          <w:color w:val="auto"/>
        </w:rPr>
        <w:t>The holders of the Preferred Stock shall have conversion rights and obligations as follows:</w:t>
      </w:r>
    </w:p>
    <w:p>
      <w:pPr>
        <w:spacing w:after="0" w:line="225" w:lineRule="exact"/>
        <w:rPr>
          <w:rFonts w:ascii="Times New Roman" w:cs="Times New Roman" w:eastAsia="Times New Roman" w:hAnsi="Times New Roman"/>
          <w:sz w:val="18"/>
          <w:szCs w:val="18"/>
          <w:color w:val="auto"/>
        </w:rPr>
      </w:pPr>
    </w:p>
    <w:p>
      <w:pPr>
        <w:ind w:left="4" w:firstLine="987"/>
        <w:spacing w:after="0" w:line="257" w:lineRule="auto"/>
        <w:tabs>
          <w:tab w:leader="none" w:pos="124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Right to Convert. </w:t>
      </w:r>
      <w:r>
        <w:rPr>
          <w:rFonts w:ascii="Times New Roman" w:cs="Times New Roman" w:eastAsia="Times New Roman" w:hAnsi="Times New Roman"/>
          <w:sz w:val="18"/>
          <w:szCs w:val="18"/>
          <w:color w:val="auto"/>
        </w:rPr>
        <w:t>Each share of Preferred Stock shall be convertible, at the option of the holder thereof, at any time after the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issuance of such share at the office of the Corporation or any transfer agent for the Preferred Stock, into that number of fully-paid, nonassessable shares of Common Stock determined by dividing the Original Issue Price for the relevant series by the Conversion Price for such series. (The number of shares of Common Stock into which each share of Preferred Stock of a series may be converted is hereinafter referred to as the “</w:t>
      </w:r>
      <w:r>
        <w:rPr>
          <w:rFonts w:ascii="Times New Roman" w:cs="Times New Roman" w:eastAsia="Times New Roman" w:hAnsi="Times New Roman"/>
          <w:sz w:val="18"/>
          <w:szCs w:val="18"/>
          <w:b w:val="1"/>
          <w:bCs w:val="1"/>
          <w:i w:val="1"/>
          <w:iCs w:val="1"/>
          <w:color w:val="auto"/>
        </w:rPr>
        <w:t>Conversion Rate</w:t>
      </w:r>
      <w:r>
        <w:rPr>
          <w:rFonts w:ascii="Times New Roman" w:cs="Times New Roman" w:eastAsia="Times New Roman" w:hAnsi="Times New Roman"/>
          <w:sz w:val="18"/>
          <w:szCs w:val="18"/>
          <w:color w:val="auto"/>
        </w:rPr>
        <w:t>” for each such series.) Upon any decrease or increase in the Conversion Price for any series of Preferred Stock, as described in this Section 4, the Conversion Rate for such series shall be appropriately increased or decreased.</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6" w:right="479" w:bottom="1440" w:gutter="0" w:footer="0" w:header="0"/>
        </w:sectPr>
      </w:pPr>
    </w:p>
    <w:bookmarkStart w:id="312" w:name="page313"/>
    <w:bookmarkEnd w:id="312"/>
    <w:p>
      <w:pPr>
        <w:ind w:firstLine="987"/>
        <w:spacing w:after="0" w:line="254" w:lineRule="auto"/>
        <w:tabs>
          <w:tab w:leader="none" w:pos="124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Automatic Conversion. </w:t>
      </w:r>
      <w:r>
        <w:rPr>
          <w:rFonts w:ascii="Times New Roman" w:cs="Times New Roman" w:eastAsia="Times New Roman" w:hAnsi="Times New Roman"/>
          <w:sz w:val="18"/>
          <w:szCs w:val="18"/>
          <w:color w:val="auto"/>
        </w:rPr>
        <w:t>Each share of Preferred Stock shall automatically be converted into fully-paid, non-assessable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at the then effective Conversion Rate for such share (i) immediately prior to the closing of a firm commitment underwritten initial public offering pursuant to an effective registration statement filed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covering the offer and sale of the Corporation’s Common Stock, provided that the aggregate offering price (prior to underwriting discounts, commissions and expenses) is not less than $40,000,000 and the initial offering price to the public is at least $2.4982 per share (as adjusted for any stock splits, stock dividends, combinations, subdivisions, recapitalizations, reorganizations, reclassifications or the like) and in connection with such offering the Common Stock is listed for trading on the Nasdaq Stock Market’s National Market or the New York Stock Exchange (a “</w:t>
      </w:r>
      <w:r>
        <w:rPr>
          <w:rFonts w:ascii="Times New Roman" w:cs="Times New Roman" w:eastAsia="Times New Roman" w:hAnsi="Times New Roman"/>
          <w:sz w:val="18"/>
          <w:szCs w:val="18"/>
          <w:b w:val="1"/>
          <w:bCs w:val="1"/>
          <w:i w:val="1"/>
          <w:iCs w:val="1"/>
          <w:color w:val="auto"/>
        </w:rPr>
        <w:t>Qualified IPO</w:t>
      </w:r>
      <w:r>
        <w:rPr>
          <w:rFonts w:ascii="Times New Roman" w:cs="Times New Roman" w:eastAsia="Times New Roman" w:hAnsi="Times New Roman"/>
          <w:sz w:val="18"/>
          <w:szCs w:val="18"/>
          <w:color w:val="auto"/>
        </w:rPr>
        <w:t>”) or (ii) upon the receipt by the Corporation of a written request for such conversion from the holders of the Preferred Majority, the Series C Majority and the Series D Majority, or, if later, the effective date for conversion specified in such requests (each of the events referred to in (i) and (ii) are referred to herein as an “</w:t>
      </w:r>
      <w:r>
        <w:rPr>
          <w:rFonts w:ascii="Times New Roman" w:cs="Times New Roman" w:eastAsia="Times New Roman" w:hAnsi="Times New Roman"/>
          <w:sz w:val="18"/>
          <w:szCs w:val="18"/>
          <w:b w:val="1"/>
          <w:bCs w:val="1"/>
          <w:i w:val="1"/>
          <w:iCs w:val="1"/>
          <w:color w:val="auto"/>
        </w:rPr>
        <w:t>Automatic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Conversion Event</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right="20" w:firstLine="987"/>
        <w:spacing w:after="0" w:line="252" w:lineRule="auto"/>
        <w:tabs>
          <w:tab w:leader="none" w:pos="123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Mechanics of Conversion. </w:t>
      </w:r>
      <w:r>
        <w:rPr>
          <w:rFonts w:ascii="Times New Roman" w:cs="Times New Roman" w:eastAsia="Times New Roman" w:hAnsi="Times New Roman"/>
          <w:sz w:val="18"/>
          <w:szCs w:val="18"/>
          <w:color w:val="auto"/>
        </w:rPr>
        <w:t>No fractional shares of Common Stock shall be issued upon conversion of Preferred Stock. In lieu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fractional shares to which the holder would otherwise be entitled, the Corporation shall pay cash equal to such fraction multiplied by the then fair market value of a share of Common Stock as determined by the Board of Directors. For such purpose, all shares of Preferred Stock held by each holder of Preferred Stock shall be aggregated, and any resulting fractional share of Common Stock shall be paid in cash. Before any holder of Preferred Stock shall be entitled to convert the same into full shares of Common Stock, and to receive certificates therefor, the holder shall either (A) surrender the certificate or certificates therefor, duly endorsed, at the office of the Corporation or of any transfer agent for the Preferred Stock or (B) notify the Corporation or its transfer agent that such certificates have been lost, stolen or destroyed and execute an agreement satisfactory to the Corporation to indemnify the Corporation from any loss incurred by it in connection with such certificates, and shall give written notice to the Corporation at such office that the holder elects to convert the same;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on the date of an Automatic Conversion Event, the outstanding shares of Preferred Stock shall be converted automatically without any further action by the holders of such shares and whether or not the certificates representing such shares are surrendered to the Corporation or its transfer agent;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however, that the Corporation shall not be obligated to issue certificates evidencing the shares of Common Stock issuable upon such Automatic Conversion Event unless either the certificates evidencing such shares of Preferred Stock are delivered to the Corporation or its transfer agent as provided above, or the holder notifies the Corporation or its transfer agent that such certificates have been lost, stolen or destroyed and executes an agreement satisfactory to the Corporation to indemnify the Corporation from any loss incurred by it in connection with such certificates. On the date of the occurrence of an Automatic Conversion Event, each holder of record of shares of Preferred Stock shall be deemed to be the holder of record of the Common Stock issuable upon such conversion, notwithstanding that the certificates representing such shares of Preferred Stock shall not have been surrendered at the office of the Corporation, that notice from the Corporation shall not have been received by any holder of record of shares of Preferred Stock, or that the certificates evidencing such shares of Common Stock shall not then be actually delivered to such holder.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6" w:right="439" w:bottom="1440" w:gutter="0" w:footer="0" w:header="0"/>
        </w:sectPr>
      </w:pPr>
    </w:p>
    <w:bookmarkStart w:id="313" w:name="page314"/>
    <w:bookmarkEnd w:id="313"/>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Corporation shall, as soon as practicable after such delivery, or after such agreement and indemnification, issue and deliver at such office to such holder of Preferred Stock, a certificate or certificates for the number of shares of Common Stock to which the holder shall be entitled as aforesaid and a check payable to the holder in the amount of any cash amounts payable as the result of a conversion into fractional shares of Common Stock, plus any declared and unpaid dividends on the converted Preferred Stock Such conversion shall be deemed to have been made immediately prior to the close of business on the date of such surrender of the shares of Preferred Stock to be converted, and the person or persons entitled to receive the shares of Common Stock issuable upon such conversion shall be treated for all purposes as the record holder or holders of such shares of Common Stock on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conversion is in connection with an underwritten offer of securities registered pursuant to the Securities Act or a merger, sale, financing, or liquidation of the Corporation or other event, the conversion may, at the option of any holder tendering Preferred Stock for conversion, be conditioned upon the closing of such transaction or upon the occurrence of such event, in which case the person(s) entitled to receive the Common Stock issuable upon such conversion of the Preferred Stock shall not be deemed to have converted such Preferred Stock until immediately prior to the closing of such transaction or the occurrence of such event.</w:t>
      </w:r>
    </w:p>
    <w:p>
      <w:pPr>
        <w:spacing w:after="0" w:line="188" w:lineRule="exact"/>
        <w:rPr>
          <w:sz w:val="20"/>
          <w:szCs w:val="20"/>
          <w:color w:val="auto"/>
        </w:rPr>
      </w:pPr>
    </w:p>
    <w:p>
      <w:pPr>
        <w:ind w:left="1240" w:hanging="253"/>
        <w:spacing w:after="0"/>
        <w:tabs>
          <w:tab w:leader="none" w:pos="12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Adjustments to Conversion Price for Diluting Issues.</w:t>
      </w:r>
    </w:p>
    <w:p>
      <w:pPr>
        <w:spacing w:after="0" w:line="225" w:lineRule="exact"/>
        <w:rPr>
          <w:rFonts w:ascii="Times New Roman" w:cs="Times New Roman" w:eastAsia="Times New Roman" w:hAnsi="Times New Roman"/>
          <w:sz w:val="18"/>
          <w:szCs w:val="18"/>
          <w:color w:val="auto"/>
        </w:rPr>
      </w:pPr>
    </w:p>
    <w:p>
      <w:pPr>
        <w:ind w:right="280" w:firstLine="1428"/>
        <w:spacing w:after="0" w:line="268" w:lineRule="auto"/>
        <w:tabs>
          <w:tab w:leader="none" w:pos="1647"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Definition. </w:t>
      </w:r>
      <w:r>
        <w:rPr>
          <w:rFonts w:ascii="Times New Roman" w:cs="Times New Roman" w:eastAsia="Times New Roman" w:hAnsi="Times New Roman"/>
          <w:sz w:val="18"/>
          <w:szCs w:val="18"/>
          <w:color w:val="auto"/>
        </w:rPr>
        <w:t>For purposes of this paragraph 4(d), “</w:t>
      </w:r>
      <w:r>
        <w:rPr>
          <w:rFonts w:ascii="Times New Roman" w:cs="Times New Roman" w:eastAsia="Times New Roman" w:hAnsi="Times New Roman"/>
          <w:sz w:val="18"/>
          <w:szCs w:val="18"/>
          <w:b w:val="1"/>
          <w:bCs w:val="1"/>
          <w:i w:val="1"/>
          <w:iCs w:val="1"/>
          <w:color w:val="auto"/>
        </w:rPr>
        <w:t>Additional Shares of Common</w:t>
      </w:r>
      <w:r>
        <w:rPr>
          <w:rFonts w:ascii="Times New Roman" w:cs="Times New Roman" w:eastAsia="Times New Roman" w:hAnsi="Times New Roman"/>
          <w:sz w:val="18"/>
          <w:szCs w:val="18"/>
          <w:color w:val="auto"/>
        </w:rPr>
        <w:t>” shall mean all shares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issued (or, pursuant to paragraph 4(d)(iii), deemed to be issued) by the Corporation after the filing of this Amended and Restated Certificate of Incorporation, other than issuances or deemed issuances of:</w:t>
      </w:r>
    </w:p>
    <w:p>
      <w:pPr>
        <w:spacing w:after="0" w:line="174"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upon the conversion of the Preferred Stock;</w:t>
      </w:r>
    </w:p>
    <w:p>
      <w:pPr>
        <w:spacing w:after="0" w:line="225" w:lineRule="exact"/>
        <w:rPr>
          <w:rFonts w:ascii="Times New Roman" w:cs="Times New Roman" w:eastAsia="Times New Roman" w:hAnsi="Times New Roman"/>
          <w:sz w:val="18"/>
          <w:szCs w:val="18"/>
          <w:color w:val="auto"/>
        </w:rPr>
      </w:pPr>
    </w:p>
    <w:p>
      <w:pPr>
        <w:ind w:right="320" w:firstLine="1979"/>
        <w:spacing w:after="0" w:line="261" w:lineRule="auto"/>
        <w:tabs>
          <w:tab w:leader="none" w:pos="2238"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and options, warrants or other rights to purchase Common Stock issued or issuable to employees, officers or directors of, or consultants or advisors to the Corporation or any subsidiary pursuant to stock grants, restricted stock purchase agreements, option plans, purchase plans, incentive programs or similar arrangements in an amount equal to the greater of: (i) 6,784,657; or (ii) the amount as may be approved by the Board of Directors and the holders of the Preferred Majority;</w:t>
      </w:r>
    </w:p>
    <w:p>
      <w:pPr>
        <w:spacing w:after="0" w:line="179" w:lineRule="exact"/>
        <w:rPr>
          <w:rFonts w:ascii="Times New Roman" w:cs="Times New Roman" w:eastAsia="Times New Roman" w:hAnsi="Times New Roman"/>
          <w:sz w:val="18"/>
          <w:szCs w:val="18"/>
          <w:color w:val="auto"/>
        </w:rPr>
      </w:pPr>
    </w:p>
    <w:p>
      <w:pPr>
        <w:ind w:firstLine="1979"/>
        <w:spacing w:after="0" w:line="261" w:lineRule="auto"/>
        <w:tabs>
          <w:tab w:leader="none" w:pos="2238"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upon the exercise or conversion of Options or Convertible Securities that are (i) outstanding as of the date of the filing of this Amended and Restated Certificate of Incorporation or (ii) issued or deemed to be issued following the date of this Amended and Restated Certificate of Incorporation and that are excluded from the definition of Additional Shares of Common pursuant to any provision of this Section 4(d)(i);</w:t>
      </w:r>
    </w:p>
    <w:p>
      <w:pPr>
        <w:spacing w:after="0" w:line="179" w:lineRule="exact"/>
        <w:rPr>
          <w:rFonts w:ascii="Times New Roman" w:cs="Times New Roman" w:eastAsia="Times New Roman" w:hAnsi="Times New Roman"/>
          <w:sz w:val="18"/>
          <w:szCs w:val="18"/>
          <w:color w:val="auto"/>
        </w:rPr>
      </w:pPr>
    </w:p>
    <w:p>
      <w:pPr>
        <w:ind w:right="140" w:firstLine="1979"/>
        <w:spacing w:after="0" w:line="282" w:lineRule="auto"/>
        <w:tabs>
          <w:tab w:leader="none" w:pos="2238"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issued or issuable as a dividend or distribution on Preferred Stock or pursuant to any event for which adjustment is made pursuant to paragraph 4(e), 4(f) or 4(g) 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14" w:name="page315"/>
    <w:bookmarkEnd w:id="314"/>
    <w:p>
      <w:pPr>
        <w:ind w:left="-20" w:right="100" w:firstLine="1979"/>
        <w:spacing w:after="0" w:line="282" w:lineRule="auto"/>
        <w:tabs>
          <w:tab w:leader="none" w:pos="221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shares of Common Stock issued or issuable in a registered public offering under the Securities Act pursuant to which all outstanding shares of Preferred Stock are automatically converted into Common Stock pursuant to an Automatic Conversion Event;</w:t>
      </w:r>
    </w:p>
    <w:p>
      <w:pPr>
        <w:spacing w:after="0" w:line="161" w:lineRule="exact"/>
        <w:rPr>
          <w:rFonts w:ascii="Times New Roman" w:cs="Times New Roman" w:eastAsia="Times New Roman" w:hAnsi="Times New Roman"/>
          <w:sz w:val="18"/>
          <w:szCs w:val="18"/>
          <w:color w:val="auto"/>
        </w:rPr>
      </w:pPr>
    </w:p>
    <w:p>
      <w:pPr>
        <w:ind w:left="-20" w:right="120" w:firstLine="1979"/>
        <w:spacing w:after="0" w:line="266" w:lineRule="auto"/>
        <w:tabs>
          <w:tab w:leader="none" w:pos="221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issued or issuable pursuant to the acquisition of another corporation by the Corporation by merger, purchase of substantially all of the assets or other reorganization or to a joint venture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issuances are approved by the Board of Directors, including a majority of the Preferred Directors;</w:t>
      </w:r>
    </w:p>
    <w:p>
      <w:pPr>
        <w:spacing w:after="0" w:line="175" w:lineRule="exact"/>
        <w:rPr>
          <w:rFonts w:ascii="Times New Roman" w:cs="Times New Roman" w:eastAsia="Times New Roman" w:hAnsi="Times New Roman"/>
          <w:sz w:val="18"/>
          <w:szCs w:val="18"/>
          <w:color w:val="auto"/>
        </w:rPr>
      </w:pPr>
    </w:p>
    <w:p>
      <w:pPr>
        <w:ind w:left="-20" w:right="20" w:firstLine="1979"/>
        <w:spacing w:after="0" w:line="258" w:lineRule="auto"/>
        <w:tabs>
          <w:tab w:leader="none" w:pos="221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issued or issuable to banks, equipment lessors, real property lessors, financial institutions or other persons engaged in the business of making loans pursuant to a debt financing, commercial leasing or real property leasing transaction approved by the Board of Directors, including a majority of the Preferred Directors; provided that the exclusion provided for in this paragraph (7) shall not include shares of Common Stock issued or issuable pursuant to convertible debt securities and accompanying warrants, the majority of which are issued to then existing stockholders of the Corporation; and</w:t>
      </w:r>
    </w:p>
    <w:p>
      <w:pPr>
        <w:spacing w:after="0" w:line="183" w:lineRule="exact"/>
        <w:rPr>
          <w:rFonts w:ascii="Times New Roman" w:cs="Times New Roman" w:eastAsia="Times New Roman" w:hAnsi="Times New Roman"/>
          <w:sz w:val="18"/>
          <w:szCs w:val="18"/>
          <w:color w:val="auto"/>
        </w:rPr>
      </w:pPr>
    </w:p>
    <w:p>
      <w:pPr>
        <w:jc w:val="both"/>
        <w:ind w:left="-20" w:right="300" w:firstLine="1979"/>
        <w:spacing w:after="0" w:line="266" w:lineRule="auto"/>
        <w:tabs>
          <w:tab w:leader="none" w:pos="221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issued or issuable in connection with sponsored research, collaboration, technology license, development, OEM, marketing or other similar agreements or strategic partnerships approved by the Board of Directors, including a majority of the Preferred Directors.</w:t>
      </w:r>
    </w:p>
    <w:p>
      <w:pPr>
        <w:spacing w:after="0" w:line="171" w:lineRule="exact"/>
        <w:rPr>
          <w:rFonts w:ascii="Times New Roman" w:cs="Times New Roman" w:eastAsia="Times New Roman" w:hAnsi="Times New Roman"/>
          <w:sz w:val="18"/>
          <w:szCs w:val="18"/>
          <w:color w:val="auto"/>
        </w:rPr>
      </w:pPr>
    </w:p>
    <w:p>
      <w:pPr>
        <w:ind w:left="-20" w:right="20" w:firstLine="1428"/>
        <w:spacing w:after="0" w:line="262" w:lineRule="auto"/>
        <w:tabs>
          <w:tab w:leader="none" w:pos="167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Adjustment of Conversion Price. </w:t>
      </w:r>
      <w:r>
        <w:rPr>
          <w:rFonts w:ascii="Times New Roman" w:cs="Times New Roman" w:eastAsia="Times New Roman" w:hAnsi="Times New Roman"/>
          <w:sz w:val="18"/>
          <w:szCs w:val="18"/>
          <w:color w:val="auto"/>
        </w:rPr>
        <w:t>No adjustment in the Conversion Price of a particular series of Preferred Stock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made in respect of the issuance of Additional Shares of Common unless the consideration per share (as determined pursuant to paragraph 4(d)(v)) for an Additional Share of Common issued or deemed to be issued by the Corporation is less than the Conversion Price in effect on the date of, and immediately prior to such issue, for such series of Preferred Stock.</w:t>
      </w:r>
    </w:p>
    <w:p>
      <w:pPr>
        <w:spacing w:after="0" w:line="176" w:lineRule="exact"/>
        <w:rPr>
          <w:rFonts w:ascii="Times New Roman" w:cs="Times New Roman" w:eastAsia="Times New Roman" w:hAnsi="Times New Roman"/>
          <w:sz w:val="18"/>
          <w:szCs w:val="18"/>
          <w:color w:val="auto"/>
        </w:rPr>
      </w:pPr>
    </w:p>
    <w:p>
      <w:pPr>
        <w:ind w:left="-20" w:right="20" w:firstLine="1428"/>
        <w:spacing w:after="0" w:line="255" w:lineRule="auto"/>
        <w:tabs>
          <w:tab w:leader="none" w:pos="172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Deemed Issue of Additional Shares of Common. </w:t>
      </w:r>
      <w:r>
        <w:rPr>
          <w:rFonts w:ascii="Times New Roman" w:cs="Times New Roman" w:eastAsia="Times New Roman" w:hAnsi="Times New Roman"/>
          <w:sz w:val="18"/>
          <w:szCs w:val="18"/>
          <w:color w:val="auto"/>
        </w:rPr>
        <w:t>In the event the Corporation at any time or from time to time after the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filing of this Amended and Restated Certificate of Incorporation shall issue any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of Common Stock issuable upon the exercise of such Options or, in the case of Convertible Securities, the conversion or exchange of such Convertible Securities or, in the case of Options for Convertible Securities, the exercise of such Options and the conversion or exchange of the underlying securities, shall be deemed to have been issued as of the time of such issue or, in case such a record date shall have been fixed, as of the close of business on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any such case in which shares are deemed to be issued:</w:t>
      </w:r>
    </w:p>
    <w:p>
      <w:pPr>
        <w:spacing w:after="0" w:line="188" w:lineRule="exact"/>
        <w:rPr>
          <w:rFonts w:ascii="Times New Roman" w:cs="Times New Roman" w:eastAsia="Times New Roman" w:hAnsi="Times New Roman"/>
          <w:sz w:val="18"/>
          <w:szCs w:val="18"/>
          <w:color w:val="auto"/>
        </w:rPr>
      </w:pPr>
    </w:p>
    <w:p>
      <w:pPr>
        <w:ind w:left="-20" w:firstLine="1979"/>
        <w:spacing w:after="0" w:line="266" w:lineRule="auto"/>
        <w:tabs>
          <w:tab w:leader="none" w:pos="221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adjustment in the Conversion Price of any series of Preferred Stock shall be made upon the subsequent issue of Convertible Securities or shares of Common Stock in connection with the exercise of such Options or conversion or exchange of such Convertible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60" w:top="270" w:right="479" w:bottom="1440" w:gutter="0" w:footer="0" w:header="0"/>
        </w:sectPr>
      </w:pPr>
    </w:p>
    <w:bookmarkStart w:id="315" w:name="page316"/>
    <w:bookmarkEnd w:id="315"/>
    <w:p>
      <w:pPr>
        <w:ind w:left="-20" w:right="40" w:firstLine="1979"/>
        <w:spacing w:after="0" w:line="256" w:lineRule="auto"/>
        <w:tabs>
          <w:tab w:leader="none" w:pos="2218"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such Options or Convertible Securities by their terms provide, with the passage of time or otherwise, for any change in the consideration payable to the Corporation or in the number of shares of Common Stock issuable upon the exercise, conversion or exchange thereof (other than a change pursuant to the anti-dilution provisions of such Options or Convertible Securities such as this Section 4(d) or pursuant to Recapitalization provisions of such Options or Convertible Securities such as Sections 4(e), 4(f) and 4(g) hereof), the Conversion Price of each series of Preferred Stock and any subsequent adjustments based thereon shall be recomputed to reflect such change as if such change had been in effect as of the original issue thereof (or upon the occurrence of the record date with respect thereto);</w:t>
      </w:r>
    </w:p>
    <w:p>
      <w:pPr>
        <w:spacing w:after="0" w:line="187" w:lineRule="exact"/>
        <w:rPr>
          <w:rFonts w:ascii="Times New Roman" w:cs="Times New Roman" w:eastAsia="Times New Roman" w:hAnsi="Times New Roman"/>
          <w:sz w:val="18"/>
          <w:szCs w:val="18"/>
          <w:color w:val="auto"/>
        </w:rPr>
      </w:pPr>
    </w:p>
    <w:p>
      <w:pPr>
        <w:ind w:left="-20" w:right="140" w:firstLine="1979"/>
        <w:spacing w:after="0" w:line="266" w:lineRule="auto"/>
        <w:tabs>
          <w:tab w:leader="none" w:pos="2218"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readjustment pursuant to clause (2) above shall have the effect of increasing the Conversion Price of a series of Preferred Stock to an amount above the Conversion Price that would have resulted from any other issuances of Additional Shares of Common and any other adjustments provided for herein between the original adjustment date and such readjustment date;</w:t>
      </w:r>
    </w:p>
    <w:p>
      <w:pPr>
        <w:spacing w:after="0" w:line="175" w:lineRule="exact"/>
        <w:rPr>
          <w:rFonts w:ascii="Times New Roman" w:cs="Times New Roman" w:eastAsia="Times New Roman" w:hAnsi="Times New Roman"/>
          <w:sz w:val="18"/>
          <w:szCs w:val="18"/>
          <w:color w:val="auto"/>
        </w:rPr>
      </w:pPr>
    </w:p>
    <w:p>
      <w:pPr>
        <w:ind w:left="-20" w:firstLine="1979"/>
        <w:spacing w:after="0" w:line="266" w:lineRule="auto"/>
        <w:tabs>
          <w:tab w:leader="none" w:pos="2218"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any such Options or any rights of conversion or exchange under such Convertible Securities which shall not have been exercised, the Conversion Price of each Series of Preferred Stock computed upon the original issue thereof (or upon the occurrence of a record date with respect thereto) and any subsequent adjustments based thereon shall, upon such expiration, be recomputed as if:</w:t>
      </w:r>
    </w:p>
    <w:p>
      <w:pPr>
        <w:spacing w:after="0" w:line="175" w:lineRule="exact"/>
        <w:rPr>
          <w:rFonts w:ascii="Times New Roman" w:cs="Times New Roman" w:eastAsia="Times New Roman" w:hAnsi="Times New Roman"/>
          <w:sz w:val="18"/>
          <w:szCs w:val="18"/>
          <w:color w:val="auto"/>
        </w:rPr>
      </w:pPr>
    </w:p>
    <w:p>
      <w:pPr>
        <w:ind w:left="-20" w:right="60" w:firstLine="2419"/>
        <w:spacing w:after="0" w:line="258" w:lineRule="auto"/>
        <w:tabs>
          <w:tab w:leader="none" w:pos="2648"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Convertible Securities or Options for Common Stock, the only Additional Shares of Common issued were the shares of Common Stock, if any, actually issued upon the exercise of such Options or the conversion or exchange of such Convertible Securities and the consideration received therefor was the consideration actually received by the Corporation for the issue of such exercised Options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183" w:lineRule="exact"/>
        <w:rPr>
          <w:rFonts w:ascii="Times New Roman" w:cs="Times New Roman" w:eastAsia="Times New Roman" w:hAnsi="Times New Roman"/>
          <w:sz w:val="18"/>
          <w:szCs w:val="18"/>
          <w:color w:val="auto"/>
        </w:rPr>
      </w:pPr>
    </w:p>
    <w:p>
      <w:pPr>
        <w:ind w:left="-20" w:right="140" w:firstLine="2419"/>
        <w:spacing w:after="0" w:line="258" w:lineRule="auto"/>
        <w:tabs>
          <w:tab w:leader="none" w:pos="2658"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Options for Convertible Securities, only the Convertible Securities, if any, actually issued upon the exercise thereof were issued at the time of issue of such Options, and the consideration received by the Corporation for the Additional Shares of Common deemed to have been then issued was the consideration actually received by the Corporation for the issue of such exercised Options, plus the consideration deemed to have been received by the Corporation (determined pursuant to Section 4(d)(v)) upon the issue of the Convertible Securities with respect to which such Options were actually exercised; and</w:t>
      </w:r>
    </w:p>
    <w:p>
      <w:pPr>
        <w:spacing w:after="0" w:line="183" w:lineRule="exact"/>
        <w:rPr>
          <w:rFonts w:ascii="Times New Roman" w:cs="Times New Roman" w:eastAsia="Times New Roman" w:hAnsi="Times New Roman"/>
          <w:sz w:val="18"/>
          <w:szCs w:val="18"/>
          <w:color w:val="auto"/>
        </w:rPr>
      </w:pPr>
    </w:p>
    <w:p>
      <w:pPr>
        <w:ind w:left="-20" w:right="420" w:firstLine="1979"/>
        <w:spacing w:after="0" w:line="261" w:lineRule="auto"/>
        <w:tabs>
          <w:tab w:leader="none" w:pos="2218"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record date shall have been fixed and such Options or Convertible Securities are not issued on the date fixed therefor, the adjustment previously made in the Conversion Price which became effective on such record date shall be canceled as of the close of business on such record date, and thereafter the Conversion Price shall be adjusted pursuant to this paragraph 4(d(iii) as of the actual date of their issuance.</w:t>
      </w:r>
    </w:p>
    <w:p>
      <w:pPr>
        <w:spacing w:after="0" w:line="175" w:lineRule="exact"/>
        <w:rPr>
          <w:rFonts w:ascii="Times New Roman" w:cs="Times New Roman" w:eastAsia="Times New Roman" w:hAnsi="Times New Roman"/>
          <w:sz w:val="18"/>
          <w:szCs w:val="18"/>
          <w:color w:val="auto"/>
        </w:rPr>
      </w:pPr>
    </w:p>
    <w:p>
      <w:pPr>
        <w:ind w:left="-20" w:right="280" w:firstLine="1428"/>
        <w:spacing w:after="0" w:line="286" w:lineRule="auto"/>
        <w:tabs>
          <w:tab w:leader="none" w:pos="1717"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Adjustment of Conversion Price Upon Issuance of Additional Shares of Common. </w:t>
      </w:r>
      <w:r>
        <w:rPr>
          <w:rFonts w:ascii="Times New Roman" w:cs="Times New Roman" w:eastAsia="Times New Roman" w:hAnsi="Times New Roman"/>
          <w:sz w:val="18"/>
          <w:szCs w:val="18"/>
          <w:color w:val="auto"/>
        </w:rPr>
        <w:t>In the event this Corporation shall issue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Shares of Common (including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60" w:top="270" w:right="479" w:bottom="1440" w:gutter="0" w:footer="0" w:header="0"/>
        </w:sectPr>
      </w:pPr>
    </w:p>
    <w:bookmarkStart w:id="316" w:name="page317"/>
    <w:bookmarkEnd w:id="316"/>
    <w:p>
      <w:pPr>
        <w:ind w:left="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Shares of Common deemed to be issued pursuant to paragraph 4(d)(iii)) without consideration or for a consideration per share less than the applicable Conversion Price of a series of Preferred Stock in effect on the date of and immediately prior to such issue, then, the Conversion Price of the affected series of Preferred Stock shall be reduced, concurrently with such issue, to a price determined by multiplying such Conversion Price by a fraction, the numerator of which shall be the number of shares of Common Stock outstanding immediately prior to such issue plus the number of shares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Notwithstanding the foregoing, the Conversion Price shall not be reduced at such time if the amount of such reduction would be less than $0.001, but any such amount shall be carried forward, and a reduction will be made with respect to such amount at the time of, and together with, any subsequent reduction which, together with such amount and any other amounts so carried forward, equal $0.001 or more in the aggregate. For the purposes of this Subsection 4(d)(iv), all shares of Common Stock issuable upon conversion of all outstanding shares of Preferred Stock and the exercise and/or conversion of any other outstanding Convertible Securities and all outstanding Options shall be deemed to be outstanding.</w:t>
      </w:r>
    </w:p>
    <w:p>
      <w:pPr>
        <w:spacing w:after="0" w:line="186" w:lineRule="exact"/>
        <w:rPr>
          <w:sz w:val="20"/>
          <w:szCs w:val="20"/>
          <w:color w:val="auto"/>
        </w:rPr>
      </w:pPr>
    </w:p>
    <w:p>
      <w:pPr>
        <w:ind w:left="4" w:right="380" w:firstLine="1428"/>
        <w:spacing w:after="0" w:line="286" w:lineRule="auto"/>
        <w:tabs>
          <w:tab w:leader="none" w:pos="1691"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Determination of Consideration. </w:t>
      </w:r>
      <w:r>
        <w:rPr>
          <w:rFonts w:ascii="Times New Roman" w:cs="Times New Roman" w:eastAsia="Times New Roman" w:hAnsi="Times New Roman"/>
          <w:sz w:val="18"/>
          <w:szCs w:val="18"/>
          <w:color w:val="auto"/>
        </w:rPr>
        <w:t>For purposes of this subsection 4(d), the consideration received by the Corporation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 (or deemed issue) of any Additional Shares of Common shall be computed as follows:</w:t>
      </w:r>
    </w:p>
    <w:p>
      <w:pPr>
        <w:spacing w:after="0" w:line="154" w:lineRule="exact"/>
        <w:rPr>
          <w:rFonts w:ascii="Times New Roman" w:cs="Times New Roman" w:eastAsia="Times New Roman" w:hAnsi="Times New Roman"/>
          <w:sz w:val="18"/>
          <w:szCs w:val="18"/>
          <w:color w:val="auto"/>
        </w:rPr>
      </w:pPr>
    </w:p>
    <w:p>
      <w:pPr>
        <w:ind w:left="2244" w:hanging="261"/>
        <w:spacing w:after="0"/>
        <w:tabs>
          <w:tab w:leader="none" w:pos="2244"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 and Property. </w:t>
      </w:r>
      <w:r>
        <w:rPr>
          <w:rFonts w:ascii="Times New Roman" w:cs="Times New Roman" w:eastAsia="Times New Roman" w:hAnsi="Times New Roman"/>
          <w:sz w:val="18"/>
          <w:szCs w:val="18"/>
          <w:color w:val="auto"/>
        </w:rPr>
        <w:t>Such consideration shall:</w:t>
      </w:r>
    </w:p>
    <w:p>
      <w:pPr>
        <w:spacing w:after="0" w:line="229" w:lineRule="exact"/>
        <w:rPr>
          <w:rFonts w:ascii="Times New Roman" w:cs="Times New Roman" w:eastAsia="Times New Roman" w:hAnsi="Times New Roman"/>
          <w:sz w:val="18"/>
          <w:szCs w:val="18"/>
          <w:color w:val="auto"/>
        </w:rPr>
      </w:pPr>
    </w:p>
    <w:p>
      <w:pPr>
        <w:ind w:left="4" w:right="200" w:firstLine="2419"/>
        <w:spacing w:after="0" w:line="266" w:lineRule="auto"/>
        <w:tabs>
          <w:tab w:leader="none" w:pos="2672" w:val="left"/>
        </w:tabs>
        <w:numPr>
          <w:ilvl w:val="3"/>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cash, be computed at the aggregate amount of cash received by the Corporation before deducting any reasonable discounts, commissions or other expenses allowed, paid or incurred by the Corporation for any underwriting or otherwise in connection with such issuance;</w:t>
      </w:r>
    </w:p>
    <w:p>
      <w:pPr>
        <w:spacing w:after="0" w:line="175" w:lineRule="exact"/>
        <w:rPr>
          <w:rFonts w:ascii="Times New Roman" w:cs="Times New Roman" w:eastAsia="Times New Roman" w:hAnsi="Times New Roman"/>
          <w:sz w:val="18"/>
          <w:szCs w:val="18"/>
          <w:color w:val="auto"/>
        </w:rPr>
      </w:pPr>
    </w:p>
    <w:p>
      <w:pPr>
        <w:ind w:left="4" w:right="240" w:firstLine="2419"/>
        <w:spacing w:after="0" w:line="282" w:lineRule="auto"/>
        <w:tabs>
          <w:tab w:leader="none" w:pos="2682" w:val="left"/>
        </w:tabs>
        <w:numPr>
          <w:ilvl w:val="3"/>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property other than cash, be computed at the fair market value thereof at the time of such issue, as determined in good faith by the Board of Directors, including a majority of the Preferred Directors; and</w:t>
      </w:r>
    </w:p>
    <w:p>
      <w:pPr>
        <w:spacing w:after="0" w:line="161" w:lineRule="exact"/>
        <w:rPr>
          <w:rFonts w:ascii="Times New Roman" w:cs="Times New Roman" w:eastAsia="Times New Roman" w:hAnsi="Times New Roman"/>
          <w:sz w:val="18"/>
          <w:szCs w:val="18"/>
          <w:color w:val="auto"/>
        </w:rPr>
      </w:pPr>
    </w:p>
    <w:p>
      <w:pPr>
        <w:ind w:left="4" w:right="120" w:firstLine="2419"/>
        <w:spacing w:after="0" w:line="261" w:lineRule="auto"/>
        <w:tabs>
          <w:tab w:leader="none" w:pos="2672" w:val="left"/>
        </w:tabs>
        <w:numPr>
          <w:ilvl w:val="3"/>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Additional Shares of Common are issued together with other shares or securities or other assets of the Corporation for consideration which covers both, be the proportion of such consideration so received, computed as provided in clauses (a) and</w:t>
      </w:r>
    </w:p>
    <w:p>
      <w:pPr>
        <w:ind w:left="264" w:hanging="264"/>
        <w:spacing w:after="0"/>
        <w:tabs>
          <w:tab w:leader="none" w:pos="26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as reasonably determined in good faith by the Board of Directors, including a majority of the Preferred Directors.</w:t>
      </w:r>
    </w:p>
    <w:p>
      <w:pPr>
        <w:spacing w:after="0" w:line="202" w:lineRule="exact"/>
        <w:rPr>
          <w:rFonts w:ascii="Times New Roman" w:cs="Times New Roman" w:eastAsia="Times New Roman" w:hAnsi="Times New Roman"/>
          <w:sz w:val="18"/>
          <w:szCs w:val="18"/>
          <w:color w:val="auto"/>
        </w:rPr>
      </w:pPr>
    </w:p>
    <w:p>
      <w:pPr>
        <w:ind w:left="4" w:right="260" w:firstLine="1979"/>
        <w:spacing w:after="0" w:line="286" w:lineRule="auto"/>
        <w:tabs>
          <w:tab w:leader="none" w:pos="2241"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Options and Convertible Securities. </w:t>
      </w:r>
      <w:r>
        <w:rPr>
          <w:rFonts w:ascii="Times New Roman" w:cs="Times New Roman" w:eastAsia="Times New Roman" w:hAnsi="Times New Roman"/>
          <w:sz w:val="18"/>
          <w:szCs w:val="18"/>
          <w:color w:val="auto"/>
        </w:rPr>
        <w:t>The consideration per share received by the Corporation for Additional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deemed to have been issued pursuant to paragraph 4(d)(iii) shall be determined by dividing:</w:t>
      </w:r>
    </w:p>
    <w:p>
      <w:pPr>
        <w:spacing w:after="0" w:line="158" w:lineRule="exact"/>
        <w:rPr>
          <w:rFonts w:ascii="Times New Roman" w:cs="Times New Roman" w:eastAsia="Times New Roman" w:hAnsi="Times New Roman"/>
          <w:sz w:val="18"/>
          <w:szCs w:val="18"/>
          <w:color w:val="auto"/>
        </w:rPr>
      </w:pPr>
    </w:p>
    <w:p>
      <w:pPr>
        <w:ind w:left="4" w:firstLine="2419"/>
        <w:spacing w:after="0" w:line="266" w:lineRule="auto"/>
        <w:tabs>
          <w:tab w:leader="none" w:pos="2682" w:val="left"/>
        </w:tabs>
        <w:numPr>
          <w:ilvl w:val="3"/>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317" w:name="page318"/>
    <w:bookmarkEnd w:id="317"/>
    <w:p>
      <w:pPr>
        <w:ind w:right="60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40" w:lineRule="exact"/>
        <w:rPr>
          <w:sz w:val="20"/>
          <w:szCs w:val="20"/>
          <w:color w:val="auto"/>
        </w:rPr>
      </w:pPr>
    </w:p>
    <w:p>
      <w:pPr>
        <w:ind w:right="180" w:firstLine="2419"/>
        <w:spacing w:after="0" w:line="266" w:lineRule="auto"/>
        <w:tabs>
          <w:tab w:leader="none" w:pos="267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171" w:lineRule="exact"/>
        <w:rPr>
          <w:rFonts w:ascii="Times New Roman" w:cs="Times New Roman" w:eastAsia="Times New Roman" w:hAnsi="Times New Roman"/>
          <w:sz w:val="18"/>
          <w:szCs w:val="18"/>
          <w:color w:val="auto"/>
        </w:rPr>
      </w:pPr>
    </w:p>
    <w:p>
      <w:pPr>
        <w:ind w:right="60" w:firstLine="987"/>
        <w:spacing w:after="0" w:line="257" w:lineRule="auto"/>
        <w:tabs>
          <w:tab w:leader="none" w:pos="123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Adjustments for Subdivisions or Combinations of Common Stock. </w:t>
      </w:r>
      <w:r>
        <w:rPr>
          <w:rFonts w:ascii="Times New Roman" w:cs="Times New Roman" w:eastAsia="Times New Roman" w:hAnsi="Times New Roman"/>
          <w:sz w:val="18"/>
          <w:szCs w:val="18"/>
          <w:color w:val="auto"/>
        </w:rPr>
        <w:t>In the event the outstanding shares of Common Stock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subdivided (by stock split, by payment of a stock dividend or otherwise), into a greater number of shares of Common Stock, the Conversion Price of each series of Preferred Stock in effect immediately prior to such subdivision shall, concurrently with the effectiveness of such subdivision, be proportionately decreased. In the event the outstanding shares of Common Stock shall be combined (by reclassification or otherwise) into a lesser number of shares of Common Stock, the Conversion Prices in effect immediately prior to such combination shall, concurrently with the effectiveness of such combination, be proportionately increased.</w:t>
      </w:r>
    </w:p>
    <w:p>
      <w:pPr>
        <w:spacing w:after="0" w:line="182" w:lineRule="exact"/>
        <w:rPr>
          <w:rFonts w:ascii="Times New Roman" w:cs="Times New Roman" w:eastAsia="Times New Roman" w:hAnsi="Times New Roman"/>
          <w:sz w:val="18"/>
          <w:szCs w:val="18"/>
          <w:color w:val="auto"/>
        </w:rPr>
      </w:pPr>
    </w:p>
    <w:p>
      <w:pPr>
        <w:ind w:firstLine="987"/>
        <w:spacing w:after="0" w:line="256" w:lineRule="auto"/>
        <w:tabs>
          <w:tab w:leader="none" w:pos="121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Adjustments for Subdivisions or Combinations of Preferred Stock. </w:t>
      </w:r>
      <w:r>
        <w:rPr>
          <w:rFonts w:ascii="Times New Roman" w:cs="Times New Roman" w:eastAsia="Times New Roman" w:hAnsi="Times New Roman"/>
          <w:sz w:val="18"/>
          <w:szCs w:val="18"/>
          <w:color w:val="auto"/>
        </w:rPr>
        <w:t>In the event the outstanding shares of Preferred Stock or a series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shall be subdivided (by stock split, by payment of a stock dividend or otherwise), into a greater number of shares of Preferred Stock, the Dividend Rate and Original Issue Price of the affected series of Preferred Stock in effect immediately prior to such subdivision shall, concurrently with the effectiveness of such subdivision, be proportionately decreased. In the event the outstanding shares of Preferred Stock or a series of Preferred Stock shall be combined (by reclassification or otherwise) into a lesser number of shares of Preferred Stock, the Dividend Rate and Original Issue Price of the affected series of Preferred Stock in effect immediately prior to such combination shall, concurrently with the effectiveness of such combination, be proportionately increased.</w:t>
      </w:r>
    </w:p>
    <w:p>
      <w:pPr>
        <w:spacing w:after="0" w:line="182"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Adjustments for Reclassification, Exchange and Substitution. </w:t>
      </w:r>
      <w:r>
        <w:rPr>
          <w:rFonts w:ascii="Times New Roman" w:cs="Times New Roman" w:eastAsia="Times New Roman" w:hAnsi="Times New Roman"/>
          <w:sz w:val="18"/>
          <w:szCs w:val="18"/>
          <w:color w:val="auto"/>
        </w:rPr>
        <w:t>Subject to Section 3 (“</w:t>
      </w:r>
      <w:r>
        <w:rPr>
          <w:rFonts w:ascii="Times New Roman" w:cs="Times New Roman" w:eastAsia="Times New Roman" w:hAnsi="Times New Roman"/>
          <w:sz w:val="18"/>
          <w:szCs w:val="18"/>
          <w:b w:val="1"/>
          <w:bCs w:val="1"/>
          <w:i w:val="1"/>
          <w:iCs w:val="1"/>
          <w:color w:val="auto"/>
        </w:rPr>
        <w:t>Liquidation Rights</w:t>
      </w:r>
      <w:r>
        <w:rPr>
          <w:rFonts w:ascii="Times New Roman" w:cs="Times New Roman" w:eastAsia="Times New Roman" w:hAnsi="Times New Roman"/>
          <w:sz w:val="18"/>
          <w:szCs w:val="18"/>
          <w:color w:val="auto"/>
        </w:rPr>
        <w:t>”), if the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issuable upon conversion of the Preferred Stock shall be changed into the same or a different number of shares of any other class or classes of stock, whether by capital reorganization, reclassification or otherwise (other than a subdivision or combination of shares provided for above), then, in any such event, in lieu of the number of shares of Common Stock which the holders would otherwise have been entitled to receive each holder of such Preferred Stock shall have the right thereafter to convert such shares of Preferred Stock into a number of shares of such other class or classes of stock which a holder of the number of shares of Common Stock deliverable upon conversion of such series of Preferred Stock immediately before that change would have been entitled to receive in such reorganization or reclassification, all subject to further adjustment as provided herein with respect to such other shares.</w:t>
      </w:r>
    </w:p>
    <w:p>
      <w:pPr>
        <w:spacing w:after="0" w:line="184" w:lineRule="exact"/>
        <w:rPr>
          <w:rFonts w:ascii="Times New Roman" w:cs="Times New Roman" w:eastAsia="Times New Roman" w:hAnsi="Times New Roman"/>
          <w:sz w:val="18"/>
          <w:szCs w:val="18"/>
          <w:color w:val="auto"/>
        </w:rPr>
      </w:pPr>
    </w:p>
    <w:p>
      <w:pPr>
        <w:ind w:right="80" w:firstLine="987"/>
        <w:spacing w:after="0" w:line="262" w:lineRule="auto"/>
        <w:tabs>
          <w:tab w:leader="none" w:pos="124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Certificate as to Adjustments. </w:t>
      </w:r>
      <w:r>
        <w:rPr>
          <w:rFonts w:ascii="Times New Roman" w:cs="Times New Roman" w:eastAsia="Times New Roman" w:hAnsi="Times New Roman"/>
          <w:sz w:val="18"/>
          <w:szCs w:val="18"/>
          <w:color w:val="auto"/>
        </w:rPr>
        <w:t>Upon the occurrence of each adjustment or readjustment of the Conversion Price pursuant to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4, the Corporation at its expense shall promptly compute such adjustment or readjustment in accordance with the terms hereof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18" w:name="page319"/>
    <w:bookmarkEnd w:id="318"/>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furnished to such holder a like certificate setting forth (i) such adjustments and readjustments, (ii) the Conversion Price at the time in effect and (iii) the number of shares of Common Stock and the amount, if any, of other property which at the time would be received upon the conversion of Preferred Stock.</w:t>
      </w:r>
    </w:p>
    <w:p>
      <w:pPr>
        <w:spacing w:after="0" w:line="172" w:lineRule="exact"/>
        <w:rPr>
          <w:sz w:val="20"/>
          <w:szCs w:val="20"/>
          <w:color w:val="auto"/>
        </w:rPr>
      </w:pPr>
    </w:p>
    <w:p>
      <w:pPr>
        <w:ind w:right="220" w:firstLine="987"/>
        <w:spacing w:after="0" w:line="278" w:lineRule="auto"/>
        <w:tabs>
          <w:tab w:leader="none" w:pos="1206"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Waiver of Adjustment of Conversion Price. </w:t>
      </w:r>
      <w:r>
        <w:rPr>
          <w:rFonts w:ascii="Times New Roman" w:cs="Times New Roman" w:eastAsia="Times New Roman" w:hAnsi="Times New Roman"/>
          <w:sz w:val="17"/>
          <w:szCs w:val="17"/>
          <w:color w:val="auto"/>
        </w:rPr>
        <w:t>Notwithstanding anything herein to the contrary, any downward adjustment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Conversion Price of any series of Preferred Stock may be waived by the consent or vote of the holders of a majority of the outstanding shares of such series either before or after the issuance causing the adjustment, provided that (i) any such waiver with respect to shares of Series A Preferred Stock shall be made only by the consent or vote of the Series A Majority and (ii) any such waiver with respect to shares of Series D Preferred Stock shall be made only by the consent or vote of the Series D Majority. Any such waiver shall bind all future holders of shares of such series of Preferred Stock.</w:t>
      </w:r>
    </w:p>
    <w:p>
      <w:pPr>
        <w:spacing w:after="0" w:line="163" w:lineRule="exact"/>
        <w:rPr>
          <w:rFonts w:ascii="Times New Roman" w:cs="Times New Roman" w:eastAsia="Times New Roman" w:hAnsi="Times New Roman"/>
          <w:sz w:val="17"/>
          <w:szCs w:val="17"/>
          <w:color w:val="auto"/>
        </w:rPr>
      </w:pPr>
    </w:p>
    <w:p>
      <w:pPr>
        <w:ind w:left="1200" w:hanging="213"/>
        <w:spacing w:after="0"/>
        <w:tabs>
          <w:tab w:leader="none" w:pos="12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Notices of Record Date. </w:t>
      </w:r>
      <w:r>
        <w:rPr>
          <w:rFonts w:ascii="Times New Roman" w:cs="Times New Roman" w:eastAsia="Times New Roman" w:hAnsi="Times New Roman"/>
          <w:sz w:val="18"/>
          <w:szCs w:val="18"/>
          <w:color w:val="auto"/>
        </w:rPr>
        <w:t>In the event that this Corporation shall propose at any time:</w:t>
      </w:r>
    </w:p>
    <w:p>
      <w:pPr>
        <w:spacing w:after="0" w:line="229" w:lineRule="exact"/>
        <w:rPr>
          <w:rFonts w:ascii="Times New Roman" w:cs="Times New Roman" w:eastAsia="Times New Roman" w:hAnsi="Times New Roman"/>
          <w:sz w:val="18"/>
          <w:szCs w:val="18"/>
          <w:color w:val="auto"/>
        </w:rPr>
      </w:pPr>
    </w:p>
    <w:p>
      <w:pPr>
        <w:ind w:right="120" w:firstLine="1428"/>
        <w:spacing w:after="0" w:line="282" w:lineRule="auto"/>
        <w:tabs>
          <w:tab w:leader="none" w:pos="1647"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declare any Distribution upon its Common Stock, whether in cash, property, stock or other securities, whether or not a regular cash dividend and whether or not out of earnings or earned surplus;</w:t>
      </w:r>
    </w:p>
    <w:p>
      <w:pPr>
        <w:spacing w:after="0" w:line="161"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any reclassification or recapitalization of its Common Stock outstanding involving a change in the Common Stock; or</w:t>
      </w:r>
    </w:p>
    <w:p>
      <w:pPr>
        <w:spacing w:after="0" w:line="225" w:lineRule="exact"/>
        <w:rPr>
          <w:rFonts w:ascii="Times New Roman" w:cs="Times New Roman" w:eastAsia="Times New Roman" w:hAnsi="Times New Roman"/>
          <w:sz w:val="18"/>
          <w:szCs w:val="18"/>
          <w:color w:val="auto"/>
        </w:rPr>
      </w:pPr>
    </w:p>
    <w:p>
      <w:pPr>
        <w:ind w:right="180" w:firstLine="1428"/>
        <w:spacing w:after="0" w:line="282" w:lineRule="auto"/>
        <w:tabs>
          <w:tab w:leader="none" w:pos="1747"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voluntarily liquidate or dissolve or to enter into any transaction deemed to be a liquidation, dissolution or winding up of the Corporation pursuant to Section 3(c);</w:t>
      </w:r>
    </w:p>
    <w:p>
      <w:pPr>
        <w:spacing w:after="0" w:line="16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then, in connection with each such event, this Corporation shall send to the holders of the Preferred Stock at least 10 days’ prior written notice of the date on which a record shall be taken for such Distribution (and specifying the date on which the holders of Common Stock shall be entitled thereto and, if applicable, the amount and character of such Distribution) or for determining rights to vote in respect of the matters referred to in (ii) and (iii) above.</w:t>
      </w:r>
    </w:p>
    <w:p>
      <w:pPr>
        <w:spacing w:after="0" w:line="158"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Such written notice shall be given by first class mail (or express courier), postage prepaid, addressed to the holders of Preferred Stock at the address for each such holder as shown on the books of the Corporation and shall be deemed given on the date such notice is mailed.</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notice provisions set forth in this section may be shortened or waived prospectively or retrospectively by the consent or vote of Preferred Majority.</w:t>
      </w:r>
    </w:p>
    <w:p>
      <w:pPr>
        <w:spacing w:after="0" w:line="158" w:lineRule="exact"/>
        <w:rPr>
          <w:sz w:val="20"/>
          <w:szCs w:val="20"/>
          <w:color w:val="auto"/>
        </w:rPr>
      </w:pPr>
    </w:p>
    <w:p>
      <w:pPr>
        <w:ind w:firstLine="987"/>
        <w:spacing w:after="0" w:line="257" w:lineRule="auto"/>
        <w:tabs>
          <w:tab w:leader="none" w:pos="124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Reservation of Stock Issuable Upon Conversion. </w:t>
      </w:r>
      <w:r>
        <w:rPr>
          <w:rFonts w:ascii="Times New Roman" w:cs="Times New Roman" w:eastAsia="Times New Roman" w:hAnsi="Times New Roman"/>
          <w:sz w:val="18"/>
          <w:szCs w:val="18"/>
          <w:color w:val="auto"/>
        </w:rPr>
        <w:t>The Corporation shall at all times reserve and keep available out of its authorized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unissued shares of Common Stock solely for the purpose of effecting the conversion of the shares of the Preferred Stock, such number of its shares of Common Stock as shall from time to time be sufficient to effect the conversion of all then outstanding shares of the Preferred Stock; and if at any time the number of authorized but unissued shares of Common Stock shall not be sufficient to effect the conversion of all then outstanding shares of the Preferred Stock, the Corporation will take such corporate action as may, in the opinion of its counsel, be necessary to increase its authorized but unissued shares of Common Stock to such number of shares as shall be sufficient for such purpose.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19" w:name="page320"/>
    <w:bookmarkEnd w:id="319"/>
    <w:p>
      <w:pPr>
        <w:ind w:left="620" w:hanging="184"/>
        <w:spacing w:after="0"/>
        <w:tabs>
          <w:tab w:leader="none" w:pos="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Voting.</w:t>
      </w:r>
    </w:p>
    <w:p>
      <w:pPr>
        <w:spacing w:after="0" w:line="225" w:lineRule="exact"/>
        <w:rPr>
          <w:rFonts w:ascii="Times New Roman" w:cs="Times New Roman" w:eastAsia="Times New Roman" w:hAnsi="Times New Roman"/>
          <w:sz w:val="18"/>
          <w:szCs w:val="18"/>
          <w:color w:val="auto"/>
        </w:rPr>
      </w:pPr>
    </w:p>
    <w:p>
      <w:pPr>
        <w:ind w:right="260" w:firstLine="987"/>
        <w:spacing w:after="0" w:line="286" w:lineRule="auto"/>
        <w:tabs>
          <w:tab w:leader="none" w:pos="123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Restricted Class Voting. </w:t>
      </w:r>
      <w:r>
        <w:rPr>
          <w:rFonts w:ascii="Times New Roman" w:cs="Times New Roman" w:eastAsia="Times New Roman" w:hAnsi="Times New Roman"/>
          <w:sz w:val="18"/>
          <w:szCs w:val="18"/>
          <w:color w:val="auto"/>
        </w:rPr>
        <w:t>Except as otherwise expressly provided herein or as required by law, the holders of Preferred Stock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Common Stock shall vote together and not as separate classes.</w:t>
      </w:r>
    </w:p>
    <w:p>
      <w:pPr>
        <w:spacing w:after="0" w:line="15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Series Voting. </w:t>
      </w:r>
      <w:r>
        <w:rPr>
          <w:rFonts w:ascii="Times New Roman" w:cs="Times New Roman" w:eastAsia="Times New Roman" w:hAnsi="Times New Roman"/>
          <w:sz w:val="18"/>
          <w:szCs w:val="18"/>
          <w:color w:val="auto"/>
        </w:rPr>
        <w:t>Other than as provided herein or required by law, there shall be no series voting.</w:t>
      </w:r>
    </w:p>
    <w:p>
      <w:pPr>
        <w:spacing w:after="0" w:line="225" w:lineRule="exact"/>
        <w:rPr>
          <w:rFonts w:ascii="Times New Roman" w:cs="Times New Roman" w:eastAsia="Times New Roman" w:hAnsi="Times New Roman"/>
          <w:sz w:val="18"/>
          <w:szCs w:val="18"/>
          <w:color w:val="auto"/>
        </w:rPr>
      </w:pPr>
    </w:p>
    <w:p>
      <w:pPr>
        <w:ind w:firstLine="987"/>
        <w:spacing w:after="0" w:line="257" w:lineRule="auto"/>
        <w:tabs>
          <w:tab w:leader="none" w:pos="123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Each holder of Preferred Stock shall be entitled to the number of votes equal to the number of shares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into which the shares of Preferred Stock held by such holder could be converted as of the record date. Fractional votes shall not be permitted and any fractional voting rights resulting from the above formula (after aggregating all shares into which shares of Preferred Stock held by each holder could be converted) shall be disregarded. Except as otherwise expressly provided herein or as required by law, the holders of shares of the Preferred Stock shall be entitled to vote on all matters on which the Common Stock shall be entitled to vote. Holders of Preferred Stock shall be entitled to notice of any stockholders’ meeting in accordance with the Bylaws of the Corporation.</w:t>
      </w:r>
    </w:p>
    <w:p>
      <w:pPr>
        <w:spacing w:after="0" w:line="182"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Election of Directors. </w:t>
      </w:r>
      <w:r>
        <w:rPr>
          <w:rFonts w:ascii="Times New Roman" w:cs="Times New Roman" w:eastAsia="Times New Roman" w:hAnsi="Times New Roman"/>
          <w:sz w:val="18"/>
          <w:szCs w:val="18"/>
          <w:color w:val="auto"/>
        </w:rPr>
        <w:t>The holders of Preferred Stock, voting as a separate class, shall be entitled to elect four members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Board of Directors at each meeting or pursuant to each consent of the Corporation’s stockholders for the election of directors. The holders of Common Stock, voting as a separate class, shall be entitled to elect two members of the Corporation’s Board of Directors at each meeting or pursuant to each consent of the Corporation’s stockholders for the election of directors. Any additional members of the Corporation’s Board of Directors shall be elected by the holders of Common Stock and the holders of Preferred Stock, voting together as a single class on an as converted to Common Stock basis. If a vacancy on the Board of Directors is to be filled by the Board of Directors, only directors elected by the same class or classes of stockholders as those who would be entitled to vote to fill such vacancy shall vote to fill such vacancy.</w:t>
      </w:r>
    </w:p>
    <w:p>
      <w:pPr>
        <w:spacing w:after="0" w:line="182" w:lineRule="exact"/>
        <w:rPr>
          <w:rFonts w:ascii="Times New Roman" w:cs="Times New Roman" w:eastAsia="Times New Roman" w:hAnsi="Times New Roman"/>
          <w:sz w:val="18"/>
          <w:szCs w:val="18"/>
          <w:color w:val="auto"/>
        </w:rPr>
      </w:pPr>
    </w:p>
    <w:p>
      <w:pPr>
        <w:ind w:firstLine="987"/>
        <w:spacing w:after="0" w:line="268" w:lineRule="auto"/>
        <w:tabs>
          <w:tab w:leader="none" w:pos="123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Adjustment in Authorized Common Stock. </w:t>
      </w:r>
      <w:r>
        <w:rPr>
          <w:rFonts w:ascii="Times New Roman" w:cs="Times New Roman" w:eastAsia="Times New Roman" w:hAnsi="Times New Roman"/>
          <w:sz w:val="18"/>
          <w:szCs w:val="18"/>
          <w:color w:val="auto"/>
        </w:rPr>
        <w:t>The number of authorized shares of Common Stock may be increased or decreased (but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the number of shares of Common Stock then outstanding) by an affirmative vote of the holders in the aggregate of a majority of the then outstanding stock of the Corporation, irrespective of the provisions of Section 242(b)(2) of the General Corporation Law of the State of Delaware.</w:t>
      </w:r>
    </w:p>
    <w:p>
      <w:pPr>
        <w:spacing w:after="0" w:line="170"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Each holder of shares of Common Stock shall be entitled to one vote for each share thereof held.</w:t>
      </w:r>
    </w:p>
    <w:p>
      <w:pPr>
        <w:spacing w:after="0" w:line="225" w:lineRule="exact"/>
        <w:rPr>
          <w:rFonts w:ascii="Times New Roman" w:cs="Times New Roman" w:eastAsia="Times New Roman" w:hAnsi="Times New Roman"/>
          <w:sz w:val="18"/>
          <w:szCs w:val="18"/>
          <w:color w:val="auto"/>
        </w:rPr>
      </w:pPr>
    </w:p>
    <w:p>
      <w:pPr>
        <w:jc w:val="both"/>
        <w:ind w:right="20" w:firstLine="436"/>
        <w:spacing w:after="0" w:line="259" w:lineRule="auto"/>
        <w:tabs>
          <w:tab w:leader="none" w:pos="62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Amendments and Changes. </w:t>
      </w:r>
      <w:r>
        <w:rPr>
          <w:rFonts w:ascii="Times New Roman" w:cs="Times New Roman" w:eastAsia="Times New Roman" w:hAnsi="Times New Roman"/>
          <w:sz w:val="18"/>
          <w:szCs w:val="18"/>
          <w:color w:val="auto"/>
        </w:rPr>
        <w:t>So long as at least 29,682,664 of all originally issued shares of Preferred Stock remain outstanding (as adjusted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stock splits, stock dividends, combinations, subdivisions, recapitalizations, reorganizations, reclassifications or the like), the Corporation shall not, without first obtaining the approval (by vote or written consent as provided by law) of the holders of the Preferred Majority (in addition to any other vote required by law or the Certificate of Incorporation or bylaws of the Corporation) either directly or indirectly, by amendment, merger, consolidation, reclassification or otherwise:</w:t>
      </w:r>
    </w:p>
    <w:p>
      <w:pPr>
        <w:spacing w:after="0" w:line="183" w:lineRule="exact"/>
        <w:rPr>
          <w:rFonts w:ascii="Times New Roman" w:cs="Times New Roman" w:eastAsia="Times New Roman" w:hAnsi="Times New Roman"/>
          <w:sz w:val="18"/>
          <w:szCs w:val="18"/>
          <w:b w:val="1"/>
          <w:bCs w:val="1"/>
          <w:color w:val="auto"/>
        </w:rPr>
      </w:pPr>
    </w:p>
    <w:p>
      <w:pPr>
        <w:ind w:right="120" w:firstLine="987"/>
        <w:spacing w:after="0" w:line="282" w:lineRule="auto"/>
        <w:tabs>
          <w:tab w:leader="none" w:pos="123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merger, liquidation, dissolution or winding up of the Corporation or any transaction or series of related transactions deemed to be a liquidation, dissolution or winding up of the Corporation pursuant to Section 3(e);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320" w:name="page321"/>
    <w:bookmarkEnd w:id="320"/>
    <w:p>
      <w:pPr>
        <w:ind w:right="60" w:firstLine="987"/>
        <w:spacing w:after="0" w:line="266" w:lineRule="auto"/>
        <w:tabs>
          <w:tab w:leader="none" w:pos="124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 alter, waive or repeal any provision of the Certificate of Incorporation or bylaws of the Corporation if such amendment, alteration, waive or repeal would amend, alter, waive or repeal the rights, preferences, privileges or powers of, or restrictions provided for the benefit of, the Preferred Stock or any series thereof;</w:t>
      </w:r>
    </w:p>
    <w:p>
      <w:pPr>
        <w:spacing w:after="0" w:line="175"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create or issue or obligate itself to issue any class or series of equity security (including any security convertible into or exercisable for any equity security) having rights, preferences or privileges with respect to dividends, redemption or payments upon liquidation senior to or on a parity with any series of Preferred Stock;</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authorized number of shares of Common Stock or Preferred Stock or any series thereof;</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Distribution with respect to the Common Stock or Preferred Stock of the Corporation;</w:t>
      </w:r>
    </w:p>
    <w:p>
      <w:pPr>
        <w:spacing w:after="0" w:line="225"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21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incur or create any indebtedness (including any debt securities convertible into or exercisable for any equity security of the Corporation) in any single transaction or series of related transactions having an aggregate principal amount in excess of $500,000 or if the issuance of such indebtedness would result in the Corporation’s cumulative indebtedness exceeding $2,000,000 in the aggregate;</w:t>
      </w:r>
    </w:p>
    <w:p>
      <w:pPr>
        <w:spacing w:after="0" w:line="175"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hold capital stock in, any subsidiary that is not wholly owned (either directly or through one or more other subsidiaries) by the Corporation, or dispose of any capital stock or all or substantially all of the assets of any subsidiary;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size of the Board of Directors;</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license, pledge, or encumber any material assets of the Corporation, other than licenses granted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jc w:val="both"/>
        <w:ind w:right="240" w:firstLine="987"/>
        <w:spacing w:after="0" w:line="266" w:lineRule="auto"/>
        <w:tabs>
          <w:tab w:leader="none" w:pos="120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interested party transaction, unless approved by the Board, including the approval of (i) a majority of the disinterested directors and (ii) a majority of the Preferred Directors if at least a majority of Preferred Directors are disinterested or, if only one Preferred Director is disinterested, such disinterested Preferred Director, if any;</w:t>
      </w:r>
    </w:p>
    <w:p>
      <w:pPr>
        <w:spacing w:after="0" w:line="175"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or amend (including any increase in the number of shares subject to issuance thereunder) any stock plan or other similar equity incentive arrangement for the benefit of employees or other service providers unless approved by the Board of Directors including a majority of the Preferred Directors;</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0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hold capital stock in, any subsidiary that is not wholly owned (either directly or through one or more other subsidiaries) by the Corporation, or permit any subsidiary to create, or authorize the creation of, or issue or obligate itself to issue, any shares of any class or series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321" w:name="page322"/>
    <w:bookmarkEnd w:id="321"/>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176" w:lineRule="exact"/>
        <w:rPr>
          <w:sz w:val="20"/>
          <w:szCs w:val="20"/>
          <w:color w:val="auto"/>
        </w:rPr>
      </w:pPr>
    </w:p>
    <w:p>
      <w:pPr>
        <w:ind w:left="1300" w:hanging="313"/>
        <w:spacing w:after="0"/>
        <w:tabs>
          <w:tab w:leader="none" w:pos="130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authorize or permit any subsidiary to take any of the foregoing actions; 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this Section 6.</w:t>
      </w:r>
    </w:p>
    <w:p>
      <w:pPr>
        <w:spacing w:after="0" w:line="221" w:lineRule="exact"/>
        <w:rPr>
          <w:rFonts w:ascii="Times New Roman" w:cs="Times New Roman" w:eastAsia="Times New Roman" w:hAnsi="Times New Roman"/>
          <w:sz w:val="18"/>
          <w:szCs w:val="18"/>
          <w:color w:val="auto"/>
        </w:rPr>
      </w:pPr>
    </w:p>
    <w:p>
      <w:pPr>
        <w:ind w:firstLine="436"/>
        <w:spacing w:after="0" w:line="256" w:lineRule="auto"/>
        <w:tabs>
          <w:tab w:leader="none" w:pos="6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Series A Protective Provisions</w:t>
      </w:r>
      <w:r>
        <w:rPr>
          <w:rFonts w:ascii="Times New Roman" w:cs="Times New Roman" w:eastAsia="Times New Roman" w:hAnsi="Times New Roman"/>
          <w:sz w:val="18"/>
          <w:szCs w:val="18"/>
          <w:color w:val="auto"/>
        </w:rPr>
        <w:t>. So long as at least 8,505,228 shares of Series A Preferred Stock originally issued remain outstanding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for any stock splits, stock dividends, combinations, subdivisions, recapitalizations, reorganizations, reclassifications or the like), the Corporation shall not, either directly or indirectly, by amendment, merger, consolidation, reclassification or otherwise, amend, alter or repeal any provision of this Corporation’s Certificate of Incorporation or Bylaws in a manner that would adversely alter the rights, preferences or privileges of the Series A Preferred Stock but not so adversely affect the rights, preferences, and privileges of the other series of Preferred Stock in the same manner without (in addition to any other vote required by law or the Certificate of Incorporation) first obtaining the approval (by vote or written consent, as provided by law) of the Series A Majority.</w:t>
      </w:r>
    </w:p>
    <w:p>
      <w:pPr>
        <w:spacing w:after="0" w:line="182" w:lineRule="exact"/>
        <w:rPr>
          <w:rFonts w:ascii="Times New Roman" w:cs="Times New Roman" w:eastAsia="Times New Roman" w:hAnsi="Times New Roman"/>
          <w:sz w:val="18"/>
          <w:szCs w:val="18"/>
          <w:color w:val="auto"/>
        </w:rPr>
      </w:pPr>
    </w:p>
    <w:p>
      <w:pPr>
        <w:ind w:firstLine="436"/>
        <w:spacing w:after="0" w:line="256" w:lineRule="auto"/>
        <w:tabs>
          <w:tab w:leader="none" w:pos="6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Series B Protective Provisions</w:t>
      </w:r>
      <w:r>
        <w:rPr>
          <w:rFonts w:ascii="Times New Roman" w:cs="Times New Roman" w:eastAsia="Times New Roman" w:hAnsi="Times New Roman"/>
          <w:sz w:val="18"/>
          <w:szCs w:val="18"/>
          <w:color w:val="auto"/>
        </w:rPr>
        <w:t>. So long as at least 8,079,360 shares of Series B Preferred Stock originally issued remain outstanding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for any stock splits, stock dividends, combinations, subdivisions, recapitalizations, reorganizations, reclassifications or the like), the Corporation shall not, either directly or indirectly, by amendment, merger, consolidation, reclassification or otherwise, amend, alter or repeal any provision of this Corporation’s Certificate of Incorporation or Bylaws in a manner that would adversely alter the rights, preferences or privileges of the Series B Preferred Stock but not so adversely affect the rights, preferences, and privileges of the other series of Preferred Stock in the same manner without (in addition to any other vote required by law or the Certificate of Incorporation) first obtaining the approval (by vote or written consent, as provided by law) of the holders of a majority of the outstanding shares of Series B Preferred Stock.</w:t>
      </w:r>
    </w:p>
    <w:p>
      <w:pPr>
        <w:spacing w:after="0" w:line="182" w:lineRule="exact"/>
        <w:rPr>
          <w:rFonts w:ascii="Times New Roman" w:cs="Times New Roman" w:eastAsia="Times New Roman" w:hAnsi="Times New Roman"/>
          <w:sz w:val="18"/>
          <w:szCs w:val="18"/>
          <w:color w:val="auto"/>
        </w:rPr>
      </w:pPr>
    </w:p>
    <w:p>
      <w:pPr>
        <w:ind w:firstLine="436"/>
        <w:spacing w:after="0" w:line="259" w:lineRule="auto"/>
        <w:tabs>
          <w:tab w:leader="none" w:pos="6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Series C Protective Provisions</w:t>
      </w:r>
      <w:r>
        <w:rPr>
          <w:rFonts w:ascii="Times New Roman" w:cs="Times New Roman" w:eastAsia="Times New Roman" w:hAnsi="Times New Roman"/>
          <w:sz w:val="18"/>
          <w:szCs w:val="18"/>
          <w:color w:val="auto"/>
        </w:rPr>
        <w:t>. So long as at least 5,759,610 shares of Series C Preferred Stock originally issued remain outstanding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for any stock splits, stock dividends, combinations, subdivisions, recapitalizations, reorganizations, reclassifications or the like), the Corporation shall not, without (in addition to any other vote required by law or the Certificate of Incorporation) first obtaining the approval (by vote or written consent, as provided by law) of the Series C Majority, either directly or indirectly, by amendment, merger, consolidation, reclassification or otherwise:</w:t>
      </w:r>
    </w:p>
    <w:p>
      <w:pPr>
        <w:spacing w:after="0" w:line="183"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alter or repeal any provision of this Corporation’s Certificate of Incorporation or Bylaws in a manner that would adversely alter the rights, preferences or privileges of the Series C Preferred Stock but not so adversely affect the rights, preferences, and privileges of the other series of Preferred Stock in the same manner; or</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liquidation, dissolution or winding up of the Corporation or any transaction or series of related transactions deemed to be a liquidation, dissolution or winding up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60"/>
          </w:cols>
          <w:pgMar w:left="440" w:top="270" w:right="599" w:bottom="1440" w:gutter="0" w:footer="0" w:header="0"/>
        </w:sectPr>
      </w:pPr>
    </w:p>
    <w:bookmarkStart w:id="322" w:name="page323"/>
    <w:bookmarkEnd w:id="322"/>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Corporation pursuant to Section 3(e) unless each share of Series C Preferred Stock receives at least the Original Issue Price of the Series C Preferred Stock in any such transaction (exclusive of any contingent consideration).</w:t>
      </w:r>
    </w:p>
    <w:p>
      <w:pPr>
        <w:spacing w:after="0" w:line="158" w:lineRule="exact"/>
        <w:rPr>
          <w:sz w:val="20"/>
          <w:szCs w:val="20"/>
          <w:color w:val="auto"/>
        </w:rPr>
      </w:pPr>
    </w:p>
    <w:p>
      <w:pPr>
        <w:ind w:right="100" w:firstLine="436"/>
        <w:spacing w:after="0" w:line="259" w:lineRule="auto"/>
        <w:tabs>
          <w:tab w:leader="none" w:pos="71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Series D Protective Provisions</w:t>
      </w:r>
      <w:r>
        <w:rPr>
          <w:rFonts w:ascii="Times New Roman" w:cs="Times New Roman" w:eastAsia="Times New Roman" w:hAnsi="Times New Roman"/>
          <w:sz w:val="18"/>
          <w:szCs w:val="18"/>
          <w:color w:val="auto"/>
        </w:rPr>
        <w:t>. So long as at least 5,604,035 of the shares of Series D Preferred Stock originally issued remain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adjusted for any stock splits, stock dividends, combinations, subdivisions, recapitalizations, reorganizations, reclassifications or the like), the Corporation shall not, without (in addition to any other vote required by law or the Certificate of Incorporation) first obtaining the approval (by vote or written consent, as provided by law) of the Series D Majority, either directly or indirectly, by amendment, merger, consolidation, reclassification or otherwise:</w:t>
      </w:r>
    </w:p>
    <w:p>
      <w:pPr>
        <w:spacing w:after="0" w:line="183" w:lineRule="exact"/>
        <w:rPr>
          <w:rFonts w:ascii="Times New Roman" w:cs="Times New Roman" w:eastAsia="Times New Roman" w:hAnsi="Times New Roman"/>
          <w:sz w:val="18"/>
          <w:szCs w:val="18"/>
          <w:color w:val="auto"/>
        </w:rPr>
      </w:pPr>
    </w:p>
    <w:p>
      <w:pPr>
        <w:ind w:right="560" w:firstLine="987"/>
        <w:spacing w:after="0" w:line="270" w:lineRule="auto"/>
        <w:tabs>
          <w:tab w:leader="none" w:pos="1236"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waive, alter or repeal any provision of this Corporation’s Certificate of Incorporation or Bylaws in a manner that would adversely alter the series-specific rights, preferences or privileges of the Series D Preferred Stock (it being agreed that any amendment, waiver, alteration or repeal of the definition of “Series D Majority”, Section 2(e)(ii), any waiver of the Series D Preferred Stock’s Liquidation Rights in Section 3 in connection with any liquidation, dissolution or winding up of the Corporation, or any amendment, waiver, alteration or repeal of</w:t>
      </w:r>
    </w:p>
    <w:p>
      <w:pPr>
        <w:spacing w:after="0" w:line="2" w:lineRule="exact"/>
        <w:rPr>
          <w:rFonts w:ascii="Times New Roman" w:cs="Times New Roman" w:eastAsia="Times New Roman" w:hAnsi="Times New Roman"/>
          <w:sz w:val="17"/>
          <w:szCs w:val="17"/>
          <w:color w:val="auto"/>
        </w:rPr>
      </w:pPr>
    </w:p>
    <w:p>
      <w:pPr>
        <w:ind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4(j)(ii) that results in a disproportionate effect on the Series D Preferred Stock would adversely alter such rights, preferences or privileges of the Series D Preferred Stock); or</w:t>
      </w:r>
    </w:p>
    <w:p>
      <w:pPr>
        <w:spacing w:after="0" w:line="181" w:lineRule="exact"/>
        <w:rPr>
          <w:rFonts w:ascii="Times New Roman" w:cs="Times New Roman" w:eastAsia="Times New Roman" w:hAnsi="Times New Roman"/>
          <w:sz w:val="17"/>
          <w:szCs w:val="17"/>
          <w:color w:val="auto"/>
        </w:rPr>
      </w:pPr>
    </w:p>
    <w:p>
      <w:pPr>
        <w:ind w:right="120" w:firstLine="987"/>
        <w:spacing w:after="0" w:line="266" w:lineRule="auto"/>
        <w:tabs>
          <w:tab w:leader="none" w:pos="1246"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liquidation, dissolution or winding up of the Corporation or any transaction or series of related transactions deemed to be a liquidation, dissolution or winding up of the Corporation pursuant to Section 3(e) unless each share of Series D Preferred Stock receives at least the Original Issue Price of the Series D Preferred Stock in any such transaction (exclusive of any contingent consideration).</w:t>
      </w:r>
    </w:p>
    <w:p>
      <w:pPr>
        <w:spacing w:after="0" w:line="171" w:lineRule="exact"/>
        <w:rPr>
          <w:rFonts w:ascii="Times New Roman" w:cs="Times New Roman" w:eastAsia="Times New Roman" w:hAnsi="Times New Roman"/>
          <w:sz w:val="18"/>
          <w:szCs w:val="18"/>
          <w:color w:val="auto"/>
        </w:rPr>
      </w:pPr>
    </w:p>
    <w:p>
      <w:pPr>
        <w:ind w:right="680" w:firstLine="436"/>
        <w:spacing w:after="0" w:line="317" w:lineRule="auto"/>
        <w:tabs>
          <w:tab w:leader="none" w:pos="703"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Reissuance of Preferred Stock. </w:t>
      </w:r>
      <w:r>
        <w:rPr>
          <w:rFonts w:ascii="Times New Roman" w:cs="Times New Roman" w:eastAsia="Times New Roman" w:hAnsi="Times New Roman"/>
          <w:sz w:val="17"/>
          <w:szCs w:val="17"/>
          <w:color w:val="auto"/>
        </w:rPr>
        <w:t>In the event that any shares of Preferred Stock shall be converted pursuant to Section 4 or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repurchased by the Corporation, the shares so converted or repurchased shall be cancelled and shall not be issuable by this Corporation.</w:t>
      </w:r>
    </w:p>
    <w:p>
      <w:pPr>
        <w:spacing w:after="0" w:line="131" w:lineRule="exact"/>
        <w:rPr>
          <w:rFonts w:ascii="Times New Roman" w:cs="Times New Roman" w:eastAsia="Times New Roman" w:hAnsi="Times New Roman"/>
          <w:sz w:val="17"/>
          <w:szCs w:val="17"/>
          <w:color w:val="auto"/>
        </w:rPr>
      </w:pPr>
    </w:p>
    <w:p>
      <w:pPr>
        <w:jc w:val="both"/>
        <w:ind w:right="380" w:firstLine="436"/>
        <w:spacing w:after="0" w:line="268" w:lineRule="auto"/>
        <w:tabs>
          <w:tab w:leader="none" w:pos="71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 required by the provisions of this ARTICLE V to be given to the holders of Preferred Stock shall be deemed given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in the United States mail, postage prepaid, and addressed to each holder of record at such holder’s address appearing on the books of the Corporation.</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Corporation is to have perpetual existence.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Elections of directors need not be by written ballot unless the Bylaws of the Corporation shall so provide.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323" w:name="page324"/>
    <w:bookmarkEnd w:id="3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VIII</w:t>
      </w:r>
    </w:p>
    <w:p>
      <w:pPr>
        <w:spacing w:after="0" w:line="22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set forth herein, the number of directors that constitute the Board of Directors of the Corporation shall be fixed by, or in the manner provided in, the Bylaws of the Corporation.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statute, the Board of Directors of the Corporation is expressly authorized to adopt, amend or repeal the Bylaws of the Corporation.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ind w:right="100" w:firstLine="436"/>
        <w:spacing w:after="0" w:line="255" w:lineRule="auto"/>
        <w:tabs>
          <w:tab w:leader="none" w:pos="62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Delaware General Corporation Law as the same exists or as may hereafter be amended, a director of the Corporation shall not be personally liable to the Corporation or its stockholders for monetary damages for a breach of fiduciary duty as a director. If the Delaware General Corporation Law is amended to authorize corporate action further eliminating or limiting the personal liability of directors, then the liability of a director of the Corporation shall be eliminated or limited to the fullest extent permitted by the Delaware General Corporation Law, as so amended. Neither any amendment nor repeal of this Section 1, nor the adoption of any provision of this Corporation’s Certificate of Incorporation inconsistent with this Section 1, shall eliminate or reduce the effect of this Section 1, in respect of any matter occurring, or any action or proceeding accruing or arising or that, but for this Section 1, would accrue or arise, prior to such amendment, repeal or adoption of an inconsistent provision.</w:t>
      </w:r>
    </w:p>
    <w:p>
      <w:pPr>
        <w:spacing w:after="0" w:line="188"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the power to indemnify, to the extent permitted by the Delaware General Corporation Law, as it presently exists or may hereafter be amended from time to time,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A right to indemnification or to advancement of expenses arising under a provision of this Certificate of Incorporation or a bylaw of the Corporation shall not be eliminated or impaired by an amendment to this Certificate of Incorporation or the Bylaws of the Corporation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Meetings of stockholders may be held within or without the State of Delaware, as the Bylaws may provide. The books of the Corporation may be kept (subject to any provision contained in the statutes) outside of the State of Delaware at such place or places as may be designated from time to time by the Board of Directors or in the Bylaws of the Corporation.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324" w:name="page325"/>
    <w:bookmarkEnd w:id="3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XII</w:t>
      </w:r>
    </w:p>
    <w:p>
      <w:pPr>
        <w:spacing w:after="0" w:line="22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To the extent permitted by law, the Corporation renounces any expectancy that a Covered Person offer the Corporation an opportunity to participate in a Specified Opportunity and waives any claim that the Specified Opportunity constitutes a corporate opportunity that should have been presented by the Covered Person to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Covered Person acts in good faith.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is any member of the Board of Directors of the Corporation (who is not an employee of the Corporation or any of its subsidiaries) who is a partner, member or employee of a Fund. A “</w:t>
      </w:r>
      <w:r>
        <w:rPr>
          <w:rFonts w:ascii="Times New Roman" w:cs="Times New Roman" w:eastAsia="Times New Roman" w:hAnsi="Times New Roman"/>
          <w:sz w:val="18"/>
          <w:szCs w:val="18"/>
          <w:b w:val="1"/>
          <w:bCs w:val="1"/>
          <w:i w:val="1"/>
          <w:iCs w:val="1"/>
          <w:color w:val="auto"/>
        </w:rPr>
        <w:t>Specified Opportunity</w:t>
      </w:r>
      <w:r>
        <w:rPr>
          <w:rFonts w:ascii="Times New Roman" w:cs="Times New Roman" w:eastAsia="Times New Roman" w:hAnsi="Times New Roman"/>
          <w:sz w:val="18"/>
          <w:szCs w:val="18"/>
          <w:color w:val="auto"/>
        </w:rPr>
        <w:t>” is any transaction or other matter that is presented to the Covered Person in his or her capacity as a partner, member or employee of a Fund (and other than in connection with his or her service as a member of the Board of Directors of the Corporation) that may be an opportunity of interest for both the Corporation and the Fund. A “</w:t>
      </w:r>
      <w:r>
        <w:rPr>
          <w:rFonts w:ascii="Times New Roman" w:cs="Times New Roman" w:eastAsia="Times New Roman" w:hAnsi="Times New Roman"/>
          <w:sz w:val="18"/>
          <w:szCs w:val="18"/>
          <w:b w:val="1"/>
          <w:bCs w:val="1"/>
          <w:i w:val="1"/>
          <w:iCs w:val="1"/>
          <w:color w:val="auto"/>
        </w:rPr>
        <w:t>Fund</w:t>
      </w:r>
      <w:r>
        <w:rPr>
          <w:rFonts w:ascii="Times New Roman" w:cs="Times New Roman" w:eastAsia="Times New Roman" w:hAnsi="Times New Roman"/>
          <w:sz w:val="18"/>
          <w:szCs w:val="18"/>
          <w:color w:val="auto"/>
        </w:rPr>
        <w:t>” is an entity that is a holder of Preferred Stock and that is primarily in the business of investing in other entities, or an entity that manages such an entity.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the Corporation’s Certificate of Incorporation or bylaws, or (iv)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Article XIII.</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325" w:name="page326"/>
    <w:bookmarkEnd w:id="3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OF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3"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PMV Pharmaceuticals, Inc., a corporation organized and existing under the laws of the State of Delaware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hereby certifies as follows:</w:t>
      </w:r>
    </w:p>
    <w:p>
      <w:pPr>
        <w:spacing w:after="0" w:line="159" w:lineRule="exact"/>
        <w:rPr>
          <w:sz w:val="20"/>
          <w:szCs w:val="20"/>
          <w:color w:val="auto"/>
        </w:rPr>
      </w:pPr>
    </w:p>
    <w:p>
      <w:pPr>
        <w:ind w:right="460" w:firstLine="436"/>
        <w:spacing w:after="0" w:line="266" w:lineRule="auto"/>
        <w:tabs>
          <w:tab w:leader="none" w:pos="6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PMV Pharmaceuticals, Inc. The original Certificate of Incorporation of the Corporation was filed with the Secretary of State of the State (“</w:t>
      </w:r>
      <w:r>
        <w:rPr>
          <w:rFonts w:ascii="Times New Roman" w:cs="Times New Roman" w:eastAsia="Times New Roman" w:hAnsi="Times New Roman"/>
          <w:sz w:val="18"/>
          <w:szCs w:val="18"/>
          <w:b w:val="1"/>
          <w:bCs w:val="1"/>
          <w:i w:val="1"/>
          <w:iCs w:val="1"/>
          <w:color w:val="auto"/>
        </w:rPr>
        <w:t>SOS</w:t>
      </w:r>
      <w:r>
        <w:rPr>
          <w:rFonts w:ascii="Times New Roman" w:cs="Times New Roman" w:eastAsia="Times New Roman" w:hAnsi="Times New Roman"/>
          <w:sz w:val="18"/>
          <w:szCs w:val="18"/>
          <w:color w:val="auto"/>
        </w:rPr>
        <w:t>”) of Delaware on March 19, 2013. The Corporation’s most recent Amended and Restated Certificate of Incorporation was filed with the SOS on July 16, 2020 (the “</w:t>
      </w:r>
      <w:r>
        <w:rPr>
          <w:rFonts w:ascii="Times New Roman" w:cs="Times New Roman" w:eastAsia="Times New Roman" w:hAnsi="Times New Roman"/>
          <w:sz w:val="18"/>
          <w:szCs w:val="18"/>
          <w:b w:val="1"/>
          <w:bCs w:val="1"/>
          <w:i w:val="1"/>
          <w:iCs w:val="1"/>
          <w:color w:val="auto"/>
        </w:rPr>
        <w:t>Restated Certificate</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right="660" w:firstLine="436"/>
        <w:spacing w:after="0" w:line="286" w:lineRule="auto"/>
        <w:tabs>
          <w:tab w:leader="none" w:pos="6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to the Restated Certificate (the “</w:t>
      </w:r>
      <w:r>
        <w:rPr>
          <w:rFonts w:ascii="Times New Roman" w:cs="Times New Roman" w:eastAsia="Times New Roman" w:hAnsi="Times New Roman"/>
          <w:sz w:val="18"/>
          <w:szCs w:val="18"/>
          <w:b w:val="1"/>
          <w:bCs w:val="1"/>
          <w:i w:val="1"/>
          <w:iCs w:val="1"/>
          <w:color w:val="auto"/>
        </w:rPr>
        <w:t>Certificate of Amendment</w:t>
      </w:r>
      <w:r>
        <w:rPr>
          <w:rFonts w:ascii="Times New Roman" w:cs="Times New Roman" w:eastAsia="Times New Roman" w:hAnsi="Times New Roman"/>
          <w:sz w:val="18"/>
          <w:szCs w:val="18"/>
          <w:color w:val="auto"/>
        </w:rPr>
        <w:t>”) has been duly adopted in accordance with Section 242 of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amends the provisions of the Restated Certificate.</w:t>
      </w:r>
    </w:p>
    <w:p>
      <w:pPr>
        <w:spacing w:after="0" w:line="158" w:lineRule="exact"/>
        <w:rPr>
          <w:rFonts w:ascii="Times New Roman" w:cs="Times New Roman" w:eastAsia="Times New Roman" w:hAnsi="Times New Roman"/>
          <w:sz w:val="18"/>
          <w:szCs w:val="18"/>
          <w:color w:val="auto"/>
        </w:rPr>
      </w:pPr>
    </w:p>
    <w:p>
      <w:pPr>
        <w:jc w:val="both"/>
        <w:ind w:right="320" w:firstLine="436"/>
        <w:spacing w:after="0" w:line="266" w:lineRule="auto"/>
        <w:tabs>
          <w:tab w:leader="none" w:pos="6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Certificate of Amendment have been duly approved by written consent of the required number of shares of outstanding stock of the Corporation pursuant to Subsection 228(a) of the DGCL and written notice pursuant to Subsection 228(e) of the DGCL has been or will be given to those stockholders whose written consent has not been obtained.</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IV of the Restated Certificate is hereby amended and restated in its entirety to read as follows:</w:t>
      </w:r>
    </w:p>
    <w:p>
      <w:pPr>
        <w:spacing w:after="0" w:line="117" w:lineRule="exact"/>
        <w:rPr>
          <w:sz w:val="20"/>
          <w:szCs w:val="20"/>
          <w:color w:val="auto"/>
        </w:rPr>
      </w:pPr>
    </w:p>
    <w:p>
      <w:pPr>
        <w:ind w:left="440" w:firstLine="423"/>
        <w:spacing w:after="0" w:line="269" w:lineRule="auto"/>
        <w:rPr>
          <w:sz w:val="20"/>
          <w:szCs w:val="20"/>
          <w:color w:val="auto"/>
        </w:rPr>
      </w:pPr>
      <w:r>
        <w:rPr>
          <w:rFonts w:ascii="Times New Roman" w:cs="Times New Roman" w:eastAsia="Times New Roman" w:hAnsi="Times New Roman"/>
          <w:sz w:val="17"/>
          <w:szCs w:val="17"/>
          <w:color w:val="auto"/>
        </w:rPr>
        <w:t>“Immediately upon the filing of this Certificate of Amendment, each 5.2651 outstanding shares of Common Stock, each 5.2651 outstanding shares of Series Seed Preferred Stock, each 5.2651 outstanding shares of Series A Preferred Stock, each 5.2651 outstanding shares of Series B Preferred Stock, each 5.2651 outstanding shares of Series C Preferred Stock and each 5.2651 outstanding shares of Series D Preferred Stock will be exchanged and combined, automatically and without further action, into one (1) share of Common Stock, one (1) share of Series Seed Preferred Stock, one (1) share of Series A Preferred Stock, one (1) share of Series B Preferred Stock, one (1) share of Series C Preferred Stock and one</w:t>
      </w:r>
    </w:p>
    <w:p>
      <w:pPr>
        <w:spacing w:after="0" w:line="3" w:lineRule="exact"/>
        <w:rPr>
          <w:sz w:val="20"/>
          <w:szCs w:val="20"/>
          <w:color w:val="auto"/>
        </w:rPr>
      </w:pPr>
    </w:p>
    <w:p>
      <w:pPr>
        <w:ind w:left="440" w:right="100" w:hanging="4"/>
        <w:spacing w:after="0" w:line="252" w:lineRule="auto"/>
        <w:tabs>
          <w:tab w:leader="none" w:pos="69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of Series D Preferred Stock, respectively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The Reverse Stock Split shall also apply to any outstanding securities or rights convertible into, or exchangeable or exercisable for, Common Stock or Preferred Stock of the Corporation. The Reverse Stock Split shall be effected on a certificate-by-certificate basis and each certificate share number will then be rounded down to the nearest whole number. No fractional shares shall be issued upon the exchange and combination. In lieu of any fractional shares to which the holder would otherwise be entitled, the Corporation shall pay an amount of cash equal to the product of (i) the fractional share to which the holder would otherwise be entitled and (ii) the then fair value of a share as determined in good faith by the Board of Directors of the Corporation.</w:t>
      </w:r>
    </w:p>
    <w:p>
      <w:pPr>
        <w:spacing w:after="0" w:line="82" w:lineRule="exact"/>
        <w:rPr>
          <w:sz w:val="20"/>
          <w:szCs w:val="20"/>
          <w:color w:val="auto"/>
        </w:rPr>
      </w:pPr>
    </w:p>
    <w:p>
      <w:pPr>
        <w:ind w:left="440" w:right="360" w:firstLine="423"/>
        <w:spacing w:after="0" w:line="266" w:lineRule="auto"/>
        <w:rPr>
          <w:sz w:val="20"/>
          <w:szCs w:val="20"/>
          <w:color w:val="auto"/>
        </w:rPr>
      </w:pPr>
      <w:r>
        <w:rPr>
          <w:rFonts w:ascii="Times New Roman" w:cs="Times New Roman" w:eastAsia="Times New Roman" w:hAnsi="Times New Roman"/>
          <w:sz w:val="18"/>
          <w:szCs w:val="18"/>
          <w:color w:val="auto"/>
        </w:rPr>
        <w:t>The Corporation is authorized to issue 66,516,771 shares of capital stock in the aggregate. The capital stock of this Corporation shall be divided into two classes, designated “Common Stock” and “Preferred Stock.” The number of shares of Common Stock the Corporation is authorized to issue is 38,317,839, $0.00001 par value per share</w:t>
      </w:r>
    </w:p>
    <w:p>
      <w:pPr>
        <w:sectPr>
          <w:pgSz w:w="11900" w:h="16838" w:orient="portrait"/>
          <w:cols w:equalWidth="0" w:num="1">
            <w:col w:w="11000"/>
          </w:cols>
          <w:pgMar w:left="440" w:top="266" w:right="45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number of shares of Preferred Stock the Corporation is authorized to issue is 28,198,932, $0.00001 par value per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1,657,903 of which shall be designated as Series Seed Preferred Stock (“</w:t>
      </w:r>
      <w:r>
        <w:rPr>
          <w:rFonts w:ascii="Times New Roman" w:cs="Times New Roman" w:eastAsia="Times New Roman" w:hAnsi="Times New Roman"/>
          <w:sz w:val="18"/>
          <w:szCs w:val="18"/>
          <w:b w:val="1"/>
          <w:bCs w:val="1"/>
          <w:i w:val="1"/>
          <w:iCs w:val="1"/>
          <w:color w:val="auto"/>
        </w:rPr>
        <w:t>Series Seed Preferred Stock</w:t>
      </w:r>
      <w:r>
        <w:rPr>
          <w:rFonts w:ascii="Times New Roman" w:cs="Times New Roman" w:eastAsia="Times New Roman" w:hAnsi="Times New Roman"/>
          <w:sz w:val="18"/>
          <w:szCs w:val="18"/>
          <w:color w:val="auto"/>
        </w:rPr>
        <w:t>”), 8,076,985 of which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as Series A Preferred Stock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7,672,560 of which shall be designated as Series B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B Preferred Stock</w:t>
      </w:r>
      <w:r>
        <w:rPr>
          <w:rFonts w:ascii="Times New Roman" w:cs="Times New Roman" w:eastAsia="Times New Roman" w:hAnsi="Times New Roman"/>
          <w:sz w:val="17"/>
          <w:szCs w:val="17"/>
          <w:color w:val="auto"/>
        </w:rPr>
        <w:t>”), 5,469,611 of which shall be designated as Series C Preferred Stock (“</w:t>
      </w:r>
      <w:r>
        <w:rPr>
          <w:rFonts w:ascii="Times New Roman" w:cs="Times New Roman" w:eastAsia="Times New Roman" w:hAnsi="Times New Roman"/>
          <w:sz w:val="17"/>
          <w:szCs w:val="17"/>
          <w:b w:val="1"/>
          <w:bCs w:val="1"/>
          <w:i w:val="1"/>
          <w:iCs w:val="1"/>
          <w:color w:val="auto"/>
        </w:rPr>
        <w:t>Series C Preferred Stock</w:t>
      </w:r>
      <w:r>
        <w:rPr>
          <w:rFonts w:ascii="Times New Roman" w:cs="Times New Roman" w:eastAsia="Times New Roman" w:hAnsi="Times New Roman"/>
          <w:sz w:val="17"/>
          <w:szCs w:val="17"/>
          <w:color w:val="auto"/>
        </w:rPr>
        <w:t>”), and 5,321,870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shall be designated as Series D Preferred Stock (“</w:t>
      </w:r>
      <w:r>
        <w:rPr>
          <w:rFonts w:ascii="Times New Roman" w:cs="Times New Roman" w:eastAsia="Times New Roman" w:hAnsi="Times New Roman"/>
          <w:sz w:val="18"/>
          <w:szCs w:val="18"/>
          <w:b w:val="1"/>
          <w:bCs w:val="1"/>
          <w:i w:val="1"/>
          <w:iCs w:val="1"/>
          <w:color w:val="auto"/>
        </w:rPr>
        <w:t>Series D Preferred Stock</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340"/>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r>
    </w:p>
    <w:p>
      <w:pPr>
        <w:spacing w:after="0" w:line="1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60"/>
          </w:cols>
          <w:pgMar w:left="880" w:top="266" w:right="559" w:bottom="1440" w:gutter="0" w:footer="0" w:header="0"/>
        </w:sectPr>
      </w:pPr>
    </w:p>
    <w:bookmarkStart w:id="327" w:name="page328"/>
    <w:bookmarkEnd w:id="32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b w:val="1"/>
          <w:bCs w:val="1"/>
          <w:color w:val="auto"/>
        </w:rPr>
        <w:t>, PMV P</w:t>
      </w:r>
      <w:r>
        <w:rPr>
          <w:rFonts w:ascii="Times New Roman" w:cs="Times New Roman" w:eastAsia="Times New Roman" w:hAnsi="Times New Roman"/>
          <w:sz w:val="14"/>
          <w:szCs w:val="14"/>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caused this Certificate of Amendment to be signed by its President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this 18th day of September, 2020.</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PMV P</w:t>
      </w:r>
      <w:r>
        <w:rPr>
          <w:rFonts w:ascii="Times New Roman" w:cs="Times New Roman" w:eastAsia="Times New Roman" w:hAnsi="Times New Roman"/>
          <w:sz w:val="14"/>
          <w:szCs w:val="14"/>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Mack,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Mack,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640"/>
          </w:cols>
          <w:pgMar w:left="440" w:top="266" w:right="819" w:bottom="1440" w:gutter="0" w:footer="0" w:header="0"/>
        </w:sectPr>
      </w:pPr>
    </w:p>
    <w:bookmarkStart w:id="328" w:name="page329"/>
    <w:bookmarkEnd w:id="328"/>
    <w:p>
      <w:pPr>
        <w:ind w:left="9180"/>
        <w:spacing w:after="0"/>
        <w:rPr>
          <w:sz w:val="20"/>
          <w:szCs w:val="20"/>
          <w:color w:val="auto"/>
        </w:rPr>
      </w:pPr>
      <w:r>
        <w:rPr>
          <w:rFonts w:ascii="Times New Roman" w:cs="Times New Roman" w:eastAsia="Times New Roman" w:hAnsi="Times New Roman"/>
          <w:sz w:val="17"/>
          <w:szCs w:val="17"/>
          <w:b w:val="1"/>
          <w:bCs w:val="1"/>
          <w:color w:val="auto"/>
        </w:rPr>
        <w:t>Exhibit 4.2</w:t>
      </w:r>
    </w:p>
    <w:p>
      <w:pPr>
        <w:sectPr>
          <w:pgSz w:w="11900" w:h="16838" w:orient="portrait"/>
          <w:cols w:equalWidth="0" w:num="1">
            <w:col w:w="10020"/>
          </w:cols>
          <w:pgMar w:left="1440" w:top="117" w:right="439" w:bottom="1440" w:gutter="0" w:footer="0" w:header="0"/>
        </w:sectPr>
      </w:pPr>
    </w:p>
    <w:bookmarkStart w:id="329" w:name="page330"/>
    <w:bookmarkEnd w:id="3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0752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4">
                      <a:extLst>
                        <a:ext uri="{28A0092B-C50C-407E-A947-70E740481C1C}"/>
                      </a:extLst>
                    </a:blip>
                    <a:srcRect/>
                    <a:stretch>
                      <a:fillRect/>
                    </a:stretch>
                  </pic:blipFill>
                  <pic:spPr bwMode="auto">
                    <a:xfrm>
                      <a:off x="0" y="0"/>
                      <a:ext cx="7149465" cy="8075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165860" cy="4718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5">
                      <a:extLst>
                        <a:ext uri="{28A0092B-C50C-407E-A947-70E740481C1C}"/>
                      </a:extLst>
                    </a:blip>
                    <a:srcRect/>
                    <a:stretch>
                      <a:fillRect/>
                    </a:stretch>
                  </pic:blipFill>
                  <pic:spPr bwMode="auto">
                    <a:xfrm>
                      <a:off x="0" y="0"/>
                      <a:ext cx="1165860" cy="471805"/>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7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1301 Avenue of the Americas, 40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9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New York, NY 10019-6022</w:t>
      </w:r>
    </w:p>
    <w:p>
      <w:pPr>
        <w:spacing w:after="0" w:line="9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HONE</w:t>
      </w:r>
      <w:r>
        <w:rPr>
          <w:rFonts w:ascii="Times New Roman" w:cs="Times New Roman" w:eastAsia="Times New Roman" w:hAnsi="Times New Roman"/>
          <w:sz w:val="18"/>
          <w:szCs w:val="18"/>
          <w:color w:val="auto"/>
        </w:rPr>
        <w:t>: 212.999.5800</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AX</w:t>
      </w:r>
      <w:r>
        <w:rPr>
          <w:rFonts w:ascii="Times New Roman" w:cs="Times New Roman" w:eastAsia="Times New Roman" w:hAnsi="Times New Roman"/>
          <w:sz w:val="18"/>
          <w:szCs w:val="18"/>
          <w:color w:val="auto"/>
        </w:rPr>
        <w:t>: 212.999.5899</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21,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Clarke Drive, Suite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Cranbury, NJ 08512</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u w:val="single" w:color="auto"/>
          <w:color w:val="auto"/>
        </w:rPr>
        <w:t>Registration Statement on Form S-1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furnished to you in connection with the Registration Statement on Form S-1 (Registration No. 333-248627), as amended (the</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PMV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the Securities and Exchange Commission in connection with the registration under the Securities Act of 1933, as amended, of up to 8,452,500 shares (including up to 1,102,500 shares issuable upon exercise of an option granted to the underwriters by the Company) of the Company’s common stock, $0.00001 par value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be issued and sold by the Company. We understand that the Shares are to be sold to the underwriters for resale to the public as described in the Registration Statement and pursuant to an underwriting agreement, substantially in the form filed as an exhibit to the Registration Statement, to be entered into by and among the Company and the underwriters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acting as counsel for the Company in connection with the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the basis of the foregoing, we are of the opinion that upon the effectiveness of the Company’s Amended and Restated Certificate of Incorporation, a form of which has been filed as Exhibit 3.2 to the Registration Statement, the Shares to be issued and sold by the Company have been duly authorized and, when such Shares are issued and paid for in accordance with the terms of the Underwriting Agreement, will be validly issued, fully paid and nonassessable.</w:t>
      </w:r>
    </w:p>
    <w:p>
      <w:pPr>
        <w:sectPr>
          <w:pgSz w:w="11900" w:h="16838" w:orient="portrait"/>
          <w:cols w:equalWidth="0" w:num="1">
            <w:col w:w="11020"/>
          </w:cols>
          <w:pgMar w:left="440" w:top="117" w:right="439" w:bottom="1440" w:gutter="0" w:footer="0" w:header="0"/>
        </w:sectPr>
      </w:pP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AUSTIN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firstLine="19"/>
        <w:spacing w:after="0" w:line="261" w:lineRule="auto"/>
        <w:rPr>
          <w:sz w:val="20"/>
          <w:szCs w:val="20"/>
          <w:color w:val="auto"/>
        </w:rPr>
      </w:pPr>
      <w:r>
        <w:rPr>
          <w:rFonts w:ascii="Times New Roman" w:cs="Times New Roman" w:eastAsia="Times New Roman" w:hAnsi="Times New Roman"/>
          <w:sz w:val="14"/>
          <w:szCs w:val="14"/>
          <w:color w:val="auto"/>
        </w:rPr>
        <w:t>BEIJING SAN DIEGO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hanging="208"/>
        <w:spacing w:after="0" w:line="261" w:lineRule="auto"/>
        <w:rPr>
          <w:sz w:val="20"/>
          <w:szCs w:val="20"/>
          <w:color w:val="auto"/>
        </w:rPr>
      </w:pPr>
      <w:r>
        <w:rPr>
          <w:rFonts w:ascii="Times New Roman" w:cs="Times New Roman" w:eastAsia="Times New Roman" w:hAnsi="Times New Roman"/>
          <w:sz w:val="14"/>
          <w:szCs w:val="14"/>
          <w:color w:val="auto"/>
        </w:rPr>
        <w:t>BOSTON</w:t>
      </w:r>
      <w:r>
        <w:rPr>
          <w:sz w:val="20"/>
          <w:szCs w:val="20"/>
          <w:color w:val="auto"/>
        </w:rPr>
        <w:t xml:space="preserve"> </w:t>
      </w:r>
      <w:r>
        <w:rPr>
          <w:rFonts w:ascii="Times New Roman" w:cs="Times New Roman" w:eastAsia="Times New Roman" w:hAnsi="Times New Roman"/>
          <w:sz w:val="14"/>
          <w:szCs w:val="14"/>
          <w:color w:val="auto"/>
        </w:rPr>
        <w:t>BRUSSELS SAN FRANCISCO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firstLine="340"/>
        <w:spacing w:after="0" w:line="261" w:lineRule="auto"/>
        <w:rPr>
          <w:sz w:val="20"/>
          <w:szCs w:val="20"/>
          <w:color w:val="auto"/>
        </w:rPr>
      </w:pPr>
      <w:r>
        <w:rPr>
          <w:rFonts w:ascii="Times New Roman" w:cs="Times New Roman" w:eastAsia="Times New Roman" w:hAnsi="Times New Roman"/>
          <w:sz w:val="14"/>
          <w:szCs w:val="14"/>
          <w:color w:val="auto"/>
        </w:rPr>
        <w:t>HONG KONG LONDON LOS ANGELES SEATTLE SHANGHAI WASHINGTON, DC</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NEW YORK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WILMINGTON, DE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PALO ALTO</w:t>
      </w:r>
    </w:p>
    <w:p>
      <w:pPr>
        <w:sectPr>
          <w:pgSz w:w="11900" w:h="16838" w:orient="portrait"/>
          <w:cols w:equalWidth="0" w:num="6">
            <w:col w:w="1420" w:space="340"/>
            <w:col w:w="760" w:space="360"/>
            <w:col w:w="1480" w:space="20"/>
            <w:col w:w="3480" w:space="180"/>
            <w:col w:w="1220" w:space="100"/>
            <w:col w:w="1660"/>
          </w:cols>
          <w:pgMar w:left="440" w:top="117" w:right="439" w:bottom="1440" w:gutter="0" w:footer="0" w:header="0"/>
          <w:type w:val="continuous"/>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4718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7">
                      <a:clrChange>
                        <a:clrFrom>
                          <a:srgbClr val="FFFFFF"/>
                        </a:clrFrom>
                        <a:clrTo>
                          <a:srgbClr val="FFFFFF">
                            <a:alpha val="0"/>
                          </a:srgbClr>
                        </a:clrTo>
                      </a:clrChange>
                      <a:extLst>
                        <a:ext uri="{28A0092B-C50C-407E-A947-70E740481C1C}"/>
                      </a:extLst>
                    </a:blip>
                    <a:srcRect/>
                    <a:stretch>
                      <a:fillRect/>
                    </a:stretch>
                  </pic:blipFill>
                  <pic:spPr bwMode="auto">
                    <a:xfrm>
                      <a:off x="0" y="0"/>
                      <a:ext cx="1165860" cy="471805"/>
                    </a:xfrm>
                    <a:prstGeom prst="rect">
                      <a:avLst/>
                    </a:prstGeom>
                    <a:noFill/>
                  </pic:spPr>
                </pic:pic>
              </a:graphicData>
            </a:graphic>
          </wp:anchor>
        </w:drawing>
        <w:t>September 21,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we consent to the reference of our name under the caption “Legal Matters” in the prospectus forming part of the Registration Statement.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ectPr>
          <w:pgSz w:w="11900" w:h="16838" w:orient="portrait"/>
          <w:cols w:equalWidth="0" w:num="1">
            <w:col w:w="10860"/>
          </w:cols>
          <w:pgMar w:left="440" w:top="1080" w:right="59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2013 EQUITY INCENTIVE PLAN</w:t>
      </w:r>
    </w:p>
    <w:p>
      <w:pPr>
        <w:spacing w:after="0" w:line="229" w:lineRule="exact"/>
        <w:rPr>
          <w:sz w:val="20"/>
          <w:szCs w:val="20"/>
          <w:color w:val="auto"/>
        </w:rPr>
      </w:pPr>
    </w:p>
    <w:p>
      <w:pPr>
        <w:ind w:left="620" w:hanging="184"/>
        <w:spacing w:after="0"/>
        <w:tabs>
          <w:tab w:leader="none" w:pos="62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Stock Appreciation Rights, Restricted Stock and Restricted Stock Units.</w:t>
      </w:r>
    </w:p>
    <w:p>
      <w:pPr>
        <w:spacing w:after="0" w:line="162" w:lineRule="exact"/>
        <w:rPr>
          <w:sz w:val="20"/>
          <w:szCs w:val="20"/>
          <w:color w:val="auto"/>
        </w:rPr>
      </w:pPr>
    </w:p>
    <w:p>
      <w:pPr>
        <w:ind w:left="620" w:hanging="184"/>
        <w:spacing w:after="0"/>
        <w:tabs>
          <w:tab w:leader="none" w:pos="62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 Plan.</w:t>
      </w:r>
    </w:p>
    <w:p>
      <w:pPr>
        <w:spacing w:after="0" w:line="225"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75" w:lineRule="exact"/>
        <w:rPr>
          <w:rFonts w:ascii="Times New Roman" w:cs="Times New Roman" w:eastAsia="Times New Roman" w:hAnsi="Times New Roman"/>
          <w:sz w:val="18"/>
          <w:szCs w:val="18"/>
          <w:color w:val="auto"/>
        </w:rPr>
      </w:pPr>
    </w:p>
    <w:p>
      <w:pPr>
        <w:ind w:right="640" w:firstLine="987"/>
        <w:spacing w:after="0" w:line="282" w:lineRule="auto"/>
        <w:tabs>
          <w:tab w:leader="none" w:pos="1236"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or Restricted Stock Units.</w:t>
      </w:r>
    </w:p>
    <w:p>
      <w:pPr>
        <w:spacing w:after="0" w:line="161"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ectPr>
          <w:pgSz w:w="11900" w:h="16838" w:orient="portrait"/>
          <w:cols w:equalWidth="0" w:num="1">
            <w:col w:w="11020"/>
          </w:cols>
          <w:pgMar w:left="440" w:top="117" w:right="439" w:bottom="1440" w:gutter="0" w:footer="0" w:header="0"/>
        </w:sectPr>
      </w:pPr>
    </w:p>
    <w:bookmarkStart w:id="333" w:name="page334"/>
    <w:bookmarkEnd w:id="333"/>
    <w:p>
      <w:pPr>
        <w:ind w:left="1220" w:hanging="233"/>
        <w:spacing w:after="0"/>
        <w:tabs>
          <w:tab w:leader="none" w:pos="12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647"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spacing w:after="0" w:line="179" w:lineRule="exact"/>
        <w:rPr>
          <w:rFonts w:ascii="Times New Roman" w:cs="Times New Roman" w:eastAsia="Times New Roman" w:hAnsi="Times New Roman"/>
          <w:sz w:val="18"/>
          <w:szCs w:val="18"/>
          <w:color w:val="auto"/>
        </w:rPr>
      </w:pPr>
    </w:p>
    <w:p>
      <w:pPr>
        <w:ind w:right="40" w:firstLine="1428"/>
        <w:spacing w:after="0" w:line="258" w:lineRule="auto"/>
        <w:tabs>
          <w:tab w:leader="none" w:pos="1697"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83" w:lineRule="exact"/>
        <w:rPr>
          <w:rFonts w:ascii="Times New Roman" w:cs="Times New Roman" w:eastAsia="Times New Roman" w:hAnsi="Times New Roman"/>
          <w:sz w:val="18"/>
          <w:szCs w:val="18"/>
          <w:color w:val="auto"/>
        </w:rPr>
      </w:pPr>
    </w:p>
    <w:p>
      <w:pPr>
        <w:ind w:firstLine="1428"/>
        <w:spacing w:after="0" w:line="256" w:lineRule="auto"/>
        <w:tabs>
          <w:tab w:leader="none" w:pos="1747"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87" w:lineRule="exact"/>
        <w:rPr>
          <w:sz w:val="20"/>
          <w:szCs w:val="20"/>
          <w:color w:val="auto"/>
        </w:rPr>
      </w:pPr>
    </w:p>
    <w:p>
      <w:pPr>
        <w:ind w:right="240" w:firstLine="1432"/>
        <w:spacing w:after="0" w:line="282" w:lineRule="auto"/>
        <w:rPr>
          <w:sz w:val="20"/>
          <w:szCs w:val="20"/>
          <w:color w:val="auto"/>
        </w:rPr>
      </w:pPr>
      <w:r>
        <w:rPr>
          <w:rFonts w:ascii="Times New Roman" w:cs="Times New Roman" w:eastAsia="Times New Roman" w:hAnsi="Times New Roman"/>
          <w:sz w:val="18"/>
          <w:szCs w:val="18"/>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right="120" w:firstLine="1432"/>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ind w:right="200" w:firstLine="1432"/>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34" w:name="page335"/>
    <w:bookmarkEnd w:id="334"/>
    <w:p>
      <w:pPr>
        <w:ind w:right="260" w:firstLine="987"/>
        <w:spacing w:after="0" w:line="282" w:lineRule="auto"/>
        <w:tabs>
          <w:tab w:leader="none" w:pos="124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Any reference to a section of the Code herein will be a reference to any successor or amended section of the Code.</w:t>
      </w:r>
    </w:p>
    <w:p>
      <w:pPr>
        <w:spacing w:after="0" w:line="161"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the compensation committee of the Board, in accordance with Section 4 hereof.</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PMV Pharmaceuticals, Inc., a Delaware corporation, or any successor thereto.</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including an advisor, engaged by the Company or a Parent or Subsidiary to render services to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w:t>
      </w:r>
    </w:p>
    <w:p>
      <w:pPr>
        <w:spacing w:after="0" w:line="206"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9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5" w:lineRule="exact"/>
        <w:rPr>
          <w:rFonts w:ascii="Times New Roman" w:cs="Times New Roman" w:eastAsia="Times New Roman" w:hAnsi="Times New Roman"/>
          <w:sz w:val="18"/>
          <w:szCs w:val="18"/>
          <w:color w:val="auto"/>
        </w:rPr>
      </w:pPr>
    </w:p>
    <w:p>
      <w:pPr>
        <w:ind w:right="60" w:firstLine="987"/>
        <w:spacing w:after="0" w:line="312" w:lineRule="auto"/>
        <w:tabs>
          <w:tab w:leader="none" w:pos="1246"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39"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firstLine="987"/>
        <w:spacing w:after="0" w:line="258" w:lineRule="auto"/>
        <w:tabs>
          <w:tab w:leader="none" w:pos="124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5" w:lineRule="exact"/>
        <w:rPr>
          <w:rFonts w:ascii="Times New Roman" w:cs="Times New Roman" w:eastAsia="Times New Roman" w:hAnsi="Times New Roman"/>
          <w:sz w:val="18"/>
          <w:szCs w:val="18"/>
          <w:color w:val="auto"/>
        </w:rPr>
      </w:pPr>
    </w:p>
    <w:p>
      <w:pPr>
        <w:ind w:right="140" w:firstLine="1428"/>
        <w:spacing w:after="0" w:line="261" w:lineRule="auto"/>
        <w:tabs>
          <w:tab w:leader="none" w:pos="1647"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335" w:name="page336"/>
    <w:bookmarkEnd w:id="335"/>
    <w:p>
      <w:pPr>
        <w:ind w:right="80" w:firstLine="1428"/>
        <w:spacing w:after="0" w:line="261" w:lineRule="auto"/>
        <w:tabs>
          <w:tab w:leader="none" w:pos="1697"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179"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206" w:lineRule="exact"/>
        <w:rPr>
          <w:rFonts w:ascii="Times New Roman" w:cs="Times New Roman" w:eastAsia="Times New Roman" w:hAnsi="Times New Roman"/>
          <w:sz w:val="18"/>
          <w:szCs w:val="18"/>
          <w:color w:val="auto"/>
        </w:rPr>
      </w:pPr>
    </w:p>
    <w:p>
      <w:pPr>
        <w:ind w:right="160" w:firstLine="987"/>
        <w:spacing w:after="0" w:line="282" w:lineRule="auto"/>
        <w:tabs>
          <w:tab w:leader="none" w:pos="121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by its terms qualifies and is otherwise intended to qualify as an incentive stock option within the meaning of Code Section 422 and the regulations promulgated thereunder.</w:t>
      </w:r>
    </w:p>
    <w:p>
      <w:pPr>
        <w:spacing w:after="0" w:line="16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w:t>
      </w:r>
    </w:p>
    <w:p>
      <w:pPr>
        <w:spacing w:after="0" w:line="206"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Code Section 424(e).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8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2013 Equity Incentive Plan.</w:t>
      </w:r>
    </w:p>
    <w:p>
      <w:pPr>
        <w:spacing w:after="0" w:line="225"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an Award of Restricted Stock under Section 8 of the Plan, or issued pursuant to the early exercise of an Option.</w:t>
      </w:r>
    </w:p>
    <w:p>
      <w:pPr>
        <w:spacing w:after="0" w:line="161" w:lineRule="exact"/>
        <w:rPr>
          <w:rFonts w:ascii="Times New Roman" w:cs="Times New Roman" w:eastAsia="Times New Roman" w:hAnsi="Times New Roman"/>
          <w:sz w:val="18"/>
          <w:szCs w:val="18"/>
          <w:color w:val="auto"/>
        </w:rPr>
      </w:pPr>
    </w:p>
    <w:p>
      <w:pPr>
        <w:ind w:right="480" w:firstLine="987"/>
        <w:spacing w:after="0" w:line="282" w:lineRule="auto"/>
        <w:tabs>
          <w:tab w:leader="none" w:pos="12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62" w:lineRule="exact"/>
        <w:rPr>
          <w:sz w:val="20"/>
          <w:szCs w:val="20"/>
          <w:color w:val="auto"/>
        </w:rPr>
      </w:pPr>
    </w:p>
    <w:p>
      <w:pPr>
        <w:ind w:left="1320" w:hanging="333"/>
        <w:spacing w:after="0"/>
        <w:tabs>
          <w:tab w:leader="none" w:pos="13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13 of the Plan.</w:t>
      </w:r>
    </w:p>
    <w:p>
      <w:pPr>
        <w:spacing w:after="0" w:line="225" w:lineRule="exact"/>
        <w:rPr>
          <w:rFonts w:ascii="Times New Roman" w:cs="Times New Roman" w:eastAsia="Times New Roman" w:hAnsi="Times New Roman"/>
          <w:sz w:val="18"/>
          <w:szCs w:val="18"/>
          <w:color w:val="auto"/>
        </w:rPr>
      </w:pPr>
    </w:p>
    <w:p>
      <w:pPr>
        <w:ind w:right="140" w:firstLine="987"/>
        <w:spacing w:after="0" w:line="282" w:lineRule="auto"/>
        <w:tabs>
          <w:tab w:leader="none" w:pos="131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7 is designated as a Stock Appreciation Right.</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36" w:name="page337"/>
    <w:bookmarkEnd w:id="336"/>
    <w:p>
      <w:pPr>
        <w:ind w:left="620" w:hanging="184"/>
        <w:spacing w:after="0"/>
        <w:tabs>
          <w:tab w:leader="none" w:pos="6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13 of the Plan, the maximum aggregate number of Shares that may be subject to Awards and sold under the Plan is 5,387,157 Shares. The Shares may be authorized but unissued, or reacquired Common Stock.</w:t>
      </w:r>
    </w:p>
    <w:p>
      <w:pPr>
        <w:spacing w:after="0" w:line="161" w:lineRule="exact"/>
        <w:rPr>
          <w:rFonts w:ascii="Times New Roman" w:cs="Times New Roman" w:eastAsia="Times New Roman" w:hAnsi="Times New Roman"/>
          <w:sz w:val="18"/>
          <w:szCs w:val="18"/>
          <w:color w:val="auto"/>
        </w:rPr>
      </w:pPr>
    </w:p>
    <w:p>
      <w:pPr>
        <w:ind w:right="40" w:firstLine="987"/>
        <w:spacing w:after="0" w:line="252" w:lineRule="auto"/>
        <w:tabs>
          <w:tab w:leader="none" w:pos="124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is surrendered pursuant to an Exchange Program, or, with respect to Restricted Stock or Restricted Stock Units,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or Restricted Stock Units are repurchased by the Company or are forfeited to the Company due to the failure to vest,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Code Section 422 and the Treasury Regulations promulgated thereunder, any Shares that become available for issuance under the Plan pursuant to Section 3(b).</w:t>
      </w:r>
    </w:p>
    <w:p>
      <w:pPr>
        <w:spacing w:after="0" w:line="197"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 administer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206" w:lineRule="exact"/>
        <w:rPr>
          <w:rFonts w:ascii="Times New Roman" w:cs="Times New Roman" w:eastAsia="Times New Roman" w:hAnsi="Times New Roman"/>
          <w:sz w:val="18"/>
          <w:szCs w:val="18"/>
          <w:color w:val="auto"/>
        </w:rPr>
      </w:pPr>
    </w:p>
    <w:p>
      <w:pPr>
        <w:ind w:right="120" w:firstLine="1428"/>
        <w:spacing w:after="0" w:line="282" w:lineRule="auto"/>
        <w:tabs>
          <w:tab w:leader="none" w:pos="1697"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37" w:name="page338"/>
    <w:bookmarkEnd w:id="337"/>
    <w:p>
      <w:pPr>
        <w:ind w:left="-20" w:right="540" w:firstLine="987"/>
        <w:spacing w:after="0" w:line="282" w:lineRule="auto"/>
        <w:tabs>
          <w:tab w:leader="none" w:pos="122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61" w:lineRule="exact"/>
        <w:rPr>
          <w:rFonts w:ascii="Times New Roman" w:cs="Times New Roman" w:eastAsia="Times New Roman" w:hAnsi="Times New Roman"/>
          <w:sz w:val="18"/>
          <w:szCs w:val="18"/>
          <w:color w:val="auto"/>
        </w:rPr>
      </w:pPr>
    </w:p>
    <w:p>
      <w:pPr>
        <w:ind w:left="1620" w:hanging="212"/>
        <w:spacing w:after="0"/>
        <w:tabs>
          <w:tab w:leader="none" w:pos="16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25" w:lineRule="exact"/>
        <w:rPr>
          <w:rFonts w:ascii="Times New Roman" w:cs="Times New Roman" w:eastAsia="Times New Roman" w:hAnsi="Times New Roman"/>
          <w:sz w:val="18"/>
          <w:szCs w:val="18"/>
          <w:color w:val="auto"/>
        </w:rPr>
      </w:pPr>
    </w:p>
    <w:p>
      <w:pPr>
        <w:ind w:left="1680" w:hanging="272"/>
        <w:spacing w:after="0"/>
        <w:tabs>
          <w:tab w:leader="none" w:pos="168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225" w:lineRule="exact"/>
        <w:rPr>
          <w:rFonts w:ascii="Times New Roman" w:cs="Times New Roman" w:eastAsia="Times New Roman" w:hAnsi="Times New Roman"/>
          <w:sz w:val="18"/>
          <w:szCs w:val="18"/>
          <w:color w:val="auto"/>
        </w:rPr>
      </w:pPr>
    </w:p>
    <w:p>
      <w:pPr>
        <w:ind w:left="1720" w:hanging="312"/>
        <w:spacing w:after="0"/>
        <w:tabs>
          <w:tab w:leader="none" w:pos="17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225" w:lineRule="exact"/>
        <w:rPr>
          <w:rFonts w:ascii="Times New Roman" w:cs="Times New Roman" w:eastAsia="Times New Roman" w:hAnsi="Times New Roman"/>
          <w:sz w:val="18"/>
          <w:szCs w:val="18"/>
          <w:color w:val="auto"/>
        </w:rPr>
      </w:pPr>
    </w:p>
    <w:p>
      <w:pPr>
        <w:ind w:left="1720" w:hanging="312"/>
        <w:spacing w:after="0"/>
        <w:tabs>
          <w:tab w:leader="none" w:pos="17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rFonts w:ascii="Times New Roman" w:cs="Times New Roman" w:eastAsia="Times New Roman" w:hAnsi="Times New Roman"/>
          <w:sz w:val="18"/>
          <w:szCs w:val="18"/>
          <w:color w:val="auto"/>
        </w:rPr>
      </w:pPr>
    </w:p>
    <w:p>
      <w:pPr>
        <w:ind w:left="-20" w:firstLine="1428"/>
        <w:spacing w:after="0" w:line="261" w:lineRule="auto"/>
        <w:tabs>
          <w:tab w:leader="none" w:pos="166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79" w:lineRule="exact"/>
        <w:rPr>
          <w:rFonts w:ascii="Times New Roman" w:cs="Times New Roman" w:eastAsia="Times New Roman" w:hAnsi="Times New Roman"/>
          <w:sz w:val="18"/>
          <w:szCs w:val="18"/>
          <w:color w:val="auto"/>
        </w:rPr>
      </w:pPr>
    </w:p>
    <w:p>
      <w:pPr>
        <w:ind w:left="1720" w:hanging="312"/>
        <w:spacing w:after="0"/>
        <w:tabs>
          <w:tab w:leader="none" w:pos="17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and determine the terms and conditions of an Exchange Program;</w:t>
      </w:r>
    </w:p>
    <w:p>
      <w:pPr>
        <w:spacing w:after="0" w:line="225" w:lineRule="exact"/>
        <w:rPr>
          <w:rFonts w:ascii="Times New Roman" w:cs="Times New Roman" w:eastAsia="Times New Roman" w:hAnsi="Times New Roman"/>
          <w:sz w:val="18"/>
          <w:szCs w:val="18"/>
          <w:color w:val="auto"/>
        </w:rPr>
      </w:pPr>
    </w:p>
    <w:p>
      <w:pPr>
        <w:ind w:left="1760" w:hanging="352"/>
        <w:spacing w:after="0"/>
        <w:tabs>
          <w:tab w:leader="none" w:pos="176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25" w:lineRule="exact"/>
        <w:rPr>
          <w:rFonts w:ascii="Times New Roman" w:cs="Times New Roman" w:eastAsia="Times New Roman" w:hAnsi="Times New Roman"/>
          <w:sz w:val="18"/>
          <w:szCs w:val="18"/>
          <w:color w:val="auto"/>
        </w:rPr>
      </w:pPr>
    </w:p>
    <w:p>
      <w:pPr>
        <w:ind w:left="-20" w:right="80" w:firstLine="1428"/>
        <w:spacing w:after="0" w:line="282" w:lineRule="auto"/>
        <w:tabs>
          <w:tab w:leader="none" w:pos="181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61" w:lineRule="exact"/>
        <w:rPr>
          <w:rFonts w:ascii="Times New Roman" w:cs="Times New Roman" w:eastAsia="Times New Roman" w:hAnsi="Times New Roman"/>
          <w:sz w:val="18"/>
          <w:szCs w:val="18"/>
          <w:color w:val="auto"/>
        </w:rPr>
      </w:pPr>
    </w:p>
    <w:p>
      <w:pPr>
        <w:ind w:left="-20" w:right="40" w:firstLine="1428"/>
        <w:spacing w:after="0" w:line="282" w:lineRule="auto"/>
        <w:tabs>
          <w:tab w:leader="none" w:pos="171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18(c) of the Plan), including but not limited to the discretionary authority to extend the post-termination exercisability period of Awards and to extend the maximum term of an Option (subject to Section 6(d));</w:t>
      </w:r>
    </w:p>
    <w:p>
      <w:pPr>
        <w:spacing w:after="0" w:line="161" w:lineRule="exact"/>
        <w:rPr>
          <w:rFonts w:ascii="Times New Roman" w:cs="Times New Roman" w:eastAsia="Times New Roman" w:hAnsi="Times New Roman"/>
          <w:sz w:val="18"/>
          <w:szCs w:val="18"/>
          <w:color w:val="auto"/>
        </w:rPr>
      </w:pPr>
    </w:p>
    <w:p>
      <w:pPr>
        <w:ind w:left="1660" w:hanging="252"/>
        <w:spacing w:after="0"/>
        <w:tabs>
          <w:tab w:leader="none" w:pos="166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withholding tax obligations in a manner prescribed in Section 14;</w:t>
      </w:r>
    </w:p>
    <w:p>
      <w:pPr>
        <w:spacing w:after="0" w:line="225" w:lineRule="exact"/>
        <w:rPr>
          <w:rFonts w:ascii="Times New Roman" w:cs="Times New Roman" w:eastAsia="Times New Roman" w:hAnsi="Times New Roman"/>
          <w:sz w:val="18"/>
          <w:szCs w:val="18"/>
          <w:color w:val="auto"/>
        </w:rPr>
      </w:pPr>
    </w:p>
    <w:p>
      <w:pPr>
        <w:ind w:left="-20" w:right="40" w:firstLine="1428"/>
        <w:spacing w:after="0" w:line="282" w:lineRule="auto"/>
        <w:tabs>
          <w:tab w:leader="none" w:pos="171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61" w:lineRule="exact"/>
        <w:rPr>
          <w:rFonts w:ascii="Times New Roman" w:cs="Times New Roman" w:eastAsia="Times New Roman" w:hAnsi="Times New Roman"/>
          <w:sz w:val="18"/>
          <w:szCs w:val="18"/>
          <w:color w:val="auto"/>
        </w:rPr>
      </w:pPr>
    </w:p>
    <w:p>
      <w:pPr>
        <w:ind w:left="-20" w:right="140" w:firstLine="1428"/>
        <w:spacing w:after="0" w:line="282" w:lineRule="auto"/>
        <w:tabs>
          <w:tab w:leader="none" w:pos="1767"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otherwise would be due to such Participant under an Award; and</w:t>
      </w:r>
    </w:p>
    <w:p>
      <w:pPr>
        <w:spacing w:after="0" w:line="161" w:lineRule="exact"/>
        <w:rPr>
          <w:rFonts w:ascii="Times New Roman" w:cs="Times New Roman" w:eastAsia="Times New Roman" w:hAnsi="Times New Roman"/>
          <w:sz w:val="18"/>
          <w:szCs w:val="18"/>
          <w:color w:val="auto"/>
        </w:rPr>
      </w:pPr>
    </w:p>
    <w:p>
      <w:pPr>
        <w:ind w:left="1820" w:hanging="412"/>
        <w:spacing w:after="0"/>
        <w:tabs>
          <w:tab w:leader="none" w:pos="18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338" w:name="page339"/>
    <w:bookmarkEnd w:id="338"/>
    <w:p>
      <w:pPr>
        <w:ind w:right="220" w:firstLine="987"/>
        <w:spacing w:after="0" w:line="282" w:lineRule="auto"/>
        <w:tabs>
          <w:tab w:leader="none" w:pos="123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w:t>
      </w:r>
    </w:p>
    <w:p>
      <w:pPr>
        <w:spacing w:after="0" w:line="161" w:lineRule="exact"/>
        <w:rPr>
          <w:rFonts w:ascii="Times New Roman" w:cs="Times New Roman" w:eastAsia="Times New Roman" w:hAnsi="Times New Roman"/>
          <w:sz w:val="18"/>
          <w:szCs w:val="18"/>
          <w:color w:val="auto"/>
        </w:rPr>
      </w:pPr>
    </w:p>
    <w:p>
      <w:pPr>
        <w:ind w:right="360" w:firstLine="436"/>
        <w:spacing w:after="0" w:line="282" w:lineRule="auto"/>
        <w:tabs>
          <w:tab w:leader="none" w:pos="6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Stock Appreciation Rights, Restricted Stock, and Restricted Stock Units may be granted to Service Providers. Incentive Stock Options may be granted only to Employees.</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40" w:firstLine="987"/>
        <w:spacing w:after="0" w:line="282" w:lineRule="auto"/>
        <w:tabs>
          <w:tab w:leader="none" w:pos="1236"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Subject to the terms and provisions of the Plan, the Administrator, at any time and from time to time, may grant Options in such amounts as the Administrator, in its sole discretion, will determine.</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75" w:lineRule="exact"/>
        <w:rPr>
          <w:rFonts w:ascii="Times New Roman" w:cs="Times New Roman" w:eastAsia="Times New Roman" w:hAnsi="Times New Roman"/>
          <w:sz w:val="18"/>
          <w:szCs w:val="18"/>
          <w:color w:val="auto"/>
        </w:rPr>
      </w:pPr>
    </w:p>
    <w:p>
      <w:pPr>
        <w:ind w:right="80" w:firstLine="987"/>
        <w:spacing w:after="0" w:line="255" w:lineRule="auto"/>
        <w:tabs>
          <w:tab w:leader="none" w:pos="1236"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w:t>
      </w:r>
    </w:p>
    <w:p>
      <w:pPr>
        <w:spacing w:after="0" w:line="188"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428"/>
        <w:spacing w:after="0" w:line="255" w:lineRule="auto"/>
        <w:tabs>
          <w:tab w:leader="none" w:pos="1647"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6(e)(i), Options may be granted with a per Share exercise price of less than one hundred percent (100%) of the Fair Market Value per Share on the date of grant pursuant to a transaction described in, and in a manner consistent with, Code Section 424(a).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339" w:name="page340"/>
    <w:bookmarkEnd w:id="339"/>
    <w:p>
      <w:pPr>
        <w:ind w:right="420" w:firstLine="1428"/>
        <w:spacing w:after="0" w:line="282" w:lineRule="auto"/>
        <w:tabs>
          <w:tab w:leader="none" w:pos="169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1" w:lineRule="exact"/>
        <w:rPr>
          <w:rFonts w:ascii="Times New Roman" w:cs="Times New Roman" w:eastAsia="Times New Roman" w:hAnsi="Times New Roman"/>
          <w:sz w:val="18"/>
          <w:szCs w:val="18"/>
          <w:color w:val="auto"/>
        </w:rPr>
      </w:pPr>
    </w:p>
    <w:p>
      <w:pPr>
        <w:ind w:firstLine="1428"/>
        <w:spacing w:after="0" w:line="253" w:lineRule="auto"/>
        <w:tabs>
          <w:tab w:leader="none" w:pos="1747"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94"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1428"/>
        <w:spacing w:after="0" w:line="266" w:lineRule="auto"/>
        <w:tabs>
          <w:tab w:leader="none" w:pos="1647"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6" w:lineRule="exact"/>
        <w:rPr>
          <w:sz w:val="20"/>
          <w:szCs w:val="20"/>
          <w:color w:val="auto"/>
        </w:rPr>
      </w:pPr>
    </w:p>
    <w:p>
      <w:pPr>
        <w:ind w:firstLine="1983"/>
        <w:spacing w:after="0" w:line="254"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8" w:lineRule="exact"/>
        <w:rPr>
          <w:sz w:val="20"/>
          <w:szCs w:val="20"/>
          <w:color w:val="auto"/>
        </w:rPr>
      </w:pPr>
    </w:p>
    <w:p>
      <w:pPr>
        <w:ind w:right="220" w:firstLine="1983"/>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40" w:name="page341"/>
    <w:bookmarkEnd w:id="340"/>
    <w:p>
      <w:pPr>
        <w:ind w:left="-40" w:firstLine="1428"/>
        <w:spacing w:after="0" w:line="255" w:lineRule="auto"/>
        <w:tabs>
          <w:tab w:leader="none" w:pos="1657"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within thirty (30) days of termination, or such longer period of time as is specified in the Award Agreement (but in no event later than the expiration of the term of such Option as set forth in the Award Agreement) to the extent that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8" w:lineRule="exact"/>
        <w:rPr>
          <w:rFonts w:ascii="Times New Roman" w:cs="Times New Roman" w:eastAsia="Times New Roman" w:hAnsi="Times New Roman"/>
          <w:sz w:val="18"/>
          <w:szCs w:val="18"/>
          <w:color w:val="auto"/>
        </w:rPr>
      </w:pPr>
    </w:p>
    <w:p>
      <w:pPr>
        <w:ind w:left="-40" w:right="20" w:firstLine="1428"/>
        <w:spacing w:after="0" w:line="256" w:lineRule="auto"/>
        <w:tabs>
          <w:tab w:leader="none" w:pos="1707"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six (6) months of termination, or such longer period of time as is specified in the Award Agreement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7" w:lineRule="exact"/>
        <w:rPr>
          <w:rFonts w:ascii="Times New Roman" w:cs="Times New Roman" w:eastAsia="Times New Roman" w:hAnsi="Times New Roman"/>
          <w:sz w:val="18"/>
          <w:szCs w:val="18"/>
          <w:color w:val="auto"/>
        </w:rPr>
      </w:pPr>
    </w:p>
    <w:p>
      <w:pPr>
        <w:ind w:left="-40" w:right="20" w:firstLine="1428"/>
        <w:spacing w:after="0" w:line="254" w:lineRule="auto"/>
        <w:tabs>
          <w:tab w:leader="none" w:pos="1697"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the Option may be exercised within six (6) months following the Participant’s death, or within such longer period of time as is specified in the Award Agreement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88"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340" w:firstLine="987"/>
        <w:spacing w:after="0" w:line="282" w:lineRule="auto"/>
        <w:tabs>
          <w:tab w:leader="none" w:pos="119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61" w:lineRule="exact"/>
        <w:rPr>
          <w:rFonts w:ascii="Times New Roman" w:cs="Times New Roman" w:eastAsia="Times New Roman" w:hAnsi="Times New Roman"/>
          <w:sz w:val="18"/>
          <w:szCs w:val="18"/>
          <w:color w:val="auto"/>
        </w:rPr>
      </w:pPr>
    </w:p>
    <w:p>
      <w:pPr>
        <w:ind w:left="-40" w:right="100" w:firstLine="987"/>
        <w:spacing w:after="0" w:line="282" w:lineRule="auto"/>
        <w:tabs>
          <w:tab w:leader="none" w:pos="120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Shares subject to any Award of Stock Appreciation Rights.</w:t>
      </w:r>
    </w:p>
    <w:p>
      <w:pPr>
        <w:spacing w:after="0" w:line="161" w:lineRule="exact"/>
        <w:rPr>
          <w:rFonts w:ascii="Times New Roman" w:cs="Times New Roman" w:eastAsia="Times New Roman" w:hAnsi="Times New Roman"/>
          <w:sz w:val="18"/>
          <w:szCs w:val="18"/>
          <w:color w:val="auto"/>
        </w:rPr>
      </w:pPr>
    </w:p>
    <w:p>
      <w:pPr>
        <w:ind w:left="-40" w:right="500" w:firstLine="987"/>
        <w:spacing w:after="0" w:line="282" w:lineRule="auto"/>
        <w:tabs>
          <w:tab w:leader="none" w:pos="119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that will determine the amount of the payment to be received upon exercise of a Stock Appreciation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80" w:top="270" w:right="479" w:bottom="1440" w:gutter="0" w:footer="0" w:header="0"/>
        </w:sectPr>
      </w:pPr>
    </w:p>
    <w:bookmarkStart w:id="341" w:name="page342"/>
    <w:bookmarkEnd w:id="341"/>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6" w:lineRule="exact"/>
        <w:rPr>
          <w:sz w:val="20"/>
          <w:szCs w:val="20"/>
          <w:color w:val="auto"/>
        </w:rPr>
      </w:pPr>
    </w:p>
    <w:p>
      <w:pPr>
        <w:ind w:firstLine="987"/>
        <w:spacing w:after="0" w:line="266" w:lineRule="auto"/>
        <w:tabs>
          <w:tab w:leader="none" w:pos="124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5"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23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175" w:lineRule="exact"/>
        <w:rPr>
          <w:rFonts w:ascii="Times New Roman" w:cs="Times New Roman" w:eastAsia="Times New Roman" w:hAnsi="Times New Roman"/>
          <w:sz w:val="18"/>
          <w:szCs w:val="18"/>
          <w:color w:val="auto"/>
        </w:rPr>
      </w:pPr>
    </w:p>
    <w:p>
      <w:pPr>
        <w:ind w:right="240" w:firstLine="987"/>
        <w:spacing w:after="0" w:line="282" w:lineRule="auto"/>
        <w:tabs>
          <w:tab w:leader="none" w:pos="121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161"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22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162" w:lineRule="exact"/>
        <w:rPr>
          <w:sz w:val="20"/>
          <w:szCs w:val="20"/>
          <w:color w:val="auto"/>
        </w:rPr>
      </w:pPr>
    </w:p>
    <w:p>
      <w:pPr>
        <w:ind w:left="620" w:hanging="184"/>
        <w:spacing w:after="0"/>
        <w:tabs>
          <w:tab w:leader="none" w:pos="6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1" w:lineRule="exact"/>
        <w:rPr>
          <w:rFonts w:ascii="Times New Roman" w:cs="Times New Roman" w:eastAsia="Times New Roman" w:hAnsi="Times New Roman"/>
          <w:sz w:val="18"/>
          <w:szCs w:val="18"/>
          <w:color w:val="auto"/>
        </w:rPr>
      </w:pPr>
    </w:p>
    <w:p>
      <w:pPr>
        <w:ind w:firstLine="987"/>
        <w:spacing w:after="0" w:line="289" w:lineRule="auto"/>
        <w:tabs>
          <w:tab w:leader="none" w:pos="1246"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 Agreement</w:t>
      </w:r>
      <w:r>
        <w:rPr>
          <w:rFonts w:ascii="Times New Roman" w:cs="Times New Roman" w:eastAsia="Times New Roman" w:hAnsi="Times New Roman"/>
          <w:sz w:val="17"/>
          <w:szCs w:val="17"/>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57" w:lineRule="exact"/>
        <w:rPr>
          <w:rFonts w:ascii="Times New Roman" w:cs="Times New Roman" w:eastAsia="Times New Roman" w:hAnsi="Times New Roman"/>
          <w:sz w:val="17"/>
          <w:szCs w:val="17"/>
          <w:color w:val="auto"/>
        </w:rPr>
      </w:pPr>
    </w:p>
    <w:p>
      <w:pPr>
        <w:ind w:right="260" w:firstLine="987"/>
        <w:spacing w:after="0" w:line="282" w:lineRule="auto"/>
        <w:tabs>
          <w:tab w:leader="none" w:pos="123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42" w:name="page343"/>
    <w:bookmarkEnd w:id="342"/>
    <w:p>
      <w:pPr>
        <w:jc w:val="both"/>
        <w:ind w:left="-40" w:right="120" w:firstLine="987"/>
        <w:spacing w:after="0" w:line="289" w:lineRule="auto"/>
        <w:tabs>
          <w:tab w:leader="none" w:pos="1196"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Removal of Restrictions</w:t>
      </w:r>
      <w:r>
        <w:rPr>
          <w:rFonts w:ascii="Times New Roman" w:cs="Times New Roman" w:eastAsia="Times New Roman" w:hAnsi="Times New Roman"/>
          <w:sz w:val="17"/>
          <w:szCs w:val="17"/>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57" w:lineRule="exact"/>
        <w:rPr>
          <w:rFonts w:ascii="Times New Roman" w:cs="Times New Roman" w:eastAsia="Times New Roman" w:hAnsi="Times New Roman"/>
          <w:sz w:val="17"/>
          <w:szCs w:val="17"/>
          <w:color w:val="auto"/>
        </w:rPr>
      </w:pPr>
    </w:p>
    <w:p>
      <w:pPr>
        <w:ind w:left="-40" w:right="100" w:firstLine="987"/>
        <w:spacing w:after="0" w:line="282" w:lineRule="auto"/>
        <w:tabs>
          <w:tab w:leader="none" w:pos="117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61" w:lineRule="exact"/>
        <w:rPr>
          <w:rFonts w:ascii="Times New Roman" w:cs="Times New Roman" w:eastAsia="Times New Roman" w:hAnsi="Times New Roman"/>
          <w:sz w:val="18"/>
          <w:szCs w:val="18"/>
          <w:color w:val="auto"/>
        </w:rPr>
      </w:pPr>
    </w:p>
    <w:p>
      <w:pPr>
        <w:ind w:left="-40" w:right="380" w:firstLine="987"/>
        <w:spacing w:after="0" w:line="261" w:lineRule="auto"/>
        <w:tabs>
          <w:tab w:leader="none" w:pos="120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79" w:lineRule="exact"/>
        <w:rPr>
          <w:rFonts w:ascii="Times New Roman" w:cs="Times New Roman" w:eastAsia="Times New Roman" w:hAnsi="Times New Roman"/>
          <w:sz w:val="18"/>
          <w:szCs w:val="18"/>
          <w:color w:val="auto"/>
        </w:rPr>
      </w:pPr>
    </w:p>
    <w:p>
      <w:pPr>
        <w:ind w:left="-40" w:firstLine="987"/>
        <w:spacing w:after="0" w:line="282" w:lineRule="auto"/>
        <w:tabs>
          <w:tab w:leader="none" w:pos="120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61"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300" w:firstLine="987"/>
        <w:spacing w:after="0" w:line="266" w:lineRule="auto"/>
        <w:tabs>
          <w:tab w:leader="none" w:pos="1196"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75" w:lineRule="exact"/>
        <w:rPr>
          <w:rFonts w:ascii="Times New Roman" w:cs="Times New Roman" w:eastAsia="Times New Roman" w:hAnsi="Times New Roman"/>
          <w:sz w:val="18"/>
          <w:szCs w:val="18"/>
          <w:color w:val="auto"/>
        </w:rPr>
      </w:pPr>
    </w:p>
    <w:p>
      <w:pPr>
        <w:ind w:left="-40" w:right="60" w:firstLine="987"/>
        <w:spacing w:after="0" w:line="261" w:lineRule="auto"/>
        <w:tabs>
          <w:tab w:leader="none" w:pos="1206"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179" w:lineRule="exact"/>
        <w:rPr>
          <w:rFonts w:ascii="Times New Roman" w:cs="Times New Roman" w:eastAsia="Times New Roman" w:hAnsi="Times New Roman"/>
          <w:sz w:val="18"/>
          <w:szCs w:val="18"/>
          <w:color w:val="auto"/>
        </w:rPr>
      </w:pPr>
    </w:p>
    <w:p>
      <w:pPr>
        <w:jc w:val="both"/>
        <w:ind w:left="-40" w:right="340" w:firstLine="987"/>
        <w:spacing w:after="0" w:line="266" w:lineRule="auto"/>
        <w:tabs>
          <w:tab w:leader="none" w:pos="1196"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5" w:lineRule="exact"/>
        <w:rPr>
          <w:rFonts w:ascii="Times New Roman" w:cs="Times New Roman" w:eastAsia="Times New Roman" w:hAnsi="Times New Roman"/>
          <w:sz w:val="18"/>
          <w:szCs w:val="18"/>
          <w:color w:val="auto"/>
        </w:rPr>
      </w:pPr>
    </w:p>
    <w:p>
      <w:pPr>
        <w:ind w:left="-40" w:right="320" w:firstLine="987"/>
        <w:spacing w:after="0" w:line="266" w:lineRule="auto"/>
        <w:tabs>
          <w:tab w:leader="none" w:pos="1206"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175"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70" w:right="499" w:bottom="1440" w:gutter="0" w:footer="0" w:header="0"/>
        </w:sectPr>
      </w:pPr>
    </w:p>
    <w:bookmarkStart w:id="343" w:name="page344"/>
    <w:bookmarkEnd w:id="343"/>
    <w:p>
      <w:pPr>
        <w:ind w:left="-20" w:firstLine="436"/>
        <w:spacing w:after="0" w:line="255" w:lineRule="auto"/>
        <w:tabs>
          <w:tab w:leader="none" w:pos="69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Compliance With Code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88" w:lineRule="exact"/>
        <w:rPr>
          <w:rFonts w:ascii="Times New Roman" w:cs="Times New Roman" w:eastAsia="Times New Roman" w:hAnsi="Times New Roman"/>
          <w:sz w:val="18"/>
          <w:szCs w:val="18"/>
          <w:color w:val="auto"/>
        </w:rPr>
      </w:pPr>
    </w:p>
    <w:p>
      <w:pPr>
        <w:ind w:left="-20" w:right="120" w:firstLine="436"/>
        <w:spacing w:after="0" w:line="255" w:lineRule="auto"/>
        <w:tabs>
          <w:tab w:leader="none" w:pos="68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Leaves of Absence/Transfer Between Locations</w:t>
      </w:r>
      <w:r>
        <w:rPr>
          <w:rFonts w:ascii="Times New Roman" w:cs="Times New Roman" w:eastAsia="Times New Roman" w:hAnsi="Times New Roman"/>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day of such leave, any Incentive Stock Option held by the Participant will cease to be treated as an Incentive Stock Option and will be treated for tax purposes as a Nonstatutory Stock Option.</w:t>
      </w:r>
    </w:p>
    <w:p>
      <w:pPr>
        <w:spacing w:after="0" w:line="188"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Transferability of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00" w:firstLine="987"/>
        <w:spacing w:after="0" w:line="261" w:lineRule="auto"/>
        <w:tabs>
          <w:tab w:leader="none" w:pos="121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 If the Administrator makes an Award transferable, such Award may only be transferred (i) by will, (ii) by the laws of descent and distribution, or (iii) as permitted by Rule 701 of the Securities Act of 1933, as amended (the “Securities Act”).</w:t>
      </w:r>
    </w:p>
    <w:p>
      <w:pPr>
        <w:spacing w:after="0" w:line="179" w:lineRule="exact"/>
        <w:rPr>
          <w:rFonts w:ascii="Times New Roman" w:cs="Times New Roman" w:eastAsia="Times New Roman" w:hAnsi="Times New Roman"/>
          <w:sz w:val="18"/>
          <w:szCs w:val="18"/>
          <w:color w:val="auto"/>
        </w:rPr>
      </w:pPr>
    </w:p>
    <w:p>
      <w:pPr>
        <w:ind w:left="-20" w:right="100" w:firstLine="987"/>
        <w:spacing w:after="0" w:line="254" w:lineRule="auto"/>
        <w:tabs>
          <w:tab w:leader="none" w:pos="122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until the Company becomes subject to the reporting requirements of Section 13 or 15(d) of the Exchange Act, or after the Administrator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 Notwithstanding the foregoing sentence, the Administrator, in its sole discretion, may determine to permit transfers to the Company or in connection with a Change in Control or other acquisition transactions involving the Company to the extent permitted by Rule 12h-1(f).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60" w:top="270" w:right="459" w:bottom="1440" w:gutter="0" w:footer="0" w:header="0"/>
        </w:sectPr>
      </w:pPr>
    </w:p>
    <w:bookmarkStart w:id="344" w:name="page345"/>
    <w:bookmarkEnd w:id="344"/>
    <w:p>
      <w:pPr>
        <w:ind w:left="700" w:hanging="264"/>
        <w:spacing w:after="0"/>
        <w:tabs>
          <w:tab w:leader="none" w:pos="7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Adjustments; Dissolution or Liquidation; Merger or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provided, however, that the Administrator will make such adjustments to an Award required by Section 25102(o) of the California Corporations Code to the extent the Company is relying upon the exemption afforded thereby with respect to the Award.</w:t>
      </w:r>
    </w:p>
    <w:p>
      <w:pPr>
        <w:spacing w:after="0" w:line="188"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5" w:lineRule="exact"/>
        <w:rPr>
          <w:rFonts w:ascii="Times New Roman" w:cs="Times New Roman" w:eastAsia="Times New Roman" w:hAnsi="Times New Roman"/>
          <w:sz w:val="18"/>
          <w:szCs w:val="18"/>
          <w:color w:val="auto"/>
        </w:rPr>
      </w:pPr>
    </w:p>
    <w:p>
      <w:pPr>
        <w:ind w:right="40" w:firstLine="987"/>
        <w:spacing w:after="0" w:line="252" w:lineRule="auto"/>
        <w:tabs>
          <w:tab w:leader="none" w:pos="123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13(c), the Administrator will not be obligated to treat all Awards, all Awards held by a Participant, or all Awards of the same type, similarly.</w:t>
      </w:r>
    </w:p>
    <w:p>
      <w:pPr>
        <w:spacing w:after="0" w:line="197"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345" w:name="page346"/>
    <w:bookmarkEnd w:id="34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performance goals or other vesting criteria will be deemed achieved at one hundred percent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80"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For the purposes of this subsection 13(c),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merger or Change in Control.</w:t>
      </w:r>
    </w:p>
    <w:p>
      <w:pPr>
        <w:spacing w:after="0" w:line="188"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0" w:lineRule="exact"/>
        <w:rPr>
          <w:sz w:val="20"/>
          <w:szCs w:val="20"/>
          <w:color w:val="auto"/>
        </w:rPr>
      </w:pPr>
    </w:p>
    <w:p>
      <w:pPr>
        <w:jc w:val="both"/>
        <w:ind w:right="120" w:firstLine="991"/>
        <w:spacing w:after="0" w:line="281" w:lineRule="auto"/>
        <w:rPr>
          <w:sz w:val="20"/>
          <w:szCs w:val="20"/>
          <w:color w:val="auto"/>
        </w:rPr>
      </w:pPr>
      <w:r>
        <w:rPr>
          <w:rFonts w:ascii="Times New Roman" w:cs="Times New Roman" w:eastAsia="Times New Roman" w:hAnsi="Times New Roman"/>
          <w:sz w:val="17"/>
          <w:szCs w:val="17"/>
          <w:color w:val="auto"/>
        </w:rPr>
        <w:t>Notwithstanding anything in this Section 13(c)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spacing w:after="0" w:line="164" w:lineRule="exact"/>
        <w:rPr>
          <w:sz w:val="20"/>
          <w:szCs w:val="20"/>
          <w:color w:val="auto"/>
        </w:rPr>
      </w:pPr>
    </w:p>
    <w:p>
      <w:pPr>
        <w:ind w:left="700" w:hanging="264"/>
        <w:spacing w:after="0"/>
        <w:tabs>
          <w:tab w:leader="none" w:pos="7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75"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346" w:name="page347"/>
    <w:bookmarkEnd w:id="346"/>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tax withholding obligation, in whole or in part by (without limitation) (i) paying cash, (ii) electing to have the Company withhold otherwise deliverable Shares having a Fair Market Value equal to the minimum statutory amount required to be withheld, (iii) delivering to the Company already-owned Shares having a Fair Market Value equal to the statutory amount required to be withheld, provided the delivery of such Shares will not result in any adverse accounting consequences, as the Administrator determines in its sole discretion,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88" w:lineRule="exact"/>
        <w:rPr>
          <w:sz w:val="20"/>
          <w:szCs w:val="20"/>
          <w:color w:val="auto"/>
        </w:rPr>
      </w:pPr>
    </w:p>
    <w:p>
      <w:pPr>
        <w:ind w:right="120" w:firstLine="436"/>
        <w:spacing w:after="0" w:line="266" w:lineRule="auto"/>
        <w:tabs>
          <w:tab w:leader="none" w:pos="71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75" w:lineRule="exact"/>
        <w:rPr>
          <w:rFonts w:ascii="Times New Roman" w:cs="Times New Roman" w:eastAsia="Times New Roman" w:hAnsi="Times New Roman"/>
          <w:sz w:val="18"/>
          <w:szCs w:val="18"/>
          <w:color w:val="auto"/>
        </w:rPr>
      </w:pPr>
    </w:p>
    <w:p>
      <w:pPr>
        <w:ind w:right="160" w:firstLine="436"/>
        <w:spacing w:after="0" w:line="266" w:lineRule="auto"/>
        <w:tabs>
          <w:tab w:leader="none" w:pos="71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71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Subject to Section 21 of the Plan, the Plan will become effective upon its adoption by the Board. Unless sooner terminated under Section 18, it will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Board may at any time amend, alter, suspend or terminate the Plan.</w:t>
      </w:r>
    </w:p>
    <w:p>
      <w:pPr>
        <w:spacing w:after="0" w:line="225"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61" w:lineRule="exact"/>
        <w:rPr>
          <w:rFonts w:ascii="Times New Roman" w:cs="Times New Roman" w:eastAsia="Times New Roman" w:hAnsi="Times New Roman"/>
          <w:sz w:val="18"/>
          <w:szCs w:val="18"/>
          <w:color w:val="auto"/>
        </w:rPr>
      </w:pPr>
    </w:p>
    <w:p>
      <w:pPr>
        <w:ind w:right="280" w:firstLine="987"/>
        <w:spacing w:after="0" w:line="261" w:lineRule="auto"/>
        <w:tabs>
          <w:tab w:leader="none" w:pos="1236"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47" w:name="page348"/>
    <w:bookmarkEnd w:id="347"/>
    <w:p>
      <w:pPr>
        <w:ind w:left="704" w:hanging="264"/>
        <w:spacing w:after="0"/>
        <w:tabs>
          <w:tab w:leader="none" w:pos="70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Upon Issuance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40" w:val="left"/>
        </w:tabs>
        <w:numPr>
          <w:ilvl w:val="2"/>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5"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2"/>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5" w:lineRule="exact"/>
        <w:rPr>
          <w:rFonts w:ascii="Times New Roman" w:cs="Times New Roman" w:eastAsia="Times New Roman" w:hAnsi="Times New Roman"/>
          <w:sz w:val="18"/>
          <w:szCs w:val="18"/>
          <w:color w:val="auto"/>
        </w:rPr>
      </w:pPr>
    </w:p>
    <w:p>
      <w:pPr>
        <w:jc w:val="both"/>
        <w:ind w:left="4" w:right="120" w:firstLine="436"/>
        <w:spacing w:after="0" w:line="266" w:lineRule="auto"/>
        <w:tabs>
          <w:tab w:leader="none" w:pos="71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75" w:lineRule="exact"/>
        <w:rPr>
          <w:rFonts w:ascii="Times New Roman" w:cs="Times New Roman" w:eastAsia="Times New Roman" w:hAnsi="Times New Roman"/>
          <w:sz w:val="18"/>
          <w:szCs w:val="18"/>
          <w:color w:val="auto"/>
        </w:rPr>
      </w:pPr>
    </w:p>
    <w:p>
      <w:pPr>
        <w:ind w:left="4" w:right="160" w:firstLine="436"/>
        <w:spacing w:after="0" w:line="282" w:lineRule="auto"/>
        <w:tabs>
          <w:tab w:leader="none" w:pos="71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to Participants</w:t>
      </w:r>
      <w:r>
        <w:rPr>
          <w:rFonts w:ascii="Times New Roman" w:cs="Times New Roman" w:eastAsia="Times New Roman" w:hAnsi="Times New Roman"/>
          <w:sz w:val="18"/>
          <w:szCs w:val="18"/>
          <w:color w:val="auto"/>
        </w:rPr>
        <w:t>. Beginning on the earlier of (i) the date that the aggregate number of Participants under this Plan is five hundred</w:t>
      </w:r>
    </w:p>
    <w:p>
      <w:pPr>
        <w:spacing w:after="0" w:line="27" w:lineRule="exact"/>
        <w:rPr>
          <w:rFonts w:ascii="Times New Roman" w:cs="Times New Roman" w:eastAsia="Times New Roman" w:hAnsi="Times New Roman"/>
          <w:sz w:val="18"/>
          <w:szCs w:val="18"/>
          <w:color w:val="auto"/>
        </w:rPr>
      </w:pPr>
    </w:p>
    <w:p>
      <w:pPr>
        <w:ind w:left="4" w:hanging="4"/>
        <w:spacing w:after="0" w:line="250" w:lineRule="auto"/>
        <w:tabs>
          <w:tab w:leader="none" w:pos="43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more and the Company is relying on the exemption provided by Rule 12h-1(f)(1) under the Exchange Act and (ii) the date that the Company is required to deliver information to Participants pursuant to Rule 701 under the Securities Act, and until such time as the Company becomes subject to the reporting requirements of Section 13 or 15(d) of the Exchange Act, is no longer relying on the exemption provided by Rule 12h-1(f)(1) under the Exchange Act or is no longer required to deliver information to Participants pursuant to Rule 701 under the Securities Act, the Company shall provide to each Participant the information described in paragraphs (e)(3), (4), and (5) of Rule 701 under the Securities Act not less frequently than every six</w:t>
      </w:r>
    </w:p>
    <w:p>
      <w:pPr>
        <w:spacing w:after="0" w:line="1" w:lineRule="exact"/>
        <w:rPr>
          <w:rFonts w:ascii="Times New Roman" w:cs="Times New Roman" w:eastAsia="Times New Roman" w:hAnsi="Times New Roman"/>
          <w:sz w:val="18"/>
          <w:szCs w:val="18"/>
          <w:color w:val="auto"/>
        </w:rPr>
      </w:pPr>
    </w:p>
    <w:p>
      <w:pPr>
        <w:ind w:left="4" w:right="60" w:hanging="4"/>
        <w:spacing w:after="0" w:line="252" w:lineRule="auto"/>
        <w:tabs>
          <w:tab w:leader="none" w:pos="25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or Rule 701 of the Securities Act.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348" w:name="page349"/>
    <w:bookmarkEnd w:id="34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PMV PHARMACEUTICALS, INC.</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2013 EQUITY INCENTIVE PLAN</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9"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the terms defined in the 2013 Equity Incentive Plan (the “Plan”) shall have the same defined meanings in this Stock Option Agreement (the “Option Agreement”).</w:t>
      </w:r>
    </w:p>
    <w:p>
      <w:pPr>
        <w:spacing w:after="0" w:line="306" w:lineRule="exact"/>
        <w:rPr>
          <w:sz w:val="20"/>
          <w:szCs w:val="20"/>
          <w:color w:val="auto"/>
        </w:rPr>
      </w:pPr>
    </w:p>
    <w:p>
      <w:pPr>
        <w:ind w:left="424" w:hanging="424"/>
        <w:spacing w:after="0"/>
        <w:tabs>
          <w:tab w:leader="none" w:pos="424"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252"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7"/>
          <w:szCs w:val="17"/>
          <w:color w:val="auto"/>
        </w:rPr>
        <w:t>«Name»</w:t>
      </w:r>
    </w:p>
    <w:p>
      <w:pPr>
        <w:spacing w:after="0" w:line="225" w:lineRule="exact"/>
        <w:rPr>
          <w:rFonts w:ascii="Times New Roman" w:cs="Times New Roman" w:eastAsia="Times New Roman" w:hAnsi="Times New Roman"/>
          <w:sz w:val="18"/>
          <w:szCs w:val="18"/>
          <w:b w:val="1"/>
          <w:bCs w:val="1"/>
          <w:color w:val="auto"/>
        </w:rPr>
      </w:pPr>
    </w:p>
    <w:p>
      <w:pPr>
        <w:ind w:left="1464" w:right="8240" w:hanging="1013"/>
        <w:spacing w:after="0" w:line="3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Address: </w:t>
      </w:r>
      <w:r>
        <w:rPr>
          <w:rFonts w:ascii="Times New Roman" w:cs="Times New Roman" w:eastAsia="Times New Roman" w:hAnsi="Times New Roman"/>
          <w:sz w:val="17"/>
          <w:szCs w:val="17"/>
          <w:color w:val="auto"/>
        </w:rPr>
        <w:t>«Address»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«City_State_Zip»</w:t>
      </w:r>
    </w:p>
    <w:p>
      <w:pPr>
        <w:spacing w:after="0" w:line="13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The undersigned Participant has been granted an Option to purchase Common Stock of the Company, subject to the terms and conditions of the</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Plan and this Option Agreement, as follows:</w:t>
      </w:r>
    </w:p>
    <w:p>
      <w:pPr>
        <w:sectPr>
          <w:pgSz w:w="11900" w:h="16838" w:orient="portrait"/>
          <w:cols w:equalWidth="0" w:num="1">
            <w:col w:w="10984"/>
          </w:cols>
          <w:pgMar w:left="436" w:top="266" w:right="479" w:bottom="1440" w:gutter="0" w:footer="0" w:header="0"/>
        </w:sectPr>
      </w:pPr>
    </w:p>
    <w:p>
      <w:pPr>
        <w:spacing w:after="0" w:line="23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Date of Grant:</w:t>
      </w:r>
    </w:p>
    <w:p>
      <w:pPr>
        <w:spacing w:after="0" w:line="14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14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14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Total Number of Shares Granted:</w:t>
      </w:r>
    </w:p>
    <w:p>
      <w:pPr>
        <w:spacing w:after="0" w:line="15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14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Type of Option:</w:t>
      </w:r>
    </w:p>
    <w:p>
      <w:pPr>
        <w:spacing w:after="0" w:line="200" w:lineRule="exact"/>
        <w:rPr>
          <w:sz w:val="20"/>
          <w:szCs w:val="20"/>
          <w:color w:val="auto"/>
        </w:rPr>
      </w:pPr>
    </w:p>
    <w:p>
      <w:pPr>
        <w:spacing w:after="0" w:line="24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Term/Expiration Date:</w:t>
      </w:r>
    </w:p>
    <w:p>
      <w:pPr>
        <w:spacing w:after="0" w:line="25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424307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4">
                      <a:extLst>
                        <a:ext uri="{28A0092B-C50C-407E-A947-70E740481C1C}"/>
                      </a:extLst>
                    </a:blip>
                    <a:srcRect/>
                    <a:stretch>
                      <a:fillRect/>
                    </a:stretch>
                  </pic:blipFill>
                  <pic:spPr bwMode="auto">
                    <a:xfrm>
                      <a:off x="0" y="0"/>
                      <a:ext cx="424307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42430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$«Price_Per_Share»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42430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42430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7">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$«Total_Price»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42430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8">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xml:space="preserve"> Incentive Stock Option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«NSO»</w:t>
      </w:r>
      <w:r>
        <w:rPr>
          <w:rFonts w:ascii="Times New Roman" w:cs="Times New Roman" w:eastAsia="Times New Roman" w:hAnsi="Times New Roman"/>
          <w:sz w:val="18"/>
          <w:szCs w:val="18"/>
          <w:color w:val="auto"/>
        </w:rPr>
        <w:t xml:space="preserve"> Nonstatutory Stock Option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424307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9">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2844" w:space="240"/>
            <w:col w:w="7900"/>
          </w:cols>
          <w:pgMar w:left="436" w:top="266" w:right="479" w:bottom="1440" w:gutter="0" w:footer="0" w:header="0"/>
          <w:type w:val="continuous"/>
        </w:sectPr>
      </w:pPr>
    </w:p>
    <w:p>
      <w:pPr>
        <w:spacing w:after="0" w:line="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Option shall be exercisable, in whole or in part, according to the following vesting schedule:</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[Twenty-five percent (25%) of the Shares subject to the Option shall vest on the one (1) year anniversary of the Vesting Commencement Date, and one forty-eighth (1/48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of the Shares subject to the Option shall vest each month thereafter on the same day of the month as the Vesting Commencement Date (and if there is no corresponding day, on the last day of the month), subject to Participant continuing to be a Service Provider through each such date.]</w:t>
      </w:r>
    </w:p>
    <w:p>
      <w:pPr>
        <w:sectPr>
          <w:pgSz w:w="11900" w:h="16838" w:orient="portrait"/>
          <w:cols w:equalWidth="0" w:num="1">
            <w:col w:w="10984"/>
          </w:cols>
          <w:pgMar w:left="436" w:top="266" w:right="479" w:bottom="1440" w:gutter="0" w:footer="0" w:header="0"/>
          <w:type w:val="continuous"/>
        </w:sectPr>
      </w:pPr>
    </w:p>
    <w:bookmarkStart w:id="349" w:name="page350"/>
    <w:bookmarkEnd w:id="349"/>
    <w:p>
      <w:pPr>
        <w:ind w:left="44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This Option shall be exercisable for [three (3) months] after Participant ceases to be a Service Provider, unless such termination is due to Participant’s death or Disability, in which case this Option shall be exercisable for [twelve (12) months] after Participant ceases to be a Service Provider. Notwithstanding the foregoing sentence, in no event may this Option be exercised after the Term/Expiration Date as provided above and this Option may be subject to earlier termination as provided in Section 13 of the Plan.</w:t>
      </w:r>
    </w:p>
    <w:p>
      <w:pPr>
        <w:spacing w:after="0" w:line="324" w:lineRule="exact"/>
        <w:rPr>
          <w:sz w:val="20"/>
          <w:szCs w:val="20"/>
          <w:color w:val="auto"/>
        </w:rPr>
      </w:pPr>
    </w:p>
    <w:p>
      <w:pPr>
        <w:ind w:left="424" w:hanging="424"/>
        <w:spacing w:after="0"/>
        <w:tabs>
          <w:tab w:leader="none" w:pos="424"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AGREEMENT</w:t>
      </w:r>
    </w:p>
    <w:p>
      <w:pPr>
        <w:spacing w:after="0" w:line="121" w:lineRule="exact"/>
        <w:rPr>
          <w:rFonts w:ascii="Times New Roman" w:cs="Times New Roman" w:eastAsia="Times New Roman" w:hAnsi="Times New Roman"/>
          <w:sz w:val="18"/>
          <w:szCs w:val="18"/>
          <w:b w:val="1"/>
          <w:bCs w:val="1"/>
          <w:color w:val="auto"/>
        </w:rPr>
      </w:pPr>
    </w:p>
    <w:p>
      <w:pPr>
        <w:jc w:val="both"/>
        <w:ind w:left="4" w:firstLine="436"/>
        <w:spacing w:after="0" w:line="258" w:lineRule="auto"/>
        <w:tabs>
          <w:tab w:leader="none" w:pos="62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Administrator of the Company hereby grants to the Participant named in the Notice of Stock Option Grant in Part I of this Agreement (“Participant”),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 18 of the Plan, in the event of a conflict between the terms and conditions of the Plan and this Option Agreement, the terms and conditions of the Plan shall prevail.</w:t>
      </w:r>
    </w:p>
    <w:p>
      <w:pPr>
        <w:spacing w:after="0" w:line="183" w:lineRule="exact"/>
        <w:rPr>
          <w:sz w:val="20"/>
          <w:szCs w:val="20"/>
          <w:color w:val="auto"/>
        </w:rPr>
      </w:pPr>
    </w:p>
    <w:p>
      <w:pPr>
        <w:ind w:left="4" w:right="120" w:firstLine="991"/>
        <w:spacing w:after="0" w:line="256" w:lineRule="auto"/>
        <w:rPr>
          <w:sz w:val="20"/>
          <w:szCs w:val="20"/>
          <w:color w:val="auto"/>
        </w:rPr>
      </w:pPr>
      <w:r>
        <w:rPr>
          <w:rFonts w:ascii="Times New Roman" w:cs="Times New Roman" w:eastAsia="Times New Roman" w:hAnsi="Times New Roman"/>
          <w:sz w:val="18"/>
          <w:szCs w:val="18"/>
          <w:color w:val="auto"/>
        </w:rPr>
        <w:t>If designated in the Notice of Stock Option Grant as an Incentive Stock Option (“ISO”), this Option is intended to qualify as an Incentive Stock Option as defined in Section 422 of the Code. Nevertheless, to the extent that it exceeds the $100,000 rule of Code Section 422(d), this Option shall be treated as a Nonstatutory Stock Option (“NSO”).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87" w:lineRule="exact"/>
        <w:rPr>
          <w:sz w:val="20"/>
          <w:szCs w:val="20"/>
          <w:color w:val="auto"/>
        </w:rPr>
      </w:pPr>
    </w:p>
    <w:p>
      <w:pPr>
        <w:ind w:left="624" w:hanging="184"/>
        <w:spacing w:after="0"/>
        <w:tabs>
          <w:tab w:leader="none" w:pos="62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2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shall be exercisable during its term in accordance with the Vesting Schedule set out in the Notice of Stock Option Grant and with the applicable provisions of the Plan and this Option Agreement.</w:t>
      </w:r>
    </w:p>
    <w:p>
      <w:pPr>
        <w:spacing w:after="0" w:line="161"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5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This Option shall be exercisable by delivery of an exercise notice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“Exercise Notice”) or in a manner and pursuant to such procedures as the Administrator may determine, which shall state the election to exercise the Option, the number of Shares with respect to which the Option is being exercised (the “Exercised Shares”),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87" w:lineRule="exact"/>
        <w:rPr>
          <w:sz w:val="20"/>
          <w:szCs w:val="20"/>
          <w:color w:val="auto"/>
        </w:rPr>
      </w:pPr>
    </w:p>
    <w:p>
      <w:pPr>
        <w:ind w:left="4" w:right="360" w:firstLine="991"/>
        <w:spacing w:after="0" w:line="266" w:lineRule="auto"/>
        <w:rPr>
          <w:sz w:val="20"/>
          <w:szCs w:val="20"/>
          <w:color w:val="auto"/>
        </w:rPr>
      </w:pPr>
      <w:r>
        <w:rPr>
          <w:rFonts w:ascii="Times New Roman" w:cs="Times New Roman" w:eastAsia="Times New Roman" w:hAnsi="Times New Roman"/>
          <w:sz w:val="18"/>
          <w:szCs w:val="18"/>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350" w:name="page351"/>
    <w:bookmarkEnd w:id="350"/>
    <w:p>
      <w:pPr>
        <w:ind w:right="280" w:firstLine="436"/>
        <w:spacing w:after="0" w:line="266" w:lineRule="auto"/>
        <w:tabs>
          <w:tab w:leader="none" w:pos="6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Participant’s Representations</w:t>
      </w:r>
      <w:r>
        <w:rPr>
          <w:rFonts w:ascii="Times New Roman" w:cs="Times New Roman" w:eastAsia="Times New Roman" w:hAnsi="Times New Roman"/>
          <w:sz w:val="18"/>
          <w:szCs w:val="18"/>
          <w:color w:val="auto"/>
        </w:rPr>
        <w:t xml:space="preserve">. In the event the Shares have not been registered under the Securities Act of 1933, as amended (the “Securities Act”),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2711(f)(4) or NYSE Rule 472(f)(4), or any successor provisions or amendments thereto).</w:t>
      </w:r>
    </w:p>
    <w:p>
      <w:pPr>
        <w:spacing w:after="0" w:line="207"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4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4.</w:t>
      </w:r>
    </w:p>
    <w:p>
      <w:pPr>
        <w:spacing w:after="0" w:line="194" w:lineRule="exact"/>
        <w:rPr>
          <w:sz w:val="20"/>
          <w:szCs w:val="20"/>
          <w:color w:val="auto"/>
        </w:rPr>
      </w:pPr>
    </w:p>
    <w:p>
      <w:pPr>
        <w:ind w:right="200" w:firstLine="436"/>
        <w:spacing w:after="0" w:line="282" w:lineRule="auto"/>
        <w:tabs>
          <w:tab w:leader="none" w:pos="6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aggregate Exercise Price shall be by any of the following, or a combination thereof, at the election of the Participant: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51" w:name="page352"/>
    <w:bookmarkEnd w:id="35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 consideration received by the Company under a formal cashless exercise program adopted by the Company in connection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or</w:t>
      </w:r>
    </w:p>
    <w:p>
      <w:pPr>
        <w:spacing w:after="0" w:line="207" w:lineRule="exact"/>
        <w:rPr>
          <w:sz w:val="20"/>
          <w:szCs w:val="20"/>
          <w:color w:val="auto"/>
        </w:rPr>
      </w:pPr>
    </w:p>
    <w:p>
      <w:pPr>
        <w:ind w:right="80" w:firstLine="987"/>
        <w:spacing w:after="0" w:line="266" w:lineRule="auto"/>
        <w:tabs>
          <w:tab w:leader="none" w:pos="124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pacing w:after="0" w:line="175" w:lineRule="exact"/>
        <w:rPr>
          <w:rFonts w:ascii="Times New Roman" w:cs="Times New Roman" w:eastAsia="Times New Roman" w:hAnsi="Times New Roman"/>
          <w:sz w:val="18"/>
          <w:szCs w:val="18"/>
          <w:color w:val="auto"/>
        </w:rPr>
      </w:pPr>
    </w:p>
    <w:p>
      <w:pPr>
        <w:ind w:right="100" w:firstLine="436"/>
        <w:spacing w:after="0" w:line="266" w:lineRule="auto"/>
        <w:tabs>
          <w:tab w:leader="none" w:pos="6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Exercise</w:t>
      </w:r>
      <w:r>
        <w:rPr>
          <w:rFonts w:ascii="Times New Roman" w:cs="Times New Roman" w:eastAsia="Times New Roman" w:hAnsi="Times New Roman"/>
          <w:sz w:val="18"/>
          <w:szCs w:val="18"/>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until the Company becomes subject to the reporting requirements of Section 13 or 15(d) of the Exchange Act, or after the Administrator determines that it is, will, or may no longer be relying upon the exemption from registration of Options under the Exchange Act as set forth in Rule 12h-1(f) promulgated under the Exchange Act (the “Reliance End Date”), Participant shall not transfer this Option or, prior to exercise, the Shares subject to this Option, in any manner other than (i) to persons who are “family members” (as defined in Rule 701(c)(3) of the Securities Act) through gifts or domestic relations orders, or (ii) to an executor or guardian of Participant upon the death or disability of Participant. Until the Reliance End Date, the Options and, prior to exercise, the Shares subject to this Option, may not be pledged, hypothecated or otherwise transferred or disposed of, including by entering into any short position, any “put equivalent position” or any “call equivalent position” (as defined in Rule 16a-1(h) and Rule 16a-1(b) of the Exchange Act, respectively), other than as permitted in clauses (i) and (ii) of this paragraph.</w:t>
      </w:r>
    </w:p>
    <w:p>
      <w:pPr>
        <w:spacing w:after="0" w:line="191" w:lineRule="exact"/>
        <w:rPr>
          <w:rFonts w:ascii="Times New Roman" w:cs="Times New Roman" w:eastAsia="Times New Roman" w:hAnsi="Times New Roman"/>
          <w:sz w:val="18"/>
          <w:szCs w:val="18"/>
          <w:color w:val="auto"/>
        </w:rPr>
      </w:pPr>
    </w:p>
    <w:p>
      <w:pPr>
        <w:ind w:right="200" w:firstLine="436"/>
        <w:spacing w:after="0" w:line="282" w:lineRule="auto"/>
        <w:tabs>
          <w:tab w:leader="none" w:pos="6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This Option may be exercised only within the term set out in the Notice of Stock Option Grant, and may be exercised during such term only in accordance with the Plan and the terms of this Option Agreement.</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179"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Disqualifying Disposition of ISO Shares</w:t>
      </w:r>
      <w:r>
        <w:rPr>
          <w:rFonts w:ascii="Times New Roman" w:cs="Times New Roman" w:eastAsia="Times New Roman" w:hAnsi="Times New Roman"/>
          <w:sz w:val="18"/>
          <w:szCs w:val="18"/>
          <w:color w:val="auto"/>
        </w:rPr>
        <w:t>. If the Option granted to Participant herein is an ISO, and if Participant sells or otherwise disposes of any of the Shares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52" w:name="page353"/>
    <w:bookmarkEnd w:id="352"/>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76" w:lineRule="exact"/>
        <w:rPr>
          <w:sz w:val="20"/>
          <w:szCs w:val="20"/>
          <w:color w:val="auto"/>
        </w:rPr>
      </w:pPr>
    </w:p>
    <w:p>
      <w:pPr>
        <w:ind w:right="80" w:firstLine="987"/>
        <w:spacing w:after="0" w:line="254" w:lineRule="auto"/>
        <w:tabs>
          <w:tab w:leader="none" w:pos="123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xml:space="preserve">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88" w:lineRule="exact"/>
        <w:rPr>
          <w:rFonts w:ascii="Times New Roman" w:cs="Times New Roman" w:eastAsia="Times New Roman" w:hAnsi="Times New Roman"/>
          <w:sz w:val="18"/>
          <w:szCs w:val="18"/>
          <w:color w:val="auto"/>
        </w:rPr>
      </w:pPr>
    </w:p>
    <w:p>
      <w:pPr>
        <w:ind w:right="100" w:firstLine="436"/>
        <w:spacing w:after="0" w:line="258" w:lineRule="auto"/>
        <w:tabs>
          <w:tab w:leader="none" w:pos="71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California.</w:t>
      </w:r>
    </w:p>
    <w:p>
      <w:pPr>
        <w:spacing w:after="0" w:line="183" w:lineRule="exact"/>
        <w:rPr>
          <w:rFonts w:ascii="Times New Roman" w:cs="Times New Roman" w:eastAsia="Times New Roman" w:hAnsi="Times New Roman"/>
          <w:sz w:val="18"/>
          <w:szCs w:val="18"/>
          <w:color w:val="auto"/>
        </w:rPr>
      </w:pPr>
    </w:p>
    <w:p>
      <w:pPr>
        <w:ind w:firstLine="436"/>
        <w:spacing w:after="0" w:line="271" w:lineRule="auto"/>
        <w:tabs>
          <w:tab w:leader="none" w:pos="703"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Guarantee of Continued Service</w:t>
      </w:r>
      <w:r>
        <w:rPr>
          <w:rFonts w:ascii="Times New Roman" w:cs="Times New Roman" w:eastAsia="Times New Roman" w:hAnsi="Times New Roman"/>
          <w:sz w:val="17"/>
          <w:szCs w:val="17"/>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353" w:name="page354"/>
    <w:bookmarkEnd w:id="353"/>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63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PMV PHARMACEUTICALS, INC.</w:t>
            </w:r>
          </w:p>
        </w:tc>
      </w:tr>
      <w:tr>
        <w:trPr>
          <w:trHeight w:val="432"/>
        </w:trPr>
        <w:tc>
          <w:tcPr>
            <w:tcW w:w="472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228"/>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4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427"/>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44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228"/>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14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r>
      <w:tr>
        <w:trPr>
          <w:trHeight w:val="427"/>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w:t>
            </w:r>
          </w:p>
        </w:tc>
        <w:tc>
          <w:tcPr>
            <w:tcW w:w="144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228"/>
        </w:trPr>
        <w:tc>
          <w:tcPr>
            <w:tcW w:w="4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27"/>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«City_State_Zip»</w:t>
            </w:r>
          </w:p>
        </w:tc>
        <w:tc>
          <w:tcPr>
            <w:tcW w:w="144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28"/>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Residence Address</w:t>
            </w:r>
          </w:p>
        </w:tc>
        <w:tc>
          <w:tcPr>
            <w:tcW w:w="144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360"/>
        </w:trPr>
        <w:tc>
          <w:tcPr>
            <w:tcW w:w="4720" w:type="dxa"/>
            <w:vAlign w:val="bottom"/>
          </w:tcPr>
          <w:p>
            <w:pPr>
              <w:spacing w:after="0"/>
              <w:rPr>
                <w:sz w:val="24"/>
                <w:szCs w:val="24"/>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54" w:name="page355"/>
    <w:bookmarkEnd w:id="35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2013 EQUITY INCENTIVE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Clarke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Cranbury, NJ 08512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1. Exercise of Option. Effective as of today,</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6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the undersigned (“Participant”) hereby elects to exercise Participant’s option (the</w:t>
            </w:r>
          </w:p>
        </w:tc>
      </w:tr>
      <w:tr>
        <w:trPr>
          <w:trHeight w:val="20"/>
        </w:trPr>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1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“Option”) to purchase</w:t>
            </w:r>
          </w:p>
        </w:tc>
        <w:tc>
          <w:tcPr>
            <w:tcW w:w="3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580" w:type="dxa"/>
            <w:vAlign w:val="bottom"/>
            <w:gridSpan w:val="9"/>
          </w:tcPr>
          <w:p>
            <w:pPr>
              <w:ind w:left="60"/>
              <w:spacing w:after="0" w:line="196" w:lineRule="exact"/>
              <w:rPr>
                <w:sz w:val="20"/>
                <w:szCs w:val="20"/>
                <w:color w:val="auto"/>
              </w:rPr>
            </w:pPr>
            <w:r>
              <w:rPr>
                <w:rFonts w:ascii="Times New Roman" w:cs="Times New Roman" w:eastAsia="Times New Roman" w:hAnsi="Times New Roman"/>
                <w:sz w:val="18"/>
                <w:szCs w:val="18"/>
                <w:color w:val="auto"/>
                <w:w w:val="99"/>
              </w:rPr>
              <w:t>shares of the Common Stock (the “Shares”) of PMV Pharmaceuticals, Inc. (the “Company”) under and pursuant to the</w:t>
            </w:r>
          </w:p>
        </w:tc>
      </w:tr>
      <w:tr>
        <w:trPr>
          <w:trHeight w:val="196"/>
        </w:trPr>
        <w:tc>
          <w:tcPr>
            <w:tcW w:w="57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2013 Equity Incentive Plan (the “Plan”) and the Stock Option Agreement dated</w:t>
            </w:r>
          </w:p>
        </w:tc>
        <w:tc>
          <w:tcPr>
            <w:tcW w:w="540" w:type="dxa"/>
            <w:vAlign w:val="bottom"/>
            <w:tcBorders>
              <w:bottom w:val="single" w:sz="8" w:color="auto"/>
            </w:tcBorders>
          </w:tcPr>
          <w:p>
            <w:pPr>
              <w:spacing w:after="0"/>
              <w:rPr>
                <w:sz w:val="17"/>
                <w:szCs w:val="17"/>
                <w:color w:val="auto"/>
              </w:rPr>
            </w:pPr>
          </w:p>
        </w:tc>
        <w:tc>
          <w:tcPr>
            <w:tcW w:w="1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0"/>
              </w:rPr>
              <w:t>,</w:t>
            </w:r>
          </w:p>
        </w:tc>
        <w:tc>
          <w:tcPr>
            <w:tcW w:w="360" w:type="dxa"/>
            <w:vAlign w:val="bottom"/>
            <w:tcBorders>
              <w:bottom w:val="single" w:sz="8" w:color="auto"/>
            </w:tcBorders>
          </w:tcPr>
          <w:p>
            <w:pPr>
              <w:spacing w:after="0"/>
              <w:rPr>
                <w:sz w:val="17"/>
                <w:szCs w:val="17"/>
                <w:color w:val="auto"/>
              </w:rPr>
            </w:pPr>
          </w:p>
        </w:tc>
        <w:tc>
          <w:tcPr>
            <w:tcW w:w="41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(the “Option Agreement”).</w:t>
            </w:r>
          </w:p>
        </w:tc>
      </w:tr>
    </w:tbl>
    <w:p>
      <w:pPr>
        <w:spacing w:after="0" w:line="225" w:lineRule="exact"/>
        <w:rPr>
          <w:sz w:val="20"/>
          <w:szCs w:val="20"/>
          <w:color w:val="auto"/>
        </w:rPr>
      </w:pPr>
    </w:p>
    <w:p>
      <w:pPr>
        <w:ind w:right="140" w:firstLine="436"/>
        <w:spacing w:after="0" w:line="282" w:lineRule="auto"/>
        <w:tabs>
          <w:tab w:leader="none" w:pos="6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r>
        <w:rPr>
          <w:rFonts w:ascii="Times New Roman" w:cs="Times New Roman" w:eastAsia="Times New Roman" w:hAnsi="Times New Roman"/>
          <w:sz w:val="18"/>
          <w:szCs w:val="18"/>
          <w:color w:val="auto"/>
        </w:rPr>
        <w:t>. Participant herewith delivers to the Company the full purchase price of the Shares, as set forth in the Option Agreement, and any and all withholding taxes due in connection with the exercise of the Option.</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Participant</w:t>
      </w:r>
      <w:r>
        <w:rPr>
          <w:rFonts w:ascii="Times New Roman" w:cs="Times New Roman" w:eastAsia="Times New Roman" w:hAnsi="Times New Roman"/>
          <w:sz w:val="18"/>
          <w:szCs w:val="18"/>
          <w:color w:val="auto"/>
        </w:rPr>
        <w:t>. Participant acknowledges that Participant has received, read and understood the Plan and the Option Agreement and agrees to abide by and be bound by their terms and conditions.</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13 of the Plan.</w:t>
      </w:r>
    </w:p>
    <w:p>
      <w:pPr>
        <w:spacing w:after="0" w:line="183" w:lineRule="exact"/>
        <w:rPr>
          <w:rFonts w:ascii="Times New Roman" w:cs="Times New Roman" w:eastAsia="Times New Roman" w:hAnsi="Times New Roman"/>
          <w:sz w:val="18"/>
          <w:szCs w:val="18"/>
          <w:color w:val="auto"/>
        </w:rPr>
      </w:pPr>
    </w:p>
    <w:p>
      <w:pPr>
        <w:ind w:right="120" w:firstLine="436"/>
        <w:spacing w:after="0" w:line="266" w:lineRule="auto"/>
        <w:tabs>
          <w:tab w:leader="none" w:pos="6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Right of First Refusal</w:t>
      </w:r>
      <w:r>
        <w:rPr>
          <w:rFonts w:ascii="Times New Roman" w:cs="Times New Roman" w:eastAsia="Times New Roman" w:hAnsi="Times New Roman"/>
          <w:sz w:val="18"/>
          <w:szCs w:val="18"/>
          <w:color w:val="auto"/>
        </w:rPr>
        <w:t>. Before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5 (the “Right of First Refusal”).</w:t>
      </w:r>
    </w:p>
    <w:p>
      <w:pPr>
        <w:spacing w:after="0" w:line="175"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Proposed Transfer</w:t>
      </w:r>
      <w:r>
        <w:rPr>
          <w:rFonts w:ascii="Times New Roman" w:cs="Times New Roman" w:eastAsia="Times New Roman" w:hAnsi="Times New Roman"/>
          <w:sz w:val="18"/>
          <w:szCs w:val="18"/>
          <w:color w:val="auto"/>
        </w:rPr>
        <w:t>. The Holder of the Shares shall deliver to the Company a written notice (the “Notice”) stating: (i) the Holder’s bona fide intention to sell or otherwise transfer such Shares; (ii) the name of each proposed purchaser or other transferee (“Proposed Transferee”); (iii) the number of Shares to be transferred to each Proposed Transferee; and (iv) the bona fide cash price or other consideration for which the Holder proposes to transfer the Shares (the “Offered Price”), and the Holder shall offer the Shares at the Offered Price to the Company or its assignee(s).</w:t>
      </w:r>
    </w:p>
    <w:p>
      <w:pPr>
        <w:sectPr>
          <w:pgSz w:w="11900" w:h="16838" w:orient="portrait"/>
          <w:cols w:equalWidth="0" w:num="1">
            <w:col w:w="11000"/>
          </w:cols>
          <w:pgMar w:left="440" w:top="266" w:right="459" w:bottom="1440" w:gutter="0" w:footer="0" w:header="0"/>
        </w:sectPr>
      </w:pPr>
    </w:p>
    <w:bookmarkStart w:id="355" w:name="page356"/>
    <w:bookmarkEnd w:id="355"/>
    <w:p>
      <w:pPr>
        <w:ind w:left="4" w:right="20" w:firstLine="987"/>
        <w:spacing w:after="0" w:line="266" w:lineRule="auto"/>
        <w:tabs>
          <w:tab w:leader="none" w:pos="125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 of Right of First Refusal</w:t>
      </w:r>
      <w:r>
        <w:rPr>
          <w:rFonts w:ascii="Times New Roman" w:cs="Times New Roman" w:eastAsia="Times New Roman" w:hAnsi="Times New Roman"/>
          <w:sz w:val="18"/>
          <w:szCs w:val="18"/>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75"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(“Purchase Price”)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75" w:lineRule="exact"/>
        <w:rPr>
          <w:rFonts w:ascii="Times New Roman" w:cs="Times New Roman" w:eastAsia="Times New Roman" w:hAnsi="Times New Roman"/>
          <w:sz w:val="18"/>
          <w:szCs w:val="18"/>
          <w:color w:val="auto"/>
        </w:rPr>
      </w:pPr>
    </w:p>
    <w:p>
      <w:pPr>
        <w:ind w:left="4" w:right="380" w:firstLine="987"/>
        <w:spacing w:after="0" w:line="289" w:lineRule="auto"/>
        <w:tabs>
          <w:tab w:leader="none" w:pos="1250"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57" w:lineRule="exact"/>
        <w:rPr>
          <w:rFonts w:ascii="Times New Roman" w:cs="Times New Roman" w:eastAsia="Times New Roman" w:hAnsi="Times New Roman"/>
          <w:sz w:val="17"/>
          <w:szCs w:val="17"/>
          <w:color w:val="auto"/>
        </w:rPr>
      </w:pPr>
    </w:p>
    <w:p>
      <w:pPr>
        <w:ind w:left="4" w:right="180" w:firstLine="987"/>
        <w:spacing w:after="0" w:line="272" w:lineRule="auto"/>
        <w:tabs>
          <w:tab w:leader="none" w:pos="1240"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Right to Transfer</w:t>
      </w:r>
      <w:r>
        <w:rPr>
          <w:rFonts w:ascii="Times New Roman" w:cs="Times New Roman" w:eastAsia="Times New Roman" w:hAnsi="Times New Roman"/>
          <w:sz w:val="17"/>
          <w:szCs w:val="17"/>
          <w:color w:val="auto"/>
        </w:rPr>
        <w:t xml:space="preserve">.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sale or other transfer is consummated within one hundred and twenty</w:t>
      </w:r>
    </w:p>
    <w:p>
      <w:pPr>
        <w:spacing w:after="0" w:line="1" w:lineRule="exact"/>
        <w:rPr>
          <w:rFonts w:ascii="Times New Roman" w:cs="Times New Roman" w:eastAsia="Times New Roman" w:hAnsi="Times New Roman"/>
          <w:sz w:val="17"/>
          <w:szCs w:val="17"/>
          <w:color w:val="auto"/>
        </w:rPr>
      </w:pPr>
    </w:p>
    <w:p>
      <w:pPr>
        <w:ind w:left="4" w:right="160" w:hanging="4"/>
        <w:spacing w:after="0" w:line="253" w:lineRule="auto"/>
        <w:tabs>
          <w:tab w:leader="none" w:pos="43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86"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2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 for Certain Family Transfers</w:t>
      </w:r>
      <w:r>
        <w:rPr>
          <w:rFonts w:ascii="Times New Roman" w:cs="Times New Roman" w:eastAsia="Times New Roman" w:hAnsi="Times New Roman"/>
          <w:sz w:val="18"/>
          <w:szCs w:val="18"/>
          <w:color w:val="auto"/>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“Immediate Family”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87"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Right of First Refusal</w:t>
      </w:r>
      <w:r>
        <w:rPr>
          <w:rFonts w:ascii="Times New Roman" w:cs="Times New Roman" w:eastAsia="Times New Roman" w:hAnsi="Times New Roman"/>
          <w:sz w:val="18"/>
          <w:szCs w:val="18"/>
          <w:color w:val="auto"/>
        </w:rPr>
        <w:t>. The Right of First Refusal shall terminate as to any Shares upon the earlier of (i) the first sale of Common Stock of the Company to the general public, or (ii) a Change in Control in which the successor corporation has equity securities that are publicly traded.</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4"/>
          </w:cols>
          <w:pgMar w:left="436" w:top="270" w:right="519" w:bottom="1440" w:gutter="0" w:footer="0" w:header="0"/>
        </w:sectPr>
      </w:pPr>
    </w:p>
    <w:bookmarkStart w:id="356" w:name="page357"/>
    <w:bookmarkEnd w:id="356"/>
    <w:p>
      <w:pPr>
        <w:ind w:right="200" w:firstLine="436"/>
        <w:spacing w:after="0" w:line="266" w:lineRule="auto"/>
        <w:tabs>
          <w:tab w:leader="none" w:pos="6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Consultation</w:t>
      </w:r>
      <w:r>
        <w:rPr>
          <w:rFonts w:ascii="Times New Roman" w:cs="Times New Roman" w:eastAsia="Times New Roman" w:hAnsi="Times New Roman"/>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Legends and Stop-Transfer Orders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987"/>
        <w:spacing w:after="0" w:line="266" w:lineRule="auto"/>
        <w:tabs>
          <w:tab w:leader="none" w:pos="1236"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68" w:lineRule="exact"/>
        <w:rPr>
          <w:sz w:val="20"/>
          <w:szCs w:val="20"/>
          <w:color w:val="auto"/>
        </w:rPr>
      </w:pPr>
    </w:p>
    <w:p>
      <w:pPr>
        <w:ind w:left="980"/>
        <w:spacing w:after="0" w:line="281" w:lineRule="auto"/>
        <w:rPr>
          <w:sz w:val="20"/>
          <w:szCs w:val="20"/>
          <w:color w:val="auto"/>
        </w:rPr>
      </w:pPr>
      <w:r>
        <w:rPr>
          <w:rFonts w:ascii="Times New Roman" w:cs="Times New Roman" w:eastAsia="Times New Roman" w:hAnsi="Times New Roman"/>
          <w:sz w:val="17"/>
          <w:szCs w:val="17"/>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56" w:lineRule="exact"/>
        <w:rPr>
          <w:sz w:val="20"/>
          <w:szCs w:val="20"/>
          <w:color w:val="auto"/>
        </w:rPr>
      </w:pPr>
    </w:p>
    <w:p>
      <w:pPr>
        <w:ind w:left="980" w:right="240"/>
        <w:spacing w:after="0" w:line="258" w:lineRule="auto"/>
        <w:rPr>
          <w:sz w:val="20"/>
          <w:szCs w:val="20"/>
          <w:color w:val="auto"/>
        </w:rPr>
      </w:pPr>
      <w:r>
        <w:rPr>
          <w:rFonts w:ascii="Times New Roman" w:cs="Times New Roman" w:eastAsia="Times New Roman" w:hAnsi="Times New Roman"/>
          <w:sz w:val="18"/>
          <w:szCs w:val="18"/>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75"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83" w:lineRule="exact"/>
        <w:rPr>
          <w:sz w:val="20"/>
          <w:szCs w:val="20"/>
          <w:color w:val="auto"/>
        </w:rPr>
      </w:pPr>
    </w:p>
    <w:p>
      <w:pPr>
        <w:ind w:right="80" w:firstLine="987"/>
        <w:spacing w:after="0" w:line="266" w:lineRule="auto"/>
        <w:tabs>
          <w:tab w:leader="none" w:pos="124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Stop-Transfer Notices</w:t>
      </w:r>
      <w:r>
        <w:rPr>
          <w:rFonts w:ascii="Times New Roman" w:cs="Times New Roman" w:eastAsia="Times New Roman" w:hAnsi="Times New Roman"/>
          <w:sz w:val="18"/>
          <w:szCs w:val="18"/>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75" w:lineRule="exact"/>
        <w:rPr>
          <w:rFonts w:ascii="Times New Roman" w:cs="Times New Roman" w:eastAsia="Times New Roman" w:hAnsi="Times New Roman"/>
          <w:sz w:val="18"/>
          <w:szCs w:val="18"/>
          <w:color w:val="auto"/>
        </w:rPr>
      </w:pPr>
    </w:p>
    <w:p>
      <w:pPr>
        <w:ind w:right="520" w:firstLine="987"/>
        <w:spacing w:after="0" w:line="266" w:lineRule="auto"/>
        <w:tabs>
          <w:tab w:leader="none" w:pos="12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Refusal to Transfer</w:t>
      </w:r>
      <w:r>
        <w:rPr>
          <w:rFonts w:ascii="Times New Roman" w:cs="Times New Roman" w:eastAsia="Times New Roman" w:hAnsi="Times New Roman"/>
          <w:sz w:val="18"/>
          <w:szCs w:val="18"/>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57" w:name="page358"/>
    <w:bookmarkEnd w:id="357"/>
    <w:p>
      <w:pPr>
        <w:ind w:firstLine="436"/>
        <w:spacing w:after="0" w:line="266" w:lineRule="auto"/>
        <w:tabs>
          <w:tab w:leader="none" w:pos="62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Successors and Assigns</w:t>
      </w:r>
      <w:r>
        <w:rPr>
          <w:rFonts w:ascii="Times New Roman" w:cs="Times New Roman" w:eastAsia="Times New Roman" w:hAnsi="Times New Roman"/>
          <w:sz w:val="18"/>
          <w:szCs w:val="18"/>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2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175" w:lineRule="exact"/>
        <w:rPr>
          <w:rFonts w:ascii="Times New Roman" w:cs="Times New Roman" w:eastAsia="Times New Roman" w:hAnsi="Times New Roman"/>
          <w:sz w:val="18"/>
          <w:szCs w:val="18"/>
          <w:color w:val="auto"/>
        </w:rPr>
      </w:pPr>
    </w:p>
    <w:p>
      <w:pPr>
        <w:ind w:right="100" w:firstLine="436"/>
        <w:spacing w:after="0" w:line="266" w:lineRule="auto"/>
        <w:tabs>
          <w:tab w:leader="none" w:pos="71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Exercise Notice is governed by the internal substantive laws, but not the choice of law rules, of California. In the event that any provision hereof becomes or is declared by a court of competent jurisdiction to be illegal, unenforceable or void, this Exercise Notice shall continue in full force and effect.</w:t>
      </w:r>
    </w:p>
    <w:p>
      <w:pPr>
        <w:spacing w:after="0" w:line="175" w:lineRule="exact"/>
        <w:rPr>
          <w:rFonts w:ascii="Times New Roman" w:cs="Times New Roman" w:eastAsia="Times New Roman" w:hAnsi="Times New Roman"/>
          <w:sz w:val="18"/>
          <w:szCs w:val="18"/>
          <w:color w:val="auto"/>
        </w:rPr>
      </w:pPr>
    </w:p>
    <w:p>
      <w:pPr>
        <w:ind w:right="160" w:firstLine="436"/>
        <w:spacing w:after="0" w:line="261" w:lineRule="auto"/>
        <w:tabs>
          <w:tab w:leader="none" w:pos="70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Submitted by:</w:t>
            </w:r>
          </w:p>
        </w:tc>
        <w:tc>
          <w:tcPr>
            <w:tcW w:w="12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Accepted by:</w:t>
            </w:r>
          </w:p>
        </w:tc>
        <w:tc>
          <w:tcPr>
            <w:tcW w:w="0" w:type="dxa"/>
            <w:vAlign w:val="bottom"/>
          </w:tcPr>
          <w:p>
            <w:pPr>
              <w:spacing w:after="0"/>
              <w:rPr>
                <w:sz w:val="1"/>
                <w:szCs w:val="1"/>
                <w:color w:val="auto"/>
              </w:rPr>
            </w:pP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12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PMV PHARMACEUTICALS, INC.</w:t>
            </w:r>
          </w:p>
        </w:tc>
        <w:tc>
          <w:tcPr>
            <w:tcW w:w="0" w:type="dxa"/>
            <w:vAlign w:val="bottom"/>
          </w:tcPr>
          <w:p>
            <w:pPr>
              <w:spacing w:after="0"/>
              <w:rPr>
                <w:sz w:val="1"/>
                <w:szCs w:val="1"/>
                <w:color w:val="auto"/>
              </w:rPr>
            </w:pPr>
          </w:p>
        </w:tc>
      </w:tr>
      <w:tr>
        <w:trPr>
          <w:trHeight w:val="432"/>
        </w:trPr>
        <w:tc>
          <w:tcPr>
            <w:tcW w:w="496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0" w:type="dxa"/>
            <w:vAlign w:val="bottom"/>
          </w:tcPr>
          <w:p>
            <w:pPr>
              <w:spacing w:after="0"/>
              <w:rPr>
                <w:sz w:val="1"/>
                <w:szCs w:val="1"/>
                <w:color w:val="auto"/>
              </w:rPr>
            </w:pPr>
          </w:p>
        </w:tc>
      </w:tr>
      <w:tr>
        <w:trPr>
          <w:trHeight w:val="427"/>
        </w:trPr>
        <w:tc>
          <w:tcPr>
            <w:tcW w:w="4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120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11"/>
        </w:trPr>
        <w:tc>
          <w:tcPr>
            <w:tcW w:w="49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«City_State_Zip»</w:t>
            </w:r>
          </w:p>
        </w:tc>
        <w:tc>
          <w:tcPr>
            <w:tcW w:w="1200" w:type="dxa"/>
            <w:vAlign w:val="bottom"/>
          </w:tcPr>
          <w:p>
            <w:pPr>
              <w:spacing w:after="0"/>
              <w:rPr>
                <w:sz w:val="17"/>
                <w:szCs w:val="17"/>
                <w:color w:val="auto"/>
              </w:rPr>
            </w:pPr>
          </w:p>
        </w:tc>
        <w:tc>
          <w:tcPr>
            <w:tcW w:w="48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8 Clarke Drive</w:t>
            </w:r>
          </w:p>
        </w:tc>
        <w:tc>
          <w:tcPr>
            <w:tcW w:w="0" w:type="dxa"/>
            <w:vAlign w:val="bottom"/>
          </w:tcPr>
          <w:p>
            <w:pPr>
              <w:spacing w:after="0"/>
              <w:rPr>
                <w:sz w:val="1"/>
                <w:szCs w:val="1"/>
                <w:color w:val="auto"/>
              </w:rPr>
            </w:pPr>
          </w:p>
        </w:tc>
      </w:tr>
      <w:tr>
        <w:trPr>
          <w:trHeight w:val="226"/>
        </w:trPr>
        <w:tc>
          <w:tcPr>
            <w:tcW w:w="4960" w:type="dxa"/>
            <w:vAlign w:val="bottom"/>
            <w:tcBorders>
              <w:bottom w:val="single" w:sz="8" w:color="auto"/>
            </w:tcBorders>
            <w:vMerge w:val="continue"/>
          </w:tcPr>
          <w:p>
            <w:pPr>
              <w:spacing w:after="0"/>
              <w:rPr>
                <w:sz w:val="19"/>
                <w:szCs w:val="19"/>
                <w:color w:val="auto"/>
              </w:rPr>
            </w:pPr>
          </w:p>
        </w:tc>
        <w:tc>
          <w:tcPr>
            <w:tcW w:w="120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Cranbury, NJ 08512</w:t>
            </w:r>
          </w:p>
        </w:tc>
        <w:tc>
          <w:tcPr>
            <w:tcW w:w="0" w:type="dxa"/>
            <w:vAlign w:val="bottom"/>
          </w:tcPr>
          <w:p>
            <w:pPr>
              <w:spacing w:after="0"/>
              <w:rPr>
                <w:sz w:val="1"/>
                <w:szCs w:val="1"/>
                <w:color w:val="auto"/>
              </w:rPr>
            </w:pPr>
          </w:p>
        </w:tc>
      </w:tr>
      <w:tr>
        <w:trPr>
          <w:trHeight w:val="439"/>
        </w:trPr>
        <w:tc>
          <w:tcPr>
            <w:tcW w:w="4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Received</w:t>
            </w:r>
          </w:p>
        </w:tc>
        <w:tc>
          <w:tcPr>
            <w:tcW w:w="0" w:type="dxa"/>
            <w:vAlign w:val="bottom"/>
          </w:tcPr>
          <w:p>
            <w:pPr>
              <w:spacing w:after="0"/>
              <w:rPr>
                <w:sz w:val="1"/>
                <w:szCs w:val="1"/>
                <w:color w:val="auto"/>
              </w:rPr>
            </w:pPr>
          </w:p>
        </w:tc>
      </w:tr>
      <w:tr>
        <w:trPr>
          <w:trHeight w:val="360"/>
        </w:trPr>
        <w:tc>
          <w:tcPr>
            <w:tcW w:w="4960" w:type="dxa"/>
            <w:vAlign w:val="bottom"/>
          </w:tcPr>
          <w:p>
            <w:pPr>
              <w:spacing w:after="0"/>
              <w:rPr>
                <w:sz w:val="24"/>
                <w:szCs w:val="24"/>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58" w:name="page359"/>
    <w:bookmarkEnd w:id="3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1540" w:type="dxa"/>
            <w:vAlign w:val="bottom"/>
          </w:tcPr>
          <w:p>
            <w:pPr>
              <w:spacing w:after="0"/>
              <w:rPr>
                <w:sz w:val="17"/>
                <w:szCs w:val="17"/>
                <w:color w:val="auto"/>
              </w:rPr>
            </w:pPr>
          </w:p>
        </w:tc>
      </w:tr>
      <w:tr>
        <w:trPr>
          <w:trHeight w:val="453"/>
        </w:trPr>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0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INVESTMENT REPRESENTATION STATEMENT</w:t>
            </w:r>
          </w:p>
        </w:tc>
      </w:tr>
      <w:tr>
        <w:trPr>
          <w:trHeight w:val="459"/>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«Name»</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PMV PHARMACEUTICALS, INC.</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COMMON STOCK</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AMOUNT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«Shares»</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purchase of the above-listed Securities, the undersigned Participant represents to the Company the following:</w:t>
      </w:r>
    </w:p>
    <w:p>
      <w:pPr>
        <w:spacing w:after="0" w:line="225" w:lineRule="exact"/>
        <w:rPr>
          <w:sz w:val="20"/>
          <w:szCs w:val="20"/>
          <w:color w:val="auto"/>
        </w:rPr>
      </w:pPr>
    </w:p>
    <w:p>
      <w:pPr>
        <w:jc w:val="both"/>
        <w:ind w:right="200" w:firstLine="436"/>
        <w:spacing w:after="0" w:line="261" w:lineRule="auto"/>
        <w:tabs>
          <w:tab w:leader="none" w:pos="68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88" w:lineRule="exact"/>
        <w:rPr>
          <w:rFonts w:ascii="Times New Roman" w:cs="Times New Roman" w:eastAsia="Times New Roman" w:hAnsi="Times New Roman"/>
          <w:sz w:val="18"/>
          <w:szCs w:val="18"/>
          <w:color w:val="auto"/>
        </w:rPr>
      </w:pPr>
    </w:p>
    <w:p>
      <w:pPr>
        <w:jc w:val="both"/>
        <w:ind w:right="80" w:firstLine="436"/>
        <w:spacing w:after="0" w:line="258" w:lineRule="auto"/>
        <w:tabs>
          <w:tab w:leader="none" w:pos="68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w:t>
      </w:r>
    </w:p>
    <w:p>
      <w:pPr>
        <w:sectPr>
          <w:pgSz w:w="11900" w:h="16838" w:orient="portrait"/>
          <w:cols w:equalWidth="0" w:num="1">
            <w:col w:w="11000"/>
          </w:cols>
          <w:pgMar w:left="440" w:top="256" w:right="459" w:bottom="1440" w:gutter="0" w:footer="0" w:header="0"/>
        </w:sectPr>
      </w:pPr>
    </w:p>
    <w:bookmarkStart w:id="359" w:name="page360"/>
    <w:bookmarkEnd w:id="359"/>
    <w:p>
      <w:pPr>
        <w:ind w:left="4" w:right="3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w:t>
      </w:r>
    </w:p>
    <w:p>
      <w:pPr>
        <w:spacing w:after="0" w:line="1" w:lineRule="exact"/>
        <w:rPr>
          <w:sz w:val="20"/>
          <w:szCs w:val="20"/>
          <w:color w:val="auto"/>
        </w:rPr>
      </w:pPr>
    </w:p>
    <w:p>
      <w:pPr>
        <w:ind w:left="4" w:right="20" w:hanging="4"/>
        <w:spacing w:after="0" w:line="255" w:lineRule="auto"/>
        <w:tabs>
          <w:tab w:leader="none" w:pos="25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186" w:lineRule="exact"/>
        <w:rPr>
          <w:sz w:val="20"/>
          <w:szCs w:val="20"/>
          <w:color w:val="auto"/>
        </w:rPr>
      </w:pPr>
    </w:p>
    <w:p>
      <w:pPr>
        <w:ind w:left="4" w:right="180" w:firstLine="991"/>
        <w:spacing w:after="0" w:line="258" w:lineRule="auto"/>
        <w:rPr>
          <w:sz w:val="20"/>
          <w:szCs w:val="20"/>
          <w:color w:val="auto"/>
        </w:rPr>
      </w:pPr>
      <w:r>
        <w:rPr>
          <w:rFonts w:ascii="Times New Roman" w:cs="Times New Roman" w:eastAsia="Times New Roman" w:hAnsi="Times New Roman"/>
          <w:sz w:val="18"/>
          <w:szCs w:val="18"/>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83" w:lineRule="exact"/>
        <w:rPr>
          <w:sz w:val="20"/>
          <w:szCs w:val="20"/>
          <w:color w:val="auto"/>
        </w:rPr>
      </w:pPr>
    </w:p>
    <w:p>
      <w:pPr>
        <w:ind w:left="4" w:firstLine="436"/>
        <w:spacing w:after="0" w:line="255" w:lineRule="auto"/>
        <w:tabs>
          <w:tab w:leader="none" w:pos="69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2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291465</wp:posOffset>
            </wp:positionV>
            <wp:extent cx="27946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291465</wp:posOffset>
            </wp:positionV>
            <wp:extent cx="279463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Date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360" w:name="page361"/>
    <w:bookmarkEnd w:id="36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AMENDMENT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PJ PHARMACEUTICALS,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2013 EQUITY INCENTIVE PLAN</w:t>
      </w:r>
    </w:p>
    <w:p>
      <w:pPr>
        <w:spacing w:after="0" w:line="234" w:lineRule="exact"/>
        <w:rPr>
          <w:sz w:val="20"/>
          <w:szCs w:val="20"/>
          <w:color w:val="auto"/>
        </w:rPr>
      </w:pPr>
    </w:p>
    <w:p>
      <w:pPr>
        <w:ind w:left="424" w:right="500" w:hanging="424"/>
        <w:spacing w:after="0" w:line="282" w:lineRule="auto"/>
        <w:tabs>
          <w:tab w:leader="none" w:pos="42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authority reserved in Section 8(a) of the PJ Pharmaceuticals, Inc. 2013 Equity Incentive Plan (the “Plan”), the Plan is hereby amended as follows:</w:t>
      </w:r>
    </w:p>
    <w:p>
      <w:pPr>
        <w:spacing w:after="0" w:line="53"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plan is hereby amended and restated to read: “PMV Pharmaceuticals, Inc. 2013 Equity Incentive Plan”.</w:t>
      </w:r>
    </w:p>
    <w:p>
      <w:pPr>
        <w:spacing w:after="0" w:line="225"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2(j) is hereby amended by deleting it in full and by substituting the following in lieu thereof:</w:t>
      </w:r>
    </w:p>
    <w:p>
      <w:pPr>
        <w:spacing w:after="0" w:line="11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PMV Pharmaceuticals, Inc., a Delaware corporation, or any successor thereto.”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3. Section 2 is hereby amended by adding the following subsections at the end thereof:</w:t>
      </w:r>
    </w:p>
    <w:p>
      <w:pPr>
        <w:spacing w:after="0" w:line="117" w:lineRule="exact"/>
        <w:rPr>
          <w:sz w:val="20"/>
          <w:szCs w:val="20"/>
          <w:color w:val="auto"/>
        </w:rPr>
      </w:pPr>
    </w:p>
    <w:p>
      <w:pPr>
        <w:ind w:left="984" w:right="40" w:firstLine="761"/>
        <w:spacing w:after="0" w:line="255" w:lineRule="auto"/>
        <w:rPr>
          <w:sz w:val="20"/>
          <w:szCs w:val="20"/>
          <w:color w:val="auto"/>
        </w:rPr>
      </w:pPr>
      <w:r>
        <w:rPr>
          <w:rFonts w:ascii="Times New Roman" w:cs="Times New Roman" w:eastAsia="Times New Roman" w:hAnsi="Times New Roman"/>
          <w:sz w:val="18"/>
          <w:szCs w:val="18"/>
          <w:color w:val="auto"/>
        </w:rPr>
        <w:t>“(ee) ‘Cause’ means, unless otherwise provided in the Award Agreement, (i) the Participant’s commission of (A) a felony or (B) any misdemeanor involving moral turpitude, deceit, dishonesty or fraud; (ii) the Participant’s willful or negligent failure to perform his or her assigned duties and responsibilities in any material respect to the reasonable satisfaction of the Company which failure continues, in the reasonable judgment of the Company, after written notice given to the Participant by the Company; (iii) the Participant’s gross negligence, willful misconduct or insubordination with respect to the Company or any affiliate thereof; or (iv) the Participant’s material violation of any provision of any agreement(s) between the Participant and the Company relating to noncompetition, nonsolicitation, nondisclosure and/or assignment of inventions.</w:t>
      </w:r>
    </w:p>
    <w:p>
      <w:pPr>
        <w:spacing w:after="0" w:line="81" w:lineRule="exact"/>
        <w:rPr>
          <w:sz w:val="20"/>
          <w:szCs w:val="20"/>
          <w:color w:val="auto"/>
        </w:rPr>
      </w:pPr>
    </w:p>
    <w:p>
      <w:pPr>
        <w:jc w:val="both"/>
        <w:ind w:left="984" w:firstLine="768"/>
        <w:spacing w:after="0" w:line="266" w:lineRule="auto"/>
        <w:tabs>
          <w:tab w:leader="none" w:pos="202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unless otherwise provided in the Award Agreement, (i) a material diminution in the Participant’s base salary except for across-the-board salary reductions similarly affecting all or substantially all similarly situated employees of the Company or (ii) a change of more than 50 miles in the geographic location at which the Participant provides services to the Company.</w:t>
      </w:r>
    </w:p>
    <w:p>
      <w:pPr>
        <w:sectPr>
          <w:pgSz w:w="11900" w:h="16838" w:orient="portrait"/>
          <w:cols w:equalWidth="0" w:num="1">
            <w:col w:w="11024"/>
          </w:cols>
          <w:pgMar w:left="436" w:top="266" w:right="439" w:bottom="1440" w:gutter="0" w:footer="0" w:header="0"/>
        </w:sectPr>
      </w:pPr>
    </w:p>
    <w:bookmarkStart w:id="361" w:name="page362"/>
    <w:bookmarkEnd w:id="361"/>
    <w:p>
      <w:pPr>
        <w:ind w:left="44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 Subsection 13(c) of the Plan is hereby amended by deleting the second paragraph in its entirety and by substituting the following in lieu thereof:</w:t>
      </w:r>
    </w:p>
    <w:p>
      <w:pPr>
        <w:spacing w:after="0" w:line="129" w:lineRule="exact"/>
        <w:rPr>
          <w:sz w:val="20"/>
          <w:szCs w:val="20"/>
          <w:color w:val="auto"/>
        </w:rPr>
      </w:pPr>
    </w:p>
    <w:p>
      <w:pPr>
        <w:ind w:left="984" w:right="100" w:firstLine="401"/>
        <w:spacing w:after="0" w:line="270" w:lineRule="auto"/>
        <w:rPr>
          <w:sz w:val="20"/>
          <w:szCs w:val="20"/>
          <w:color w:val="auto"/>
        </w:rPr>
      </w:pPr>
      <w:r>
        <w:rPr>
          <w:rFonts w:ascii="Times New Roman" w:cs="Times New Roman" w:eastAsia="Times New Roman" w:hAnsi="Times New Roman"/>
          <w:sz w:val="17"/>
          <w:szCs w:val="17"/>
          <w:color w:val="auto"/>
        </w:rPr>
        <w:t>“In the event that (i) a Participant is terminated for reasons other than Cause, Death or Disability, or terminates employment following a resignation for Good Reason, or terminates employment due to not being offered employment reasonably commensurate with their position prior to the merger or Change in Control with any successor entity, in each case in connection with the merger or Change in Control (which may include, without limitation, termination within thirty (30) days prior to the effective date of a Change of Control), or</w:t>
      </w:r>
    </w:p>
    <w:p>
      <w:pPr>
        <w:spacing w:after="0" w:line="3" w:lineRule="exact"/>
        <w:rPr>
          <w:sz w:val="20"/>
          <w:szCs w:val="20"/>
          <w:color w:val="auto"/>
        </w:rPr>
      </w:pPr>
    </w:p>
    <w:p>
      <w:pPr>
        <w:ind w:left="984" w:right="20" w:firstLine="7"/>
        <w:spacing w:after="0" w:line="251" w:lineRule="auto"/>
        <w:tabs>
          <w:tab w:leader="none" w:pos="1249"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assumes or substitutes the Awards of a Participant, and within twelve (12) months after the merger or Change in Control such Participant is terminated by the successor entity for reasons other than Cause, death or Disability, or such Participant resigns for Good Reason, then, in each case,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fully vests upon the termination of a Participant in connection with a merger or Change in Control pursuant to the immediately preceding sentence, the Administrator will notify such Participant in writing or electronically that the Option or Stock Appreciation Right will be exercisable for a period of time determined by the Administrator in its sole discretion (of at least three (3) days), and the Option or Stock Appreciation Right will terminate upon the expiration of such period.”</w:t>
      </w:r>
    </w:p>
    <w:p>
      <w:pPr>
        <w:spacing w:after="0" w:line="9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amended as provided herein, the Plan is confirmed in all other respects.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362" w:name="page363"/>
    <w:bookmarkEnd w:id="36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9" w:lineRule="exact"/>
        <w:rPr>
          <w:sz w:val="20"/>
          <w:szCs w:val="20"/>
          <w:color w:val="auto"/>
        </w:rPr>
      </w:pPr>
    </w:p>
    <w:p>
      <w:pPr>
        <w:ind w:left="760" w:hanging="324"/>
        <w:spacing w:after="0"/>
        <w:tabs>
          <w:tab w:leader="none" w:pos="7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Restricted Stock, Restricted Stock Units, Stock Appreciation Rights, Performance Units and Performance Shares.</w:t>
      </w:r>
    </w:p>
    <w:p>
      <w:pPr>
        <w:spacing w:after="0" w:line="270" w:lineRule="exact"/>
        <w:rPr>
          <w:sz w:val="20"/>
          <w:szCs w:val="20"/>
          <w:color w:val="auto"/>
        </w:rPr>
      </w:pPr>
    </w:p>
    <w:p>
      <w:pPr>
        <w:ind w:left="760" w:hanging="324"/>
        <w:spacing w:after="0"/>
        <w:tabs>
          <w:tab w:leader="none" w:pos="7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117"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ind w:right="140" w:firstLine="987"/>
        <w:spacing w:after="0" w:line="261" w:lineRule="auto"/>
        <w:tabs>
          <w:tab w:leader="none" w:pos="138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9" w:lineRule="exact"/>
        <w:rPr>
          <w:rFonts w:ascii="Times New Roman" w:cs="Times New Roman" w:eastAsia="Times New Roman" w:hAnsi="Times New Roman"/>
          <w:sz w:val="18"/>
          <w:szCs w:val="18"/>
          <w:color w:val="auto"/>
        </w:rPr>
      </w:pPr>
    </w:p>
    <w:p>
      <w:pPr>
        <w:ind w:right="700" w:firstLine="987"/>
        <w:spacing w:after="0" w:line="282" w:lineRule="auto"/>
        <w:tabs>
          <w:tab w:leader="none" w:pos="137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Performance Units or Performance Shares.</w:t>
      </w:r>
    </w:p>
    <w:p>
      <w:pPr>
        <w:spacing w:after="0" w:line="161" w:lineRule="exact"/>
        <w:rPr>
          <w:rFonts w:ascii="Times New Roman" w:cs="Times New Roman" w:eastAsia="Times New Roman" w:hAnsi="Times New Roman"/>
          <w:sz w:val="18"/>
          <w:szCs w:val="18"/>
          <w:color w:val="auto"/>
        </w:rPr>
      </w:pPr>
    </w:p>
    <w:p>
      <w:pPr>
        <w:ind w:right="500" w:firstLine="987"/>
        <w:spacing w:after="0" w:line="282" w:lineRule="auto"/>
        <w:tabs>
          <w:tab w:leader="none" w:pos="138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1"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rFonts w:ascii="Times New Roman" w:cs="Times New Roman" w:eastAsia="Times New Roman" w:hAnsi="Times New Roman"/>
          <w:sz w:val="18"/>
          <w:szCs w:val="18"/>
          <w:color w:val="auto"/>
        </w:rPr>
      </w:pPr>
    </w:p>
    <w:p>
      <w:pPr>
        <w:ind w:right="120" w:firstLine="1428"/>
        <w:spacing w:after="0" w:line="261" w:lineRule="auto"/>
        <w:tabs>
          <w:tab w:leader="none" w:pos="1772"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w:t>
      </w:r>
    </w:p>
    <w:p>
      <w:pPr>
        <w:sectPr>
          <w:pgSz w:w="11900" w:h="16838" w:orient="portrait"/>
          <w:cols w:equalWidth="0" w:num="1">
            <w:col w:w="11020"/>
          </w:cols>
          <w:pgMar w:left="440" w:top="117" w:right="439" w:bottom="1440" w:gutter="0" w:footer="0" w:header="0"/>
        </w:sectPr>
      </w:pPr>
    </w:p>
    <w:bookmarkStart w:id="363" w:name="page364"/>
    <w:bookmarkEnd w:id="363"/>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fifty percent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9" w:lineRule="exact"/>
        <w:rPr>
          <w:sz w:val="20"/>
          <w:szCs w:val="20"/>
          <w:color w:val="auto"/>
        </w:rPr>
      </w:pPr>
    </w:p>
    <w:p>
      <w:pPr>
        <w:jc w:val="both"/>
        <w:ind w:firstLine="1428"/>
        <w:spacing w:after="0" w:line="261" w:lineRule="auto"/>
        <w:tabs>
          <w:tab w:leader="none" w:pos="182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79" w:lineRule="exact"/>
        <w:rPr>
          <w:rFonts w:ascii="Times New Roman" w:cs="Times New Roman" w:eastAsia="Times New Roman" w:hAnsi="Times New Roman"/>
          <w:sz w:val="18"/>
          <w:szCs w:val="18"/>
          <w:color w:val="auto"/>
        </w:rPr>
      </w:pPr>
    </w:p>
    <w:p>
      <w:pPr>
        <w:ind w:firstLine="1428"/>
        <w:spacing w:after="0" w:line="253" w:lineRule="auto"/>
        <w:tabs>
          <w:tab w:leader="none" w:pos="187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2" w:lineRule="exact"/>
        <w:rPr>
          <w:sz w:val="20"/>
          <w:szCs w:val="20"/>
          <w:color w:val="auto"/>
        </w:rPr>
      </w:pPr>
    </w:p>
    <w:p>
      <w:pPr>
        <w:ind w:right="60" w:firstLine="1432"/>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right="100" w:firstLine="1432"/>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ind w:right="180" w:firstLine="1432"/>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80"/>
          </w:cols>
          <w:pgMar w:left="440" w:top="270" w:right="479" w:bottom="1440" w:gutter="0" w:footer="0" w:header="0"/>
        </w:sectPr>
      </w:pPr>
    </w:p>
    <w:bookmarkStart w:id="364" w:name="page365"/>
    <w:bookmarkEnd w:id="364"/>
    <w:p>
      <w:pPr>
        <w:ind w:left="-987" w:right="320" w:firstLine="987"/>
        <w:spacing w:after="0" w:line="266" w:lineRule="auto"/>
        <w:tabs>
          <w:tab w:leader="none" w:pos="39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75" w:lineRule="exact"/>
        <w:rPr>
          <w:rFonts w:ascii="Times New Roman" w:cs="Times New Roman" w:eastAsia="Times New Roman" w:hAnsi="Times New Roman"/>
          <w:sz w:val="18"/>
          <w:szCs w:val="18"/>
          <w:color w:val="auto"/>
        </w:rPr>
      </w:pPr>
    </w:p>
    <w:p>
      <w:pPr>
        <w:ind w:left="-987" w:right="180" w:firstLine="987"/>
        <w:spacing w:after="0" w:line="282" w:lineRule="auto"/>
        <w:tabs>
          <w:tab w:leader="none" w:pos="39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a duly authorized committee of the Board, in accordance with Section 4 hereof.</w:t>
      </w:r>
    </w:p>
    <w:p>
      <w:pPr>
        <w:spacing w:after="0" w:line="161" w:lineRule="exact"/>
        <w:rPr>
          <w:rFonts w:ascii="Times New Roman" w:cs="Times New Roman" w:eastAsia="Times New Roman" w:hAnsi="Times New Roman"/>
          <w:sz w:val="18"/>
          <w:szCs w:val="18"/>
          <w:color w:val="auto"/>
        </w:rPr>
      </w:pPr>
    </w:p>
    <w:p>
      <w:pPr>
        <w:ind w:left="353" w:hanging="353"/>
        <w:spacing w:after="0"/>
        <w:tabs>
          <w:tab w:leader="none" w:pos="35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color w:val="auto"/>
        </w:rPr>
      </w:pPr>
    </w:p>
    <w:p>
      <w:pPr>
        <w:ind w:left="353" w:hanging="353"/>
        <w:spacing w:after="0"/>
        <w:tabs>
          <w:tab w:leader="none" w:pos="35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PMV Pharmaceuticals, Inc., a Delaware corporation, or any successor thereto.</w:t>
      </w:r>
    </w:p>
    <w:p>
      <w:pPr>
        <w:spacing w:after="0" w:line="225" w:lineRule="exact"/>
        <w:rPr>
          <w:rFonts w:ascii="Times New Roman" w:cs="Times New Roman" w:eastAsia="Times New Roman" w:hAnsi="Times New Roman"/>
          <w:sz w:val="18"/>
          <w:szCs w:val="18"/>
          <w:color w:val="auto"/>
        </w:rPr>
      </w:pPr>
    </w:p>
    <w:p>
      <w:pPr>
        <w:ind w:left="-987" w:firstLine="987"/>
        <w:spacing w:after="0" w:line="258" w:lineRule="auto"/>
        <w:tabs>
          <w:tab w:leader="none" w:pos="39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3" w:lineRule="exact"/>
        <w:rPr>
          <w:rFonts w:ascii="Times New Roman" w:cs="Times New Roman" w:eastAsia="Times New Roman" w:hAnsi="Times New Roman"/>
          <w:sz w:val="18"/>
          <w:szCs w:val="18"/>
          <w:color w:val="auto"/>
        </w:rPr>
      </w:pPr>
    </w:p>
    <w:p>
      <w:pPr>
        <w:ind w:left="353" w:hanging="353"/>
        <w:spacing w:after="0"/>
        <w:tabs>
          <w:tab w:leader="none" w:pos="35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left="-987" w:right="40" w:firstLine="987"/>
        <w:spacing w:after="0" w:line="266" w:lineRule="auto"/>
        <w:tabs>
          <w:tab w:leader="none" w:pos="44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5" w:lineRule="exact"/>
        <w:rPr>
          <w:rFonts w:ascii="Times New Roman" w:cs="Times New Roman" w:eastAsia="Times New Roman" w:hAnsi="Times New Roman"/>
          <w:sz w:val="18"/>
          <w:szCs w:val="18"/>
          <w:color w:val="auto"/>
        </w:rPr>
      </w:pPr>
    </w:p>
    <w:p>
      <w:pPr>
        <w:ind w:left="-987" w:firstLine="987"/>
        <w:spacing w:after="0" w:line="266" w:lineRule="auto"/>
        <w:tabs>
          <w:tab w:leader="none" w:pos="39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providing services as an employee to the Company or any Parent or Subsidiary of the Company. Neither service as a Director nor payment of a director’s fee by the Company will be sufficient to constitute “employment” by the Company.</w:t>
      </w:r>
    </w:p>
    <w:p>
      <w:pPr>
        <w:spacing w:after="0" w:line="175" w:lineRule="exact"/>
        <w:rPr>
          <w:rFonts w:ascii="Times New Roman" w:cs="Times New Roman" w:eastAsia="Times New Roman" w:hAnsi="Times New Roman"/>
          <w:sz w:val="18"/>
          <w:szCs w:val="18"/>
          <w:color w:val="auto"/>
        </w:rPr>
      </w:pPr>
    </w:p>
    <w:p>
      <w:pPr>
        <w:ind w:left="393" w:hanging="393"/>
        <w:spacing w:after="0"/>
        <w:tabs>
          <w:tab w:leader="none" w:pos="39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rFonts w:ascii="Times New Roman" w:cs="Times New Roman" w:eastAsia="Times New Roman" w:hAnsi="Times New Roman"/>
          <w:sz w:val="18"/>
          <w:szCs w:val="18"/>
          <w:color w:val="auto"/>
        </w:rPr>
      </w:pPr>
    </w:p>
    <w:p>
      <w:pPr>
        <w:ind w:left="-987" w:right="40" w:firstLine="987"/>
        <w:spacing w:after="0" w:line="258" w:lineRule="auto"/>
        <w:tabs>
          <w:tab w:leader="none" w:pos="39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15"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9993"/>
          </w:cols>
          <w:pgMar w:left="1427" w:top="270" w:right="479" w:bottom="1440" w:gutter="0" w:footer="0" w:header="0"/>
        </w:sectPr>
      </w:pPr>
    </w:p>
    <w:bookmarkStart w:id="365" w:name="page366"/>
    <w:bookmarkEnd w:id="365"/>
    <w:p>
      <w:pPr>
        <w:ind w:left="1380" w:hanging="393"/>
        <w:spacing w:after="0"/>
        <w:tabs>
          <w:tab w:leader="none" w:pos="13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5" w:lineRule="exact"/>
        <w:rPr>
          <w:rFonts w:ascii="Times New Roman" w:cs="Times New Roman" w:eastAsia="Times New Roman" w:hAnsi="Times New Roman"/>
          <w:sz w:val="18"/>
          <w:szCs w:val="18"/>
          <w:color w:val="auto"/>
        </w:rPr>
      </w:pPr>
    </w:p>
    <w:p>
      <w:pPr>
        <w:ind w:right="20" w:firstLine="1428"/>
        <w:spacing w:after="0" w:line="261" w:lineRule="auto"/>
        <w:tabs>
          <w:tab w:leader="none" w:pos="1782"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79" w:lineRule="exact"/>
        <w:rPr>
          <w:rFonts w:ascii="Times New Roman" w:cs="Times New Roman" w:eastAsia="Times New Roman" w:hAnsi="Times New Roman"/>
          <w:sz w:val="18"/>
          <w:szCs w:val="18"/>
          <w:color w:val="auto"/>
        </w:rPr>
      </w:pPr>
    </w:p>
    <w:p>
      <w:pPr>
        <w:ind w:right="80" w:firstLine="1428"/>
        <w:spacing w:after="0" w:line="261" w:lineRule="auto"/>
        <w:tabs>
          <w:tab w:leader="none" w:pos="1832"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79" w:lineRule="exact"/>
        <w:rPr>
          <w:rFonts w:ascii="Times New Roman" w:cs="Times New Roman" w:eastAsia="Times New Roman" w:hAnsi="Times New Roman"/>
          <w:sz w:val="18"/>
          <w:szCs w:val="18"/>
          <w:color w:val="auto"/>
        </w:rPr>
      </w:pPr>
    </w:p>
    <w:p>
      <w:pPr>
        <w:ind w:firstLine="1428"/>
        <w:spacing w:after="0" w:line="266" w:lineRule="auto"/>
        <w:tabs>
          <w:tab w:leader="none" w:pos="1882"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Awards granted on the Registration Date, the Fair Market Value will be the initial price to the public as set forth in the final prospectus included within the registration statement on Form S-1 filed with the U.S. Securities and Exchange Commission for the initial public offering of the Common Stock; or</w:t>
      </w:r>
    </w:p>
    <w:p>
      <w:pPr>
        <w:spacing w:after="0" w:line="175"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20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62" w:lineRule="exact"/>
        <w:rPr>
          <w:sz w:val="20"/>
          <w:szCs w:val="20"/>
          <w:color w:val="auto"/>
        </w:rPr>
      </w:pPr>
    </w:p>
    <w:p>
      <w:pPr>
        <w:ind w:left="1340" w:hanging="353"/>
        <w:spacing w:after="0"/>
        <w:tabs>
          <w:tab w:leader="none" w:pos="13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rFonts w:ascii="Times New Roman" w:cs="Times New Roman" w:eastAsia="Times New Roman" w:hAnsi="Times New Roman"/>
          <w:sz w:val="18"/>
          <w:szCs w:val="18"/>
          <w:color w:val="auto"/>
        </w:rPr>
      </w:pPr>
    </w:p>
    <w:p>
      <w:pPr>
        <w:ind w:right="120" w:firstLine="987"/>
        <w:spacing w:after="0" w:line="282" w:lineRule="auto"/>
        <w:tabs>
          <w:tab w:leader="none" w:pos="1361"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qualify as an incentive stock option within the meaning of Section 422 of the Code and the regulations promulgated thereunder.</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w:t>
      </w:r>
    </w:p>
    <w:p>
      <w:pPr>
        <w:spacing w:after="0" w:line="206" w:lineRule="exact"/>
        <w:rPr>
          <w:rFonts w:ascii="Times New Roman" w:cs="Times New Roman" w:eastAsia="Times New Roman" w:hAnsi="Times New Roman"/>
          <w:sz w:val="18"/>
          <w:szCs w:val="18"/>
          <w:color w:val="auto"/>
        </w:rPr>
      </w:pPr>
    </w:p>
    <w:p>
      <w:pPr>
        <w:ind w:right="100" w:firstLine="987"/>
        <w:spacing w:after="0" w:line="282" w:lineRule="auto"/>
        <w:tabs>
          <w:tab w:leader="none" w:pos="1381"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w:t>
      </w:r>
    </w:p>
    <w:p>
      <w:pPr>
        <w:spacing w:after="0" w:line="225"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means a Director who is not an Employee.</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157"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0"/>
          </w:cols>
          <w:pgMar w:left="440" w:top="270" w:right="459" w:bottom="1440" w:gutter="0" w:footer="0" w:header="0"/>
        </w:sectPr>
      </w:pPr>
    </w:p>
    <w:bookmarkStart w:id="366" w:name="page367"/>
    <w:bookmarkEnd w:id="366"/>
    <w:p>
      <w:pPr>
        <w:ind w:left="-987" w:right="820" w:firstLine="987"/>
        <w:spacing w:after="0" w:line="282" w:lineRule="auto"/>
        <w:tabs>
          <w:tab w:leader="none" w:pos="38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62" w:lineRule="exact"/>
        <w:rPr>
          <w:sz w:val="20"/>
          <w:szCs w:val="20"/>
          <w:color w:val="auto"/>
        </w:rPr>
      </w:pPr>
    </w:p>
    <w:p>
      <w:pPr>
        <w:ind w:left="-987" w:right="440" w:firstLine="987"/>
        <w:spacing w:after="0" w:line="266" w:lineRule="auto"/>
        <w:tabs>
          <w:tab w:leader="none" w:pos="46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5" w:lineRule="exact"/>
        <w:rPr>
          <w:rFonts w:ascii="Times New Roman" w:cs="Times New Roman" w:eastAsia="Times New Roman" w:hAnsi="Times New Roman"/>
          <w:sz w:val="18"/>
          <w:szCs w:val="18"/>
          <w:color w:val="auto"/>
        </w:rPr>
      </w:pPr>
    </w:p>
    <w:p>
      <w:pPr>
        <w:ind w:left="-987" w:firstLine="987"/>
        <w:spacing w:after="0" w:line="266" w:lineRule="auto"/>
        <w:tabs>
          <w:tab w:leader="none" w:pos="48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5" w:lineRule="exact"/>
        <w:rPr>
          <w:rFonts w:ascii="Times New Roman" w:cs="Times New Roman" w:eastAsia="Times New Roman" w:hAnsi="Times New Roman"/>
          <w:sz w:val="18"/>
          <w:szCs w:val="18"/>
          <w:color w:val="auto"/>
        </w:rPr>
      </w:pPr>
    </w:p>
    <w:p>
      <w:pPr>
        <w:ind w:left="453" w:hanging="453"/>
        <w:spacing w:after="0"/>
        <w:tabs>
          <w:tab w:leader="none" w:pos="45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2020 Equity Incentive Plan.</w:t>
      </w:r>
    </w:p>
    <w:p>
      <w:pPr>
        <w:spacing w:after="0" w:line="225" w:lineRule="exact"/>
        <w:rPr>
          <w:rFonts w:ascii="Times New Roman" w:cs="Times New Roman" w:eastAsia="Times New Roman" w:hAnsi="Times New Roman"/>
          <w:sz w:val="18"/>
          <w:szCs w:val="18"/>
          <w:color w:val="auto"/>
        </w:rPr>
      </w:pPr>
    </w:p>
    <w:p>
      <w:pPr>
        <w:ind w:left="-987" w:right="220" w:firstLine="987"/>
        <w:spacing w:after="0" w:line="282" w:lineRule="auto"/>
        <w:tabs>
          <w:tab w:leader="none" w:pos="48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Date</w:t>
      </w:r>
      <w:r>
        <w:rPr>
          <w:rFonts w:ascii="Times New Roman" w:cs="Times New Roman" w:eastAsia="Times New Roman" w:hAnsi="Times New Roman"/>
          <w:sz w:val="18"/>
          <w:szCs w:val="18"/>
          <w:color w:val="auto"/>
        </w:rPr>
        <w:t>” means the effective date of the first registration statement that is filed by the Company and declared effective pursuant to Section 12(b) of the Exchange Act, with respect to any class of the Company’s securities.</w:t>
      </w:r>
    </w:p>
    <w:p>
      <w:pPr>
        <w:spacing w:after="0" w:line="161" w:lineRule="exact"/>
        <w:rPr>
          <w:rFonts w:ascii="Times New Roman" w:cs="Times New Roman" w:eastAsia="Times New Roman" w:hAnsi="Times New Roman"/>
          <w:sz w:val="18"/>
          <w:szCs w:val="18"/>
          <w:color w:val="auto"/>
        </w:rPr>
      </w:pPr>
    </w:p>
    <w:p>
      <w:pPr>
        <w:ind w:left="-987" w:right="100" w:firstLine="987"/>
        <w:spacing w:after="0" w:line="282" w:lineRule="auto"/>
        <w:tabs>
          <w:tab w:leader="none" w:pos="46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an Award of Restricted Stock under Section 7 of the Plan, or issued pursuant to the early exercise of an Option.</w:t>
      </w:r>
    </w:p>
    <w:p>
      <w:pPr>
        <w:spacing w:after="0" w:line="161" w:lineRule="exact"/>
        <w:rPr>
          <w:rFonts w:ascii="Times New Roman" w:cs="Times New Roman" w:eastAsia="Times New Roman" w:hAnsi="Times New Roman"/>
          <w:sz w:val="18"/>
          <w:szCs w:val="18"/>
          <w:color w:val="auto"/>
        </w:rPr>
      </w:pPr>
    </w:p>
    <w:p>
      <w:pPr>
        <w:ind w:left="-987" w:right="320" w:firstLine="987"/>
        <w:spacing w:after="0" w:line="282" w:lineRule="auto"/>
        <w:tabs>
          <w:tab w:leader="none" w:pos="42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8. Each Restricted Stock Unit represents an unfunded and unsecured obligation of the Company.</w:t>
      </w:r>
    </w:p>
    <w:p>
      <w:pPr>
        <w:spacing w:after="0" w:line="161" w:lineRule="exact"/>
        <w:rPr>
          <w:rFonts w:ascii="Times New Roman" w:cs="Times New Roman" w:eastAsia="Times New Roman" w:hAnsi="Times New Roman"/>
          <w:sz w:val="18"/>
          <w:szCs w:val="18"/>
          <w:color w:val="auto"/>
        </w:rPr>
      </w:pPr>
    </w:p>
    <w:p>
      <w:pPr>
        <w:ind w:left="-987" w:right="20" w:firstLine="987"/>
        <w:spacing w:after="0" w:line="282" w:lineRule="auto"/>
        <w:tabs>
          <w:tab w:leader="none" w:pos="48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61" w:lineRule="exact"/>
        <w:rPr>
          <w:rFonts w:ascii="Times New Roman" w:cs="Times New Roman" w:eastAsia="Times New Roman" w:hAnsi="Times New Roman"/>
          <w:sz w:val="18"/>
          <w:szCs w:val="18"/>
          <w:color w:val="auto"/>
        </w:rPr>
      </w:pPr>
    </w:p>
    <w:p>
      <w:pPr>
        <w:ind w:left="473" w:hanging="473"/>
        <w:spacing w:after="0"/>
        <w:tabs>
          <w:tab w:leader="none" w:pos="47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rFonts w:ascii="Times New Roman" w:cs="Times New Roman" w:eastAsia="Times New Roman" w:hAnsi="Times New Roman"/>
          <w:sz w:val="18"/>
          <w:szCs w:val="18"/>
          <w:color w:val="auto"/>
        </w:rPr>
      </w:pPr>
    </w:p>
    <w:p>
      <w:pPr>
        <w:ind w:left="-987" w:right="420" w:firstLine="987"/>
        <w:spacing w:after="0" w:line="312" w:lineRule="auto"/>
        <w:tabs>
          <w:tab w:leader="none" w:pos="404"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means Code Section 409A, as it has been and may be amended from time to time, and any proposed or final Treasury Regulations and U.S. Internal Revenue Service guidance that has been promulgated or may be promulgated thereunder from time to time.</w:t>
      </w:r>
    </w:p>
    <w:p>
      <w:pPr>
        <w:spacing w:after="0" w:line="139" w:lineRule="exact"/>
        <w:rPr>
          <w:rFonts w:ascii="Times New Roman" w:cs="Times New Roman" w:eastAsia="Times New Roman" w:hAnsi="Times New Roman"/>
          <w:sz w:val="17"/>
          <w:szCs w:val="17"/>
          <w:color w:val="auto"/>
        </w:rPr>
      </w:pPr>
    </w:p>
    <w:p>
      <w:pPr>
        <w:ind w:left="393" w:hanging="393"/>
        <w:spacing w:after="0"/>
        <w:tabs>
          <w:tab w:leader="none" w:pos="39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rFonts w:ascii="Times New Roman" w:cs="Times New Roman" w:eastAsia="Times New Roman" w:hAnsi="Times New Roman"/>
          <w:sz w:val="18"/>
          <w:szCs w:val="18"/>
          <w:color w:val="auto"/>
        </w:rPr>
      </w:pPr>
    </w:p>
    <w:p>
      <w:pPr>
        <w:ind w:left="473" w:hanging="473"/>
        <w:spacing w:after="0"/>
        <w:tabs>
          <w:tab w:leader="none" w:pos="47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rFonts w:ascii="Times New Roman" w:cs="Times New Roman" w:eastAsia="Times New Roman" w:hAnsi="Times New Roman"/>
          <w:sz w:val="18"/>
          <w:szCs w:val="18"/>
          <w:color w:val="auto"/>
        </w:rPr>
      </w:pPr>
    </w:p>
    <w:p>
      <w:pPr>
        <w:ind w:left="393" w:hanging="393"/>
        <w:spacing w:after="0"/>
        <w:tabs>
          <w:tab w:leader="none" w:pos="39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14 of the Plan.</w:t>
      </w:r>
    </w:p>
    <w:p>
      <w:pPr>
        <w:spacing w:after="0" w:line="225" w:lineRule="exact"/>
        <w:rPr>
          <w:rFonts w:ascii="Times New Roman" w:cs="Times New Roman" w:eastAsia="Times New Roman" w:hAnsi="Times New Roman"/>
          <w:sz w:val="18"/>
          <w:szCs w:val="18"/>
          <w:color w:val="auto"/>
        </w:rPr>
      </w:pPr>
    </w:p>
    <w:p>
      <w:pPr>
        <w:ind w:left="-987" w:right="700" w:firstLine="987"/>
        <w:spacing w:after="0" w:line="282" w:lineRule="auto"/>
        <w:tabs>
          <w:tab w:leader="none" w:pos="58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9 is designated as a Stock Appreciation Right.</w:t>
      </w:r>
    </w:p>
    <w:p>
      <w:pPr>
        <w:spacing w:after="0" w:line="161" w:lineRule="exact"/>
        <w:rPr>
          <w:rFonts w:ascii="Times New Roman" w:cs="Times New Roman" w:eastAsia="Times New Roman" w:hAnsi="Times New Roman"/>
          <w:sz w:val="18"/>
          <w:szCs w:val="18"/>
          <w:color w:val="auto"/>
        </w:rPr>
      </w:pPr>
    </w:p>
    <w:p>
      <w:pPr>
        <w:ind w:left="473" w:hanging="473"/>
        <w:spacing w:after="0"/>
        <w:tabs>
          <w:tab w:leader="none" w:pos="47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157"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013"/>
          </w:cols>
          <w:pgMar w:left="1427" w:top="270" w:right="459" w:bottom="1440" w:gutter="0" w:footer="0" w:header="0"/>
        </w:sectPr>
      </w:pPr>
    </w:p>
    <w:bookmarkStart w:id="367" w:name="page368"/>
    <w:bookmarkEnd w:id="367"/>
    <w:p>
      <w:pPr>
        <w:ind w:left="324" w:hanging="324"/>
        <w:spacing w:after="0"/>
        <w:tabs>
          <w:tab w:leader="none" w:pos="32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Subject to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36" w:right="200" w:firstLine="987"/>
        <w:spacing w:after="0" w:line="255" w:lineRule="auto"/>
        <w:tabs>
          <w:tab w:leader="none" w:pos="934"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14 of the Plan and the automatic increase set forth in Section 3(b) of the Plan, the maximum aggregate number of Shares that may be issued under the Plan is (i) 4,406,374 Shares, plus (ii) any Shares subject to stock options, restricted stock units or other awards granted under the Company’s 2013 Equity Incentive Plan (the “</w:t>
      </w:r>
      <w:r>
        <w:rPr>
          <w:rFonts w:ascii="Times New Roman" w:cs="Times New Roman" w:eastAsia="Times New Roman" w:hAnsi="Times New Roman"/>
          <w:sz w:val="18"/>
          <w:szCs w:val="18"/>
          <w:u w:val="single" w:color="auto"/>
          <w:color w:val="auto"/>
        </w:rPr>
        <w:t>2013 Plan</w:t>
      </w:r>
      <w:r>
        <w:rPr>
          <w:rFonts w:ascii="Times New Roman" w:cs="Times New Roman" w:eastAsia="Times New Roman" w:hAnsi="Times New Roman"/>
          <w:sz w:val="18"/>
          <w:szCs w:val="18"/>
          <w:color w:val="auto"/>
        </w:rPr>
        <w:t>”) that, on or after the Registration Date, expire or otherwise terminate without having been exercised or issued in full and any Shares issued pursuant to awards granted sunder the 2013 Plan that, on or after the termination of the 2013 Plan, are forfeited to or repurchased by the Company, with the maximum number of Shares to be added to the Plan pursuant to clause (ii) equals 3,955,290 Shares. The Shares may be authorized, but unissued, or reacquired Common Stock.</w:t>
      </w:r>
    </w:p>
    <w:p>
      <w:pPr>
        <w:spacing w:after="0" w:line="188" w:lineRule="exact"/>
        <w:rPr>
          <w:rFonts w:ascii="Times New Roman" w:cs="Times New Roman" w:eastAsia="Times New Roman" w:hAnsi="Times New Roman"/>
          <w:sz w:val="18"/>
          <w:szCs w:val="18"/>
          <w:color w:val="auto"/>
        </w:rPr>
      </w:pPr>
    </w:p>
    <w:p>
      <w:pPr>
        <w:ind w:left="-436" w:right="20" w:firstLine="987"/>
        <w:spacing w:after="0" w:line="258" w:lineRule="auto"/>
        <w:tabs>
          <w:tab w:leader="none" w:pos="945"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Share Reserve Increase</w:t>
      </w:r>
      <w:r>
        <w:rPr>
          <w:rFonts w:ascii="Times New Roman" w:cs="Times New Roman" w:eastAsia="Times New Roman" w:hAnsi="Times New Roman"/>
          <w:sz w:val="18"/>
          <w:szCs w:val="18"/>
          <w:color w:val="auto"/>
        </w:rPr>
        <w:t>. Subject to the provisions of Section 14 of the Plan, the number of Shares available for issuance under the Plan will be increased on the first day of each Fiscal Year beginning with the 2021 Fiscal Year, in an amount equal to the least of (i) 4,406,374 Shares, (ii) five percent (5%) the outstanding Shares on the last day of the immediately preceding Fiscal Year, or (iii) such number of Shares determined by the Administrator no later than the last day of the immediately preceding Fiscal Year. The automatic Share increase under this Section 3(b) shall terminate following the increase on the first day of the 2030 Fiscal Year.</w:t>
      </w:r>
    </w:p>
    <w:p>
      <w:pPr>
        <w:spacing w:after="0" w:line="183" w:lineRule="exact"/>
        <w:rPr>
          <w:rFonts w:ascii="Times New Roman" w:cs="Times New Roman" w:eastAsia="Times New Roman" w:hAnsi="Times New Roman"/>
          <w:sz w:val="18"/>
          <w:szCs w:val="18"/>
          <w:color w:val="auto"/>
        </w:rPr>
      </w:pPr>
    </w:p>
    <w:p>
      <w:pPr>
        <w:ind w:left="-436" w:firstLine="987"/>
        <w:spacing w:after="0" w:line="252" w:lineRule="auto"/>
        <w:tabs>
          <w:tab w:leader="none" w:pos="934"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28"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2"/>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544"/>
          </w:cols>
          <w:pgMar w:left="876" w:top="270" w:right="479" w:bottom="1440" w:gutter="0" w:footer="0" w:header="0"/>
        </w:sectPr>
      </w:pPr>
    </w:p>
    <w:bookmarkStart w:id="368" w:name="page369"/>
    <w:bookmarkEnd w:id="368"/>
    <w:p>
      <w:pPr>
        <w:ind w:right="40" w:firstLine="987"/>
        <w:spacing w:after="0" w:line="282" w:lineRule="auto"/>
        <w:tabs>
          <w:tab w:leader="none" w:pos="1381"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269"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 administer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206" w:lineRule="exact"/>
        <w:rPr>
          <w:rFonts w:ascii="Times New Roman" w:cs="Times New Roman" w:eastAsia="Times New Roman" w:hAnsi="Times New Roman"/>
          <w:sz w:val="18"/>
          <w:szCs w:val="18"/>
          <w:color w:val="auto"/>
        </w:rPr>
      </w:pPr>
    </w:p>
    <w:p>
      <w:pPr>
        <w:ind w:right="940" w:firstLine="1428"/>
        <w:spacing w:after="0" w:line="282" w:lineRule="auto"/>
        <w:tabs>
          <w:tab w:leader="none" w:pos="1832"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1" w:lineRule="exact"/>
        <w:rPr>
          <w:rFonts w:ascii="Times New Roman" w:cs="Times New Roman" w:eastAsia="Times New Roman" w:hAnsi="Times New Roman"/>
          <w:sz w:val="18"/>
          <w:szCs w:val="18"/>
          <w:color w:val="auto"/>
        </w:rPr>
      </w:pPr>
    </w:p>
    <w:p>
      <w:pPr>
        <w:ind w:right="400" w:firstLine="1428"/>
        <w:spacing w:after="0" w:line="282" w:lineRule="auto"/>
        <w:tabs>
          <w:tab w:leader="none" w:pos="1882"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w:t>
      </w:r>
    </w:p>
    <w:p>
      <w:pPr>
        <w:spacing w:after="0" w:line="161" w:lineRule="exact"/>
        <w:rPr>
          <w:rFonts w:ascii="Times New Roman" w:cs="Times New Roman" w:eastAsia="Times New Roman" w:hAnsi="Times New Roman"/>
          <w:sz w:val="18"/>
          <w:szCs w:val="18"/>
          <w:color w:val="auto"/>
        </w:rPr>
      </w:pPr>
    </w:p>
    <w:p>
      <w:pPr>
        <w:ind w:right="420" w:firstLine="987"/>
        <w:spacing w:after="0" w:line="282" w:lineRule="auto"/>
        <w:tabs>
          <w:tab w:leader="none" w:pos="1381"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61"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25"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225" w:lineRule="exact"/>
        <w:rPr>
          <w:rFonts w:ascii="Times New Roman" w:cs="Times New Roman" w:eastAsia="Times New Roman" w:hAnsi="Times New Roman"/>
          <w:sz w:val="18"/>
          <w:szCs w:val="18"/>
          <w:color w:val="auto"/>
        </w:rPr>
      </w:pPr>
    </w:p>
    <w:p>
      <w:pPr>
        <w:ind w:left="1880" w:hanging="452"/>
        <w:spacing w:after="0"/>
        <w:tabs>
          <w:tab w:leader="none" w:pos="188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225"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rFonts w:ascii="Times New Roman" w:cs="Times New Roman" w:eastAsia="Times New Roman" w:hAnsi="Times New Roman"/>
          <w:sz w:val="18"/>
          <w:szCs w:val="18"/>
          <w:color w:val="auto"/>
        </w:rPr>
      </w:pPr>
    </w:p>
    <w:p>
      <w:pPr>
        <w:jc w:val="both"/>
        <w:ind w:firstLine="1428"/>
        <w:spacing w:after="0" w:line="261" w:lineRule="auto"/>
        <w:tabs>
          <w:tab w:leader="none" w:pos="1822"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79"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and determine the terms and conditions of an Exchange Program;</w:t>
      </w:r>
    </w:p>
    <w:p>
      <w:pPr>
        <w:spacing w:after="0" w:line="225" w:lineRule="exact"/>
        <w:rPr>
          <w:rFonts w:ascii="Times New Roman" w:cs="Times New Roman" w:eastAsia="Times New Roman" w:hAnsi="Times New Roman"/>
          <w:sz w:val="18"/>
          <w:szCs w:val="18"/>
          <w:color w:val="auto"/>
        </w:rPr>
      </w:pPr>
    </w:p>
    <w:p>
      <w:pPr>
        <w:ind w:left="1920" w:hanging="492"/>
        <w:spacing w:after="0"/>
        <w:tabs>
          <w:tab w:leader="none" w:pos="192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25" w:lineRule="exact"/>
        <w:rPr>
          <w:rFonts w:ascii="Times New Roman" w:cs="Times New Roman" w:eastAsia="Times New Roman" w:hAnsi="Times New Roman"/>
          <w:sz w:val="18"/>
          <w:szCs w:val="18"/>
          <w:color w:val="auto"/>
        </w:rPr>
      </w:pPr>
    </w:p>
    <w:p>
      <w:pPr>
        <w:ind w:right="240" w:firstLine="1428"/>
        <w:spacing w:after="0" w:line="282" w:lineRule="auto"/>
        <w:tabs>
          <w:tab w:leader="none" w:pos="1972"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and adopt sub-plans relating to the Plan, including rules, regulations and sub-plans for the purposes of facilitating compliance</w:t>
      </w:r>
    </w:p>
    <w:p>
      <w:pPr>
        <w:spacing w:after="0" w:line="9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3"/>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980"/>
          </w:cols>
          <w:pgMar w:left="440" w:top="270" w:right="479" w:bottom="1440" w:gutter="0" w:footer="0" w:header="0"/>
        </w:sectPr>
      </w:pPr>
    </w:p>
    <w:bookmarkStart w:id="369" w:name="page370"/>
    <w:bookmarkEnd w:id="369"/>
    <w:p>
      <w:pPr>
        <w:ind w:left="4"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foreign laws, easing the administration of the Plan and/or taking advantage of tax-favorable treatment for Awards granted to Service Providers outside the U.S., in each case as the Administrator may deem necessary or advisable;</w:t>
      </w:r>
    </w:p>
    <w:p>
      <w:pPr>
        <w:spacing w:after="0" w:line="162" w:lineRule="exact"/>
        <w:rPr>
          <w:sz w:val="20"/>
          <w:szCs w:val="20"/>
          <w:color w:val="auto"/>
        </w:rPr>
      </w:pPr>
    </w:p>
    <w:p>
      <w:pPr>
        <w:ind w:left="4" w:right="60" w:firstLine="1428"/>
        <w:spacing w:after="0" w:line="266" w:lineRule="auto"/>
        <w:tabs>
          <w:tab w:leader="none" w:pos="1876" w:val="left"/>
        </w:tabs>
        <w:numPr>
          <w:ilvl w:val="3"/>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19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75" w:lineRule="exact"/>
        <w:rPr>
          <w:rFonts w:ascii="Times New Roman" w:cs="Times New Roman" w:eastAsia="Times New Roman" w:hAnsi="Times New Roman"/>
          <w:sz w:val="18"/>
          <w:szCs w:val="18"/>
          <w:color w:val="auto"/>
        </w:rPr>
      </w:pPr>
    </w:p>
    <w:p>
      <w:pPr>
        <w:ind w:left="1824" w:hanging="392"/>
        <w:spacing w:after="0"/>
        <w:tabs>
          <w:tab w:leader="none" w:pos="1824" w:val="left"/>
        </w:tabs>
        <w:numPr>
          <w:ilvl w:val="3"/>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tax withholding obligations in such manner as prescribed in Section 15 of the Plan;</w:t>
      </w:r>
    </w:p>
    <w:p>
      <w:pPr>
        <w:spacing w:after="0" w:line="225" w:lineRule="exact"/>
        <w:rPr>
          <w:rFonts w:ascii="Times New Roman" w:cs="Times New Roman" w:eastAsia="Times New Roman" w:hAnsi="Times New Roman"/>
          <w:sz w:val="18"/>
          <w:szCs w:val="18"/>
          <w:color w:val="auto"/>
        </w:rPr>
      </w:pPr>
    </w:p>
    <w:p>
      <w:pPr>
        <w:ind w:left="4" w:right="740" w:firstLine="1428"/>
        <w:spacing w:after="0" w:line="282" w:lineRule="auto"/>
        <w:tabs>
          <w:tab w:leader="none" w:pos="1876" w:val="left"/>
        </w:tabs>
        <w:numPr>
          <w:ilvl w:val="3"/>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61"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926" w:val="left"/>
        </w:tabs>
        <w:numPr>
          <w:ilvl w:val="3"/>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would otherwise be due to such Participant under an Award; and</w:t>
      </w:r>
    </w:p>
    <w:p>
      <w:pPr>
        <w:spacing w:after="0" w:line="161" w:lineRule="exact"/>
        <w:rPr>
          <w:rFonts w:ascii="Times New Roman" w:cs="Times New Roman" w:eastAsia="Times New Roman" w:hAnsi="Times New Roman"/>
          <w:sz w:val="18"/>
          <w:szCs w:val="18"/>
          <w:color w:val="auto"/>
        </w:rPr>
      </w:pPr>
    </w:p>
    <w:p>
      <w:pPr>
        <w:ind w:left="1964" w:hanging="532"/>
        <w:spacing w:after="0"/>
        <w:tabs>
          <w:tab w:leader="none" w:pos="1964" w:val="left"/>
        </w:tabs>
        <w:numPr>
          <w:ilvl w:val="3"/>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25"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375"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269" w:lineRule="exact"/>
        <w:rPr>
          <w:rFonts w:ascii="Times New Roman" w:cs="Times New Roman" w:eastAsia="Times New Roman" w:hAnsi="Times New Roman"/>
          <w:sz w:val="18"/>
          <w:szCs w:val="18"/>
          <w:color w:val="auto"/>
        </w:rPr>
      </w:pPr>
    </w:p>
    <w:p>
      <w:pPr>
        <w:ind w:left="4" w:right="600" w:firstLine="436"/>
        <w:spacing w:after="0" w:line="282" w:lineRule="auto"/>
        <w:tabs>
          <w:tab w:leader="none" w:pos="759"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269"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300" w:firstLine="987"/>
        <w:spacing w:after="0" w:line="256" w:lineRule="auto"/>
        <w:tabs>
          <w:tab w:leader="none" w:pos="1375"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87" w:lineRule="exact"/>
        <w:rPr>
          <w:rFonts w:ascii="Times New Roman" w:cs="Times New Roman" w:eastAsia="Times New Roman" w:hAnsi="Times New Roman"/>
          <w:sz w:val="18"/>
          <w:szCs w:val="18"/>
          <w:color w:val="auto"/>
        </w:rPr>
      </w:pPr>
    </w:p>
    <w:p>
      <w:pPr>
        <w:ind w:left="4" w:firstLine="987"/>
        <w:spacing w:after="0" w:line="255" w:lineRule="auto"/>
        <w:tabs>
          <w:tab w:leader="none" w:pos="1385"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the date of grant or such shorter term as may be provided in the Award Agreement.</w:t>
      </w:r>
    </w:p>
    <w:p>
      <w:pPr>
        <w:spacing w:after="0" w:line="139"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4"/>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04"/>
          </w:cols>
          <w:pgMar w:left="436" w:top="270" w:right="459" w:bottom="1440" w:gutter="0" w:footer="0" w:header="0"/>
        </w:sectPr>
      </w:pPr>
    </w:p>
    <w:bookmarkStart w:id="370" w:name="page371"/>
    <w:bookmarkEnd w:id="370"/>
    <w:p>
      <w:pPr>
        <w:ind w:left="373" w:hanging="373"/>
        <w:spacing w:after="0"/>
        <w:tabs>
          <w:tab w:leader="none" w:pos="37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Exercise Price and Consideration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7" w:right="40" w:firstLine="1428"/>
        <w:spacing w:after="0" w:line="282" w:lineRule="auto"/>
        <w:tabs>
          <w:tab w:leader="none" w:pos="794"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exercise of an Option will be determined by the Administrator, subject to the following:</w:t>
      </w:r>
    </w:p>
    <w:p>
      <w:pPr>
        <w:spacing w:after="0" w:line="161" w:lineRule="exact"/>
        <w:rPr>
          <w:rFonts w:ascii="Times New Roman" w:cs="Times New Roman" w:eastAsia="Times New Roman" w:hAnsi="Times New Roman"/>
          <w:sz w:val="18"/>
          <w:szCs w:val="18"/>
          <w:color w:val="auto"/>
        </w:rPr>
      </w:pPr>
    </w:p>
    <w:p>
      <w:pPr>
        <w:ind w:left="1373" w:hanging="381"/>
        <w:spacing w:after="0"/>
        <w:tabs>
          <w:tab w:leader="none" w:pos="1373"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225" w:lineRule="exact"/>
        <w:rPr>
          <w:rFonts w:ascii="Times New Roman" w:cs="Times New Roman" w:eastAsia="Times New Roman" w:hAnsi="Times New Roman"/>
          <w:sz w:val="18"/>
          <w:szCs w:val="18"/>
          <w:color w:val="auto"/>
        </w:rPr>
      </w:pPr>
    </w:p>
    <w:p>
      <w:pPr>
        <w:jc w:val="both"/>
        <w:ind w:left="-987" w:right="220" w:firstLine="2419"/>
        <w:spacing w:after="0" w:line="266" w:lineRule="auto"/>
        <w:tabs>
          <w:tab w:leader="none" w:pos="1866" w:val="left"/>
        </w:tabs>
        <w:numPr>
          <w:ilvl w:val="3"/>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75" w:lineRule="exact"/>
        <w:rPr>
          <w:rFonts w:ascii="Times New Roman" w:cs="Times New Roman" w:eastAsia="Times New Roman" w:hAnsi="Times New Roman"/>
          <w:sz w:val="18"/>
          <w:szCs w:val="18"/>
          <w:color w:val="auto"/>
        </w:rPr>
      </w:pPr>
    </w:p>
    <w:p>
      <w:pPr>
        <w:ind w:left="-987" w:right="120" w:firstLine="2419"/>
        <w:spacing w:after="0" w:line="282" w:lineRule="auto"/>
        <w:tabs>
          <w:tab w:leader="none" w:pos="1856" w:val="left"/>
        </w:tabs>
        <w:numPr>
          <w:ilvl w:val="3"/>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left="-987" w:right="500" w:firstLine="1979"/>
        <w:spacing w:after="0" w:line="282" w:lineRule="auto"/>
        <w:tabs>
          <w:tab w:leader="none" w:pos="1385"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Nonstatutory Stock Option, the per Share exercise price will be no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left="-987" w:right="500" w:firstLine="1979"/>
        <w:spacing w:after="0" w:line="266" w:lineRule="auto"/>
        <w:tabs>
          <w:tab w:leader="none" w:pos="1385"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5" w:lineRule="exact"/>
        <w:rPr>
          <w:rFonts w:ascii="Times New Roman" w:cs="Times New Roman" w:eastAsia="Times New Roman" w:hAnsi="Times New Roman"/>
          <w:sz w:val="18"/>
          <w:szCs w:val="18"/>
          <w:color w:val="auto"/>
        </w:rPr>
      </w:pPr>
    </w:p>
    <w:p>
      <w:pPr>
        <w:ind w:left="-987" w:right="260" w:firstLine="1428"/>
        <w:spacing w:after="0" w:line="282" w:lineRule="auto"/>
        <w:tabs>
          <w:tab w:leader="none" w:pos="844"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1" w:lineRule="exact"/>
        <w:rPr>
          <w:rFonts w:ascii="Times New Roman" w:cs="Times New Roman" w:eastAsia="Times New Roman" w:hAnsi="Times New Roman"/>
          <w:sz w:val="18"/>
          <w:szCs w:val="18"/>
          <w:color w:val="auto"/>
        </w:rPr>
      </w:pPr>
    </w:p>
    <w:p>
      <w:pPr>
        <w:ind w:left="-987" w:firstLine="1428"/>
        <w:spacing w:after="0" w:line="272" w:lineRule="auto"/>
        <w:tabs>
          <w:tab w:leader="none" w:pos="894" w:val="left"/>
        </w:tabs>
        <w:numPr>
          <w:ilvl w:val="1"/>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of Consideration</w:t>
      </w:r>
      <w:r>
        <w:rPr>
          <w:rFonts w:ascii="Times New Roman" w:cs="Times New Roman" w:eastAsia="Times New Roman" w:hAnsi="Times New Roman"/>
          <w:sz w:val="17"/>
          <w:szCs w:val="17"/>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71" w:lineRule="exact"/>
        <w:rPr>
          <w:rFonts w:ascii="Times New Roman" w:cs="Times New Roman" w:eastAsia="Times New Roman" w:hAnsi="Times New Roman"/>
          <w:sz w:val="17"/>
          <w:szCs w:val="17"/>
          <w:color w:val="auto"/>
        </w:rPr>
      </w:pPr>
    </w:p>
    <w:p>
      <w:pPr>
        <w:ind w:left="393" w:hanging="393"/>
        <w:spacing w:after="0"/>
        <w:tabs>
          <w:tab w:leader="none" w:pos="39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7" w:right="120" w:firstLine="1428"/>
        <w:spacing w:after="0" w:line="266" w:lineRule="auto"/>
        <w:tabs>
          <w:tab w:leader="none" w:pos="794"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08"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4"/>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9973"/>
          </w:cols>
          <w:pgMar w:left="1427" w:top="270" w:right="499" w:bottom="1440" w:gutter="0" w:footer="0" w:header="0"/>
        </w:sectPr>
      </w:pPr>
    </w:p>
    <w:bookmarkStart w:id="371" w:name="page372"/>
    <w:bookmarkEnd w:id="371"/>
    <w:p>
      <w:pPr>
        <w:ind w:right="20" w:firstLine="198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88" w:lineRule="exact"/>
        <w:rPr>
          <w:sz w:val="20"/>
          <w:szCs w:val="20"/>
          <w:color w:val="auto"/>
        </w:rPr>
      </w:pPr>
    </w:p>
    <w:p>
      <w:pPr>
        <w:ind w:right="240" w:firstLine="1432"/>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62" w:lineRule="exact"/>
        <w:rPr>
          <w:sz w:val="20"/>
          <w:szCs w:val="20"/>
          <w:color w:val="auto"/>
        </w:rPr>
      </w:pPr>
    </w:p>
    <w:p>
      <w:pPr>
        <w:ind w:right="20" w:firstLine="1428"/>
        <w:spacing w:after="0" w:line="254" w:lineRule="auto"/>
        <w:tabs>
          <w:tab w:leader="none" w:pos="1832"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91" w:lineRule="exact"/>
        <w:rPr>
          <w:rFonts w:ascii="Times New Roman" w:cs="Times New Roman" w:eastAsia="Times New Roman" w:hAnsi="Times New Roman"/>
          <w:sz w:val="18"/>
          <w:szCs w:val="18"/>
          <w:color w:val="auto"/>
        </w:rPr>
      </w:pPr>
    </w:p>
    <w:p>
      <w:pPr>
        <w:ind w:firstLine="1428"/>
        <w:spacing w:after="0" w:line="255" w:lineRule="auto"/>
        <w:tabs>
          <w:tab w:leader="none" w:pos="1882"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8" w:lineRule="exact"/>
        <w:rPr>
          <w:rFonts w:ascii="Times New Roman" w:cs="Times New Roman" w:eastAsia="Times New Roman" w:hAnsi="Times New Roman"/>
          <w:sz w:val="18"/>
          <w:szCs w:val="18"/>
          <w:color w:val="auto"/>
        </w:rPr>
      </w:pPr>
    </w:p>
    <w:p>
      <w:pPr>
        <w:ind w:right="80" w:firstLine="1428"/>
        <w:spacing w:after="0" w:line="266" w:lineRule="auto"/>
        <w:tabs>
          <w:tab w:leader="none" w:pos="1872"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1000"/>
          </w:cols>
          <w:pgMar w:left="440" w:top="270" w:right="459" w:bottom="1440" w:gutter="0" w:footer="0" w:header="0"/>
        </w:sectPr>
      </w:pPr>
    </w:p>
    <w:bookmarkStart w:id="372" w:name="page373"/>
    <w:bookmarkEnd w:id="372"/>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Participant’s death in a form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88" w:lineRule="exact"/>
        <w:rPr>
          <w:sz w:val="20"/>
          <w:szCs w:val="20"/>
          <w:color w:val="auto"/>
        </w:rPr>
      </w:pPr>
    </w:p>
    <w:p>
      <w:pPr>
        <w:ind w:left="1820" w:hanging="392"/>
        <w:spacing w:after="0"/>
        <w:tabs>
          <w:tab w:leader="none" w:pos="1820"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Tolling Expiration</w:t>
      </w:r>
      <w:r>
        <w:rPr>
          <w:rFonts w:ascii="Times New Roman" w:cs="Times New Roman" w:eastAsia="Times New Roman" w:hAnsi="Times New Roman"/>
          <w:sz w:val="18"/>
          <w:szCs w:val="18"/>
          <w:color w:val="auto"/>
        </w:rPr>
        <w:t>. A Participant’s Award Agreement may also provide that:</w:t>
      </w:r>
    </w:p>
    <w:p>
      <w:pPr>
        <w:spacing w:after="0" w:line="225" w:lineRule="exact"/>
        <w:rPr>
          <w:rFonts w:ascii="Times New Roman" w:cs="Times New Roman" w:eastAsia="Times New Roman" w:hAnsi="Times New Roman"/>
          <w:sz w:val="18"/>
          <w:szCs w:val="18"/>
          <w:color w:val="auto"/>
        </w:rPr>
      </w:pPr>
    </w:p>
    <w:p>
      <w:pPr>
        <w:ind w:right="80" w:firstLine="1979"/>
        <w:spacing w:after="0" w:line="261" w:lineRule="auto"/>
        <w:tabs>
          <w:tab w:leader="none" w:pos="2373" w:val="left"/>
        </w:tabs>
        <w:numPr>
          <w:ilvl w:val="3"/>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the termination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after the last date on which such exercise would result in liability under Section 16(b); or</w:t>
      </w:r>
    </w:p>
    <w:p>
      <w:pPr>
        <w:spacing w:after="0" w:line="179" w:lineRule="exact"/>
        <w:rPr>
          <w:rFonts w:ascii="Times New Roman" w:cs="Times New Roman" w:eastAsia="Times New Roman" w:hAnsi="Times New Roman"/>
          <w:sz w:val="18"/>
          <w:szCs w:val="18"/>
          <w:color w:val="auto"/>
        </w:rPr>
      </w:pPr>
    </w:p>
    <w:p>
      <w:pPr>
        <w:ind w:right="80" w:firstLine="1979"/>
        <w:spacing w:after="0" w:line="258" w:lineRule="auto"/>
        <w:tabs>
          <w:tab w:leader="none" w:pos="2373" w:val="left"/>
        </w:tabs>
        <w:numPr>
          <w:ilvl w:val="3"/>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the termination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(30)-day period after the termination of the Participant’s status as a Service Provider during which the exercise of the Option would not be in violation of such registration requirements.</w:t>
      </w:r>
    </w:p>
    <w:p>
      <w:pPr>
        <w:spacing w:after="0" w:line="29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00" w:firstLine="987"/>
        <w:spacing w:after="0" w:line="282" w:lineRule="auto"/>
        <w:tabs>
          <w:tab w:leader="none" w:pos="1371"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1" w:lineRule="exact"/>
        <w:rPr>
          <w:rFonts w:ascii="Times New Roman" w:cs="Times New Roman" w:eastAsia="Times New Roman" w:hAnsi="Times New Roman"/>
          <w:sz w:val="18"/>
          <w:szCs w:val="18"/>
          <w:color w:val="auto"/>
        </w:rPr>
      </w:pPr>
    </w:p>
    <w:p>
      <w:pPr>
        <w:jc w:val="both"/>
        <w:ind w:firstLine="987"/>
        <w:spacing w:after="0" w:line="289" w:lineRule="auto"/>
        <w:tabs>
          <w:tab w:leader="none" w:pos="1381"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 Agreement</w:t>
      </w:r>
      <w:r>
        <w:rPr>
          <w:rFonts w:ascii="Times New Roman" w:cs="Times New Roman" w:eastAsia="Times New Roman" w:hAnsi="Times New Roman"/>
          <w:sz w:val="17"/>
          <w:szCs w:val="17"/>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57" w:lineRule="exact"/>
        <w:rPr>
          <w:rFonts w:ascii="Times New Roman" w:cs="Times New Roman" w:eastAsia="Times New Roman" w:hAnsi="Times New Roman"/>
          <w:sz w:val="17"/>
          <w:szCs w:val="17"/>
          <w:color w:val="auto"/>
        </w:rPr>
      </w:pPr>
    </w:p>
    <w:p>
      <w:pPr>
        <w:ind w:right="840" w:firstLine="987"/>
        <w:spacing w:after="0" w:line="282" w:lineRule="auto"/>
        <w:tabs>
          <w:tab w:leader="none" w:pos="1371"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61" w:lineRule="exact"/>
        <w:rPr>
          <w:rFonts w:ascii="Times New Roman" w:cs="Times New Roman" w:eastAsia="Times New Roman" w:hAnsi="Times New Roman"/>
          <w:sz w:val="18"/>
          <w:szCs w:val="18"/>
          <w:color w:val="auto"/>
        </w:rPr>
      </w:pPr>
    </w:p>
    <w:p>
      <w:pPr>
        <w:ind w:right="240" w:firstLine="987"/>
        <w:spacing w:after="0" w:line="282" w:lineRule="auto"/>
        <w:tabs>
          <w:tab w:leader="none" w:pos="1381"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94" w:lineRule="exact"/>
        <w:rPr>
          <w:rFonts w:ascii="Times New Roman" w:cs="Times New Roman" w:eastAsia="Times New Roman" w:hAnsi="Times New Roman"/>
          <w:sz w:val="18"/>
          <w:szCs w:val="18"/>
          <w:color w:val="auto"/>
        </w:rPr>
      </w:pPr>
    </w:p>
    <w:p>
      <w:pPr>
        <w:ind w:left="5420" w:hanging="108"/>
        <w:spacing w:after="0"/>
        <w:tabs>
          <w:tab w:leader="none" w:pos="5420" w:val="left"/>
        </w:tabs>
        <w:numPr>
          <w:ilvl w:val="4"/>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1000"/>
          </w:cols>
          <w:pgMar w:left="440" w:top="270" w:right="459" w:bottom="1440" w:gutter="0" w:footer="0" w:header="0"/>
        </w:sectPr>
      </w:pPr>
    </w:p>
    <w:bookmarkStart w:id="373" w:name="page374"/>
    <w:bookmarkEnd w:id="373"/>
    <w:p>
      <w:pPr>
        <w:ind w:right="20" w:firstLine="987"/>
        <w:spacing w:after="0" w:line="266" w:lineRule="auto"/>
        <w:tabs>
          <w:tab w:leader="none" w:pos="1371"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Removal of Restrictions</w:t>
      </w:r>
      <w:r>
        <w:rPr>
          <w:rFonts w:ascii="Times New Roman" w:cs="Times New Roman" w:eastAsia="Times New Roman" w:hAnsi="Times New Roman"/>
          <w:sz w:val="18"/>
          <w:szCs w:val="18"/>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351"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61" w:lineRule="exact"/>
        <w:rPr>
          <w:rFonts w:ascii="Times New Roman" w:cs="Times New Roman" w:eastAsia="Times New Roman" w:hAnsi="Times New Roman"/>
          <w:sz w:val="18"/>
          <w:szCs w:val="18"/>
          <w:color w:val="auto"/>
        </w:rPr>
      </w:pPr>
    </w:p>
    <w:p>
      <w:pPr>
        <w:ind w:right="280" w:firstLine="987"/>
        <w:spacing w:after="0" w:line="261" w:lineRule="auto"/>
        <w:tabs>
          <w:tab w:leader="none" w:pos="1381"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79" w:lineRule="exact"/>
        <w:rPr>
          <w:rFonts w:ascii="Times New Roman" w:cs="Times New Roman" w:eastAsia="Times New Roman" w:hAnsi="Times New Roman"/>
          <w:sz w:val="18"/>
          <w:szCs w:val="18"/>
          <w:color w:val="auto"/>
        </w:rPr>
      </w:pPr>
    </w:p>
    <w:p>
      <w:pPr>
        <w:ind w:right="280" w:firstLine="987"/>
        <w:spacing w:after="0" w:line="282" w:lineRule="auto"/>
        <w:tabs>
          <w:tab w:leader="none" w:pos="1381"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269"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0" w:firstLine="987"/>
        <w:spacing w:after="0" w:line="266" w:lineRule="auto"/>
        <w:tabs>
          <w:tab w:leader="none" w:pos="1371"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75" w:lineRule="exact"/>
        <w:rPr>
          <w:rFonts w:ascii="Times New Roman" w:cs="Times New Roman" w:eastAsia="Times New Roman" w:hAnsi="Times New Roman"/>
          <w:sz w:val="18"/>
          <w:szCs w:val="18"/>
          <w:color w:val="auto"/>
        </w:rPr>
      </w:pPr>
    </w:p>
    <w:p>
      <w:pPr>
        <w:ind w:right="320" w:firstLine="987"/>
        <w:spacing w:after="0" w:line="261" w:lineRule="auto"/>
        <w:tabs>
          <w:tab w:leader="none" w:pos="1381"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9" w:lineRule="exact"/>
        <w:rPr>
          <w:rFonts w:ascii="Times New Roman" w:cs="Times New Roman" w:eastAsia="Times New Roman" w:hAnsi="Times New Roman"/>
          <w:sz w:val="18"/>
          <w:szCs w:val="18"/>
          <w:color w:val="auto"/>
        </w:rPr>
      </w:pPr>
    </w:p>
    <w:p>
      <w:pPr>
        <w:ind w:right="260" w:firstLine="987"/>
        <w:spacing w:after="0" w:line="266" w:lineRule="auto"/>
        <w:tabs>
          <w:tab w:leader="none" w:pos="1371"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w:t>
      </w:r>
    </w:p>
    <w:p>
      <w:pPr>
        <w:spacing w:after="0" w:line="27"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date(s) determined by the Administrator and set forth in the Award Agreement. The Administrator, in its sole discretion, may only settle earned Restricted Stock Units in cash, Shares, or a combination of both.</w:t>
      </w:r>
    </w:p>
    <w:p>
      <w:pPr>
        <w:spacing w:after="0" w:line="181" w:lineRule="exact"/>
        <w:rPr>
          <w:sz w:val="20"/>
          <w:szCs w:val="20"/>
          <w:color w:val="auto"/>
        </w:rPr>
      </w:pPr>
    </w:p>
    <w:p>
      <w:pPr>
        <w:ind w:left="1360" w:hanging="373"/>
        <w:spacing w:after="0"/>
        <w:tabs>
          <w:tab w:leader="none" w:pos="136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15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1000"/>
          </w:cols>
          <w:pgMar w:left="440" w:top="270" w:right="459" w:bottom="1440" w:gutter="0" w:footer="0" w:header="0"/>
        </w:sectPr>
      </w:pPr>
    </w:p>
    <w:bookmarkStart w:id="374" w:name="page375"/>
    <w:bookmarkEnd w:id="374"/>
    <w:p>
      <w:pPr>
        <w:ind w:left="760" w:hanging="324"/>
        <w:spacing w:after="0"/>
        <w:tabs>
          <w:tab w:leader="none" w:pos="7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Appreciation Rights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40" w:firstLine="987"/>
        <w:spacing w:after="0" w:line="282" w:lineRule="auto"/>
        <w:tabs>
          <w:tab w:leader="none" w:pos="1371"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381"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Stock Appreciation Rights granted to any Service Provider.</w:t>
      </w:r>
    </w:p>
    <w:p>
      <w:pPr>
        <w:spacing w:after="0" w:line="161" w:lineRule="exact"/>
        <w:rPr>
          <w:rFonts w:ascii="Times New Roman" w:cs="Times New Roman" w:eastAsia="Times New Roman" w:hAnsi="Times New Roman"/>
          <w:sz w:val="18"/>
          <w:szCs w:val="18"/>
          <w:color w:val="auto"/>
        </w:rPr>
      </w:pPr>
    </w:p>
    <w:p>
      <w:pPr>
        <w:ind w:right="60" w:firstLine="987"/>
        <w:spacing w:after="0" w:line="261" w:lineRule="auto"/>
        <w:tabs>
          <w:tab w:leader="none" w:pos="1371"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9" w:lineRule="exact"/>
        <w:rPr>
          <w:rFonts w:ascii="Times New Roman" w:cs="Times New Roman" w:eastAsia="Times New Roman" w:hAnsi="Times New Roman"/>
          <w:sz w:val="18"/>
          <w:szCs w:val="18"/>
          <w:color w:val="auto"/>
        </w:rPr>
      </w:pPr>
    </w:p>
    <w:p>
      <w:pPr>
        <w:ind w:right="440" w:firstLine="987"/>
        <w:spacing w:after="0" w:line="266" w:lineRule="auto"/>
        <w:tabs>
          <w:tab w:leader="none" w:pos="1381"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5" w:lineRule="exact"/>
        <w:rPr>
          <w:rFonts w:ascii="Times New Roman" w:cs="Times New Roman" w:eastAsia="Times New Roman" w:hAnsi="Times New Roman"/>
          <w:sz w:val="18"/>
          <w:szCs w:val="18"/>
          <w:color w:val="auto"/>
        </w:rPr>
      </w:pPr>
    </w:p>
    <w:p>
      <w:pPr>
        <w:ind w:right="40" w:firstLine="987"/>
        <w:spacing w:after="0" w:line="266" w:lineRule="auto"/>
        <w:tabs>
          <w:tab w:leader="none" w:pos="1371"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75" w:lineRule="exact"/>
        <w:rPr>
          <w:rFonts w:ascii="Times New Roman" w:cs="Times New Roman" w:eastAsia="Times New Roman" w:hAnsi="Times New Roman"/>
          <w:sz w:val="18"/>
          <w:szCs w:val="18"/>
          <w:color w:val="auto"/>
        </w:rPr>
      </w:pPr>
    </w:p>
    <w:p>
      <w:pPr>
        <w:ind w:right="120" w:firstLine="987"/>
        <w:spacing w:after="0" w:line="282" w:lineRule="auto"/>
        <w:tabs>
          <w:tab w:leader="none" w:pos="1351"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161"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225"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270" w:lineRule="exact"/>
        <w:rPr>
          <w:sz w:val="20"/>
          <w:szCs w:val="20"/>
          <w:color w:val="auto"/>
        </w:rPr>
      </w:pPr>
    </w:p>
    <w:p>
      <w:pPr>
        <w:ind w:left="840" w:hanging="404"/>
        <w:spacing w:after="0"/>
        <w:tabs>
          <w:tab w:leader="none" w:pos="8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Units and Performance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371"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 Units/Shares</w:t>
      </w:r>
      <w:r>
        <w:rPr>
          <w:rFonts w:ascii="Times New Roman" w:cs="Times New Roman" w:eastAsia="Times New Roman" w:hAnsi="Times New Roman"/>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75" w:lineRule="exact"/>
        <w:rPr>
          <w:rFonts w:ascii="Times New Roman" w:cs="Times New Roman" w:eastAsia="Times New Roman" w:hAnsi="Times New Roman"/>
          <w:sz w:val="18"/>
          <w:szCs w:val="18"/>
          <w:color w:val="auto"/>
        </w:rPr>
      </w:pPr>
    </w:p>
    <w:p>
      <w:pPr>
        <w:ind w:right="200" w:firstLine="987"/>
        <w:spacing w:after="0" w:line="282" w:lineRule="auto"/>
        <w:tabs>
          <w:tab w:leader="none" w:pos="1381"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Performance Units/Shares</w:t>
      </w:r>
      <w:r>
        <w:rPr>
          <w:rFonts w:ascii="Times New Roman" w:cs="Times New Roman" w:eastAsia="Times New Roman" w:hAnsi="Times New Roman"/>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1000"/>
          </w:cols>
          <w:pgMar w:left="440" w:top="270" w:right="459" w:bottom="1440" w:gutter="0" w:footer="0" w:header="0"/>
        </w:sectPr>
      </w:pPr>
    </w:p>
    <w:bookmarkStart w:id="375" w:name="page376"/>
    <w:bookmarkEnd w:id="375"/>
    <w:p>
      <w:pPr>
        <w:ind w:firstLine="987"/>
        <w:spacing w:after="0" w:line="254" w:lineRule="auto"/>
        <w:tabs>
          <w:tab w:leader="none" w:pos="1371"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Performance Objectives and Other Terms</w:t>
      </w:r>
      <w:r>
        <w:rPr>
          <w:rFonts w:ascii="Times New Roman" w:cs="Times New Roman" w:eastAsia="Times New Roman" w:hAnsi="Times New Roman"/>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91" w:lineRule="exact"/>
        <w:rPr>
          <w:rFonts w:ascii="Times New Roman" w:cs="Times New Roman" w:eastAsia="Times New Roman" w:hAnsi="Times New Roman"/>
          <w:sz w:val="18"/>
          <w:szCs w:val="18"/>
          <w:color w:val="auto"/>
        </w:rPr>
      </w:pPr>
    </w:p>
    <w:p>
      <w:pPr>
        <w:ind w:right="80" w:firstLine="987"/>
        <w:spacing w:after="0" w:line="258" w:lineRule="auto"/>
        <w:tabs>
          <w:tab w:leader="none" w:pos="1381"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of Performance Units/Shares</w:t>
      </w:r>
      <w:r>
        <w:rPr>
          <w:rFonts w:ascii="Times New Roman" w:cs="Times New Roman" w:eastAsia="Times New Roman" w:hAnsi="Times New Roman"/>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83" w:lineRule="exact"/>
        <w:rPr>
          <w:rFonts w:ascii="Times New Roman" w:cs="Times New Roman" w:eastAsia="Times New Roman" w:hAnsi="Times New Roman"/>
          <w:sz w:val="18"/>
          <w:szCs w:val="18"/>
          <w:color w:val="auto"/>
        </w:rPr>
      </w:pPr>
    </w:p>
    <w:p>
      <w:pPr>
        <w:ind w:firstLine="987"/>
        <w:spacing w:after="0" w:line="261" w:lineRule="auto"/>
        <w:tabs>
          <w:tab w:leader="none" w:pos="1371"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 of Performance Units/Shares</w:t>
      </w:r>
      <w:r>
        <w:rPr>
          <w:rFonts w:ascii="Times New Roman" w:cs="Times New Roman" w:eastAsia="Times New Roman" w:hAnsi="Times New Roman"/>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79" w:lineRule="exact"/>
        <w:rPr>
          <w:rFonts w:ascii="Times New Roman" w:cs="Times New Roman" w:eastAsia="Times New Roman" w:hAnsi="Times New Roman"/>
          <w:sz w:val="18"/>
          <w:szCs w:val="18"/>
          <w:color w:val="auto"/>
        </w:rPr>
      </w:pPr>
    </w:p>
    <w:p>
      <w:pPr>
        <w:ind w:right="420" w:firstLine="987"/>
        <w:spacing w:after="0" w:line="282" w:lineRule="auto"/>
        <w:tabs>
          <w:tab w:leader="none" w:pos="1351"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Performance Units/Shares</w:t>
      </w:r>
      <w:r>
        <w:rPr>
          <w:rFonts w:ascii="Times New Roman" w:cs="Times New Roman" w:eastAsia="Times New Roman" w:hAnsi="Times New Roman"/>
          <w:sz w:val="18"/>
          <w:szCs w:val="18"/>
          <w:color w:val="auto"/>
        </w:rPr>
        <w:t>. On the date set forth in the Award Agreement, all unearned or unvested Performance Units/Shares will be forfeited to the Company, and again will be available for grant under the Plan.</w:t>
      </w:r>
    </w:p>
    <w:p>
      <w:pPr>
        <w:spacing w:after="0" w:line="161" w:lineRule="exact"/>
        <w:rPr>
          <w:rFonts w:ascii="Times New Roman" w:cs="Times New Roman" w:eastAsia="Times New Roman" w:hAnsi="Times New Roman"/>
          <w:sz w:val="18"/>
          <w:szCs w:val="18"/>
          <w:color w:val="auto"/>
        </w:rPr>
      </w:pPr>
    </w:p>
    <w:p>
      <w:pPr>
        <w:ind w:right="80" w:firstLine="436"/>
        <w:spacing w:after="0" w:line="258" w:lineRule="auto"/>
        <w:tabs>
          <w:tab w:leader="none" w:pos="83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Director Limitations</w:t>
      </w:r>
      <w:r>
        <w:rPr>
          <w:rFonts w:ascii="Times New Roman" w:cs="Times New Roman" w:eastAsia="Times New Roman" w:hAnsi="Times New Roman"/>
          <w:sz w:val="18"/>
          <w:szCs w:val="18"/>
          <w:color w:val="auto"/>
        </w:rPr>
        <w:t>. No Outside Director may be paid, issued, or granted, in any Fiscal Year, equity awards (including any Awards issued under this Plan) with an aggregate value (the value of which will be based on their grant date fair value determined in accordance with U.S. generally accepted accounting principles) that, in the aggregate, exceed $750,000, increased to $1,000,000 in connection with his or her initial service. Any Awards or other compensation paid or provided to an individual for his or her services as an Employee, or for his or her services as a Consultant (other than as an Outside Director), will not count for purposes of the limitation under this Section 11.</w:t>
      </w:r>
    </w:p>
    <w:p>
      <w:pPr>
        <w:spacing w:after="0" w:line="183" w:lineRule="exact"/>
        <w:rPr>
          <w:rFonts w:ascii="Times New Roman" w:cs="Times New Roman" w:eastAsia="Times New Roman" w:hAnsi="Times New Roman"/>
          <w:sz w:val="18"/>
          <w:szCs w:val="18"/>
          <w:color w:val="auto"/>
        </w:rPr>
      </w:pPr>
    </w:p>
    <w:p>
      <w:pPr>
        <w:ind w:right="180" w:firstLine="436"/>
        <w:spacing w:after="0" w:line="272" w:lineRule="auto"/>
        <w:tabs>
          <w:tab w:leader="none" w:pos="845"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Leaves of Absence/Transfer Between Locations</w:t>
      </w:r>
      <w:r>
        <w:rPr>
          <w:rFonts w:ascii="Times New Roman" w:cs="Times New Roman" w:eastAsia="Times New Roman" w:hAnsi="Times New Roman"/>
          <w:sz w:val="17"/>
          <w:szCs w:val="17"/>
          <w:color w:val="auto"/>
        </w:rPr>
        <w:t>. Unless the Administrator provides otherwise and subject to Applicable Laws,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w:t>
      </w:r>
    </w:p>
    <w:p>
      <w:pPr>
        <w:spacing w:after="0" w:line="1" w:lineRule="exact"/>
        <w:rPr>
          <w:rFonts w:ascii="Times New Roman" w:cs="Times New Roman" w:eastAsia="Times New Roman" w:hAnsi="Times New Roman"/>
          <w:sz w:val="17"/>
          <w:szCs w:val="17"/>
          <w:color w:val="auto"/>
        </w:rPr>
      </w:pPr>
    </w:p>
    <w:p>
      <w:pPr>
        <w:ind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21"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2"/>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0980"/>
          </w:cols>
          <w:pgMar w:left="440" w:top="270" w:right="479" w:bottom="1440" w:gutter="0" w:footer="0" w:header="0"/>
        </w:sectPr>
      </w:pPr>
    </w:p>
    <w:bookmarkStart w:id="376" w:name="page377"/>
    <w:bookmarkEnd w:id="376"/>
    <w:p>
      <w:pPr>
        <w:ind w:left="4" w:right="100" w:firstLine="436"/>
        <w:spacing w:after="0" w:line="261" w:lineRule="auto"/>
        <w:tabs>
          <w:tab w:leader="none" w:pos="849"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Transferability of Awards</w:t>
      </w:r>
      <w:r>
        <w:rPr>
          <w:rFonts w:ascii="Times New Roman" w:cs="Times New Roman" w:eastAsia="Times New Roman" w:hAnsi="Times New Roman"/>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287"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987"/>
        <w:spacing w:after="0" w:line="256" w:lineRule="auto"/>
        <w:tabs>
          <w:tab w:leader="none" w:pos="1375"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Sections 3 and 11 of the Plan.</w:t>
      </w:r>
    </w:p>
    <w:p>
      <w:pPr>
        <w:spacing w:after="0" w:line="187" w:lineRule="exact"/>
        <w:rPr>
          <w:rFonts w:ascii="Times New Roman" w:cs="Times New Roman" w:eastAsia="Times New Roman" w:hAnsi="Times New Roman"/>
          <w:sz w:val="18"/>
          <w:szCs w:val="18"/>
          <w:color w:val="auto"/>
        </w:rPr>
      </w:pPr>
    </w:p>
    <w:p>
      <w:pPr>
        <w:ind w:left="4" w:firstLine="987"/>
        <w:spacing w:after="0" w:line="266" w:lineRule="auto"/>
        <w:tabs>
          <w:tab w:leader="none" w:pos="1385"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5"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375"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w:t>
      </w:r>
    </w:p>
    <w:p>
      <w:pPr>
        <w:spacing w:after="0" w:line="3" w:lineRule="exact"/>
        <w:rPr>
          <w:rFonts w:ascii="Times New Roman" w:cs="Times New Roman" w:eastAsia="Times New Roman" w:hAnsi="Times New Roman"/>
          <w:sz w:val="18"/>
          <w:szCs w:val="18"/>
          <w:color w:val="auto"/>
        </w:rPr>
      </w:pPr>
    </w:p>
    <w:p>
      <w:pPr>
        <w:ind w:left="4" w:right="20" w:hanging="4"/>
        <w:spacing w:after="0" w:line="251" w:lineRule="auto"/>
        <w:tabs>
          <w:tab w:leader="none" w:pos="31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14(c), the Administrator will not be required to treat all Awards or Participants, all Awards held by a Participant, or all Awards of the same type, similarly in the transaction.</w:t>
      </w:r>
    </w:p>
    <w:p>
      <w:pPr>
        <w:spacing w:after="0" w:line="193" w:lineRule="exact"/>
        <w:rPr>
          <w:sz w:val="20"/>
          <w:szCs w:val="20"/>
          <w:color w:val="auto"/>
        </w:rPr>
      </w:pPr>
    </w:p>
    <w:p>
      <w:pPr>
        <w:jc w:val="both"/>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(or portion thereof), the Participant will fully vest in and have the right to exercise such outstanding Option and Stock Appreciation Right not so assumed or substituted for, including Shares as to which such Award</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377" w:name="page378"/>
    <w:bookmarkEnd w:id="37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would not otherwise be vested or exercisable, all restrictions on such Restricted Stock and Restricted Stock Units not so assumed or substituted for will lapse, and, with respect to such Awards with performance-based vesting, all performance goals or other vesting criteria will be deemed achieved at one hundred percent (100%) of target levels and all other terms and conditions met, in all cases, unless specifically provided otherwise under the applicable Award Agreement or other written agreement between the Participant and the Company or any of its Subsidiaries or Parents, as applicable. In addition, if an Option or Stock Appreciation Right is not assumed or substituted in the event of a merger or Change in Control, the Administrator will notify the Participant in writing or electronically that such Option or Stock Appreciation Right not so assumed or substituted for will be exercisable for a period of time determined by the Administrator in its sole discretion, and the Option or Stock Appreciation Right will terminate upon the expiration of such period.</w:t>
      </w:r>
    </w:p>
    <w:p>
      <w:pPr>
        <w:spacing w:after="0" w:line="19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For the purposes of this subsection (c),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188"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Section 14(c) to the contrary, and unless otherwise provided in an Award Agreement,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0" w:lineRule="exact"/>
        <w:rPr>
          <w:sz w:val="20"/>
          <w:szCs w:val="20"/>
          <w:color w:val="auto"/>
        </w:rPr>
      </w:pPr>
    </w:p>
    <w:p>
      <w:pPr>
        <w:jc w:val="both"/>
        <w:ind w:right="80" w:firstLine="991"/>
        <w:spacing w:after="0" w:line="281" w:lineRule="auto"/>
        <w:rPr>
          <w:sz w:val="20"/>
          <w:szCs w:val="20"/>
          <w:color w:val="auto"/>
        </w:rPr>
      </w:pPr>
      <w:r>
        <w:rPr>
          <w:rFonts w:ascii="Times New Roman" w:cs="Times New Roman" w:eastAsia="Times New Roman" w:hAnsi="Times New Roman"/>
          <w:sz w:val="17"/>
          <w:szCs w:val="17"/>
          <w:color w:val="auto"/>
        </w:rPr>
        <w:t>Notwithstanding anything in this Section 14(c)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spacing w:after="0" w:line="164" w:lineRule="exact"/>
        <w:rPr>
          <w:sz w:val="20"/>
          <w:szCs w:val="20"/>
          <w:color w:val="auto"/>
        </w:rPr>
      </w:pPr>
    </w:p>
    <w:p>
      <w:pPr>
        <w:ind w:right="20" w:firstLine="987"/>
        <w:spacing w:after="0" w:line="256" w:lineRule="auto"/>
        <w:tabs>
          <w:tab w:leader="none" w:pos="1381"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Director Awards</w:t>
      </w:r>
      <w:r>
        <w:rPr>
          <w:rFonts w:ascii="Times New Roman" w:cs="Times New Roman" w:eastAsia="Times New Roman" w:hAnsi="Times New Roman"/>
          <w:sz w:val="18"/>
          <w:szCs w:val="18"/>
          <w:color w:val="auto"/>
        </w:rPr>
        <w:t>. In the event of a Change in Control, with respect to Awards granted to an Outside Director, the Outside Director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the Company or any of its Subsidiaries or Parents, as applicable.</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0940"/>
          </w:cols>
          <w:pgMar w:left="440" w:top="270" w:right="519" w:bottom="1440" w:gutter="0" w:footer="0" w:header="0"/>
        </w:sectPr>
      </w:pPr>
    </w:p>
    <w:bookmarkStart w:id="378" w:name="page379"/>
    <w:bookmarkEnd w:id="378"/>
    <w:p>
      <w:pPr>
        <w:ind w:left="404" w:hanging="404"/>
        <w:spacing w:after="0"/>
        <w:tabs>
          <w:tab w:leader="none" w:pos="40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36" w:right="40" w:firstLine="987"/>
        <w:spacing w:after="0" w:line="261" w:lineRule="auto"/>
        <w:tabs>
          <w:tab w:leader="none" w:pos="93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U.S. federal, state, or local taxes, non-U.S. taxes, or other taxes (including the Participant’s FICA or other social insurance contribution obligation) required to be withheld with respect to such Award (or exercise thereof).</w:t>
      </w:r>
    </w:p>
    <w:p>
      <w:pPr>
        <w:spacing w:after="0" w:line="179" w:lineRule="exact"/>
        <w:rPr>
          <w:rFonts w:ascii="Times New Roman" w:cs="Times New Roman" w:eastAsia="Times New Roman" w:hAnsi="Times New Roman"/>
          <w:sz w:val="18"/>
          <w:szCs w:val="18"/>
          <w:color w:val="auto"/>
        </w:rPr>
      </w:pPr>
    </w:p>
    <w:p>
      <w:pPr>
        <w:ind w:left="-436" w:right="80" w:firstLine="987"/>
        <w:spacing w:after="0" w:line="253" w:lineRule="auto"/>
        <w:tabs>
          <w:tab w:leader="none" w:pos="945"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withholding obligation, in whole or in part by (without limitation) (i) paying cash, check or other cash equivalents, (ii)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(e) any combination of the foregoing methods of payment. The fair market value of the Shares to be withheld or delivered will be determined as of the date that the taxes are required to be withheld.</w:t>
      </w:r>
    </w:p>
    <w:p>
      <w:pPr>
        <w:spacing w:after="0" w:line="194" w:lineRule="exact"/>
        <w:rPr>
          <w:rFonts w:ascii="Times New Roman" w:cs="Times New Roman" w:eastAsia="Times New Roman" w:hAnsi="Times New Roman"/>
          <w:sz w:val="18"/>
          <w:szCs w:val="18"/>
          <w:color w:val="auto"/>
        </w:rPr>
      </w:pPr>
    </w:p>
    <w:p>
      <w:pPr>
        <w:ind w:left="-436" w:firstLine="987"/>
        <w:spacing w:after="0" w:line="254" w:lineRule="auto"/>
        <w:tabs>
          <w:tab w:leader="none" w:pos="93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obligation under the terms of this Plan to reimburse, indemnify, or hold harmless a Participant for any taxes, interest or penalties imposed, or other costs incurred, as a result of Section 409A.</w:t>
      </w:r>
    </w:p>
    <w:p>
      <w:pPr>
        <w:spacing w:after="0" w:line="188" w:lineRule="exact"/>
        <w:rPr>
          <w:rFonts w:ascii="Times New Roman" w:cs="Times New Roman" w:eastAsia="Times New Roman" w:hAnsi="Times New Roman"/>
          <w:sz w:val="18"/>
          <w:szCs w:val="18"/>
          <w:color w:val="auto"/>
        </w:rPr>
      </w:pPr>
    </w:p>
    <w:p>
      <w:pPr>
        <w:jc w:val="both"/>
        <w:ind w:left="-436" w:right="60" w:firstLine="436"/>
        <w:spacing w:after="0" w:line="266" w:lineRule="auto"/>
        <w:tabs>
          <w:tab w:leader="none" w:pos="40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nor will they interfere in any way with the Participant’s right or the right of the Company (or any Parent or Subsidiary of the Company) to terminate such relationship at any time, with or without cause, to the extent permitted by Applicable Laws.</w:t>
      </w:r>
    </w:p>
    <w:p>
      <w:pPr>
        <w:spacing w:after="0" w:line="108"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0564"/>
          </w:cols>
          <w:pgMar w:left="876" w:top="270" w:right="459" w:bottom="1440" w:gutter="0" w:footer="0" w:header="0"/>
        </w:sectPr>
      </w:pPr>
    </w:p>
    <w:bookmarkStart w:id="379" w:name="page380"/>
    <w:bookmarkEnd w:id="379"/>
    <w:p>
      <w:pPr>
        <w:ind w:left="4" w:firstLine="436"/>
        <w:spacing w:after="0" w:line="266" w:lineRule="auto"/>
        <w:tabs>
          <w:tab w:leader="none" w:pos="849"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5"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Subject to Section 23 of the Plan, the Plan will become effective upon the later to occur of (i) its adoption by the Board or</w:t>
      </w:r>
    </w:p>
    <w:p>
      <w:pPr>
        <w:spacing w:after="0" w:line="27" w:lineRule="exact"/>
        <w:rPr>
          <w:rFonts w:ascii="Times New Roman" w:cs="Times New Roman" w:eastAsia="Times New Roman" w:hAnsi="Times New Roman"/>
          <w:sz w:val="18"/>
          <w:szCs w:val="18"/>
          <w:color w:val="auto"/>
        </w:rPr>
      </w:pPr>
    </w:p>
    <w:p>
      <w:pPr>
        <w:ind w:left="4" w:right="280" w:hanging="4"/>
        <w:spacing w:after="0" w:line="260" w:lineRule="auto"/>
        <w:tabs>
          <w:tab w:leader="none" w:pos="26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day immediately prior to the Registration Date. It will continue in effect until terminated earlier under Section 19 of the Plan, but no Incentive Stock Options may be granted after 10 years from the date the Plan is adopted by the Board.</w:t>
      </w:r>
    </w:p>
    <w:p>
      <w:pPr>
        <w:spacing w:after="0" w:line="289"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Administrator may at any time amend, alter, suspend or terminate the Plan.</w:t>
      </w:r>
    </w:p>
    <w:p>
      <w:pPr>
        <w:spacing w:after="0" w:line="225"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385"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61" w:lineRule="exact"/>
        <w:rPr>
          <w:rFonts w:ascii="Times New Roman" w:cs="Times New Roman" w:eastAsia="Times New Roman" w:hAnsi="Times New Roman"/>
          <w:sz w:val="18"/>
          <w:szCs w:val="18"/>
          <w:color w:val="auto"/>
        </w:rPr>
      </w:pPr>
    </w:p>
    <w:p>
      <w:pPr>
        <w:ind w:left="4" w:right="320" w:firstLine="987"/>
        <w:spacing w:after="0" w:line="261" w:lineRule="auto"/>
        <w:tabs>
          <w:tab w:leader="none" w:pos="1375"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287"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375"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spacing w:after="0" w:line="175"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385"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75" w:lineRule="exact"/>
        <w:rPr>
          <w:rFonts w:ascii="Times New Roman" w:cs="Times New Roman" w:eastAsia="Times New Roman" w:hAnsi="Times New Roman"/>
          <w:sz w:val="18"/>
          <w:szCs w:val="18"/>
          <w:color w:val="auto"/>
        </w:rPr>
      </w:pPr>
    </w:p>
    <w:p>
      <w:pPr>
        <w:ind w:left="4" w:firstLine="436"/>
        <w:spacing w:after="0" w:line="255" w:lineRule="auto"/>
        <w:tabs>
          <w:tab w:leader="none" w:pos="849"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If the Company determines it to be impossible or impractical to obtain authority from any regulatory body having jurisdiction or to complete or comply with the requirements of any registration or other qualification of the Shares under any U.S. federal or state law, any non-U.S. law, or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2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3"/>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0984"/>
          </w:cols>
          <w:pgMar w:left="436" w:top="270" w:right="479" w:bottom="1440" w:gutter="0" w:footer="0" w:header="0"/>
        </w:sectPr>
      </w:pPr>
    </w:p>
    <w:bookmarkStart w:id="380" w:name="page381"/>
    <w:bookmarkEnd w:id="380"/>
    <w:p>
      <w:pPr>
        <w:ind w:left="800" w:hanging="404"/>
        <w:spacing w:after="0"/>
        <w:tabs>
          <w:tab w:leader="none" w:pos="8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Forfeiture Events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 w:right="40" w:firstLine="987"/>
        <w:spacing w:after="0" w:line="254" w:lineRule="auto"/>
        <w:tabs>
          <w:tab w:leader="none" w:pos="1321"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under the Plan will be subject to recoupment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22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or Parent of the Company.</w:t>
      </w:r>
    </w:p>
    <w:p>
      <w:pPr>
        <w:spacing w:after="0" w:line="191" w:lineRule="exact"/>
        <w:rPr>
          <w:rFonts w:ascii="Times New Roman" w:cs="Times New Roman" w:eastAsia="Times New Roman" w:hAnsi="Times New Roman"/>
          <w:sz w:val="18"/>
          <w:szCs w:val="18"/>
          <w:color w:val="auto"/>
        </w:rPr>
      </w:pPr>
    </w:p>
    <w:p>
      <w:pPr>
        <w:ind w:left="-40" w:right="20" w:firstLine="987"/>
        <w:spacing w:after="0" w:line="258" w:lineRule="auto"/>
        <w:tabs>
          <w:tab w:leader="none" w:pos="1338"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183" w:lineRule="exact"/>
        <w:rPr>
          <w:rFonts w:ascii="Times New Roman" w:cs="Times New Roman" w:eastAsia="Times New Roman" w:hAnsi="Times New Roman"/>
          <w:sz w:val="18"/>
          <w:szCs w:val="18"/>
          <w:color w:val="auto"/>
        </w:rPr>
      </w:pPr>
    </w:p>
    <w:p>
      <w:pPr>
        <w:ind w:left="-40" w:firstLine="436"/>
        <w:spacing w:after="0" w:line="282" w:lineRule="auto"/>
        <w:tabs>
          <w:tab w:leader="none" w:pos="80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62" w:lineRule="exact"/>
        <w:rPr>
          <w:sz w:val="20"/>
          <w:szCs w:val="20"/>
          <w:color w:val="auto"/>
        </w:rPr>
      </w:pPr>
    </w:p>
    <w:p>
      <w:pPr>
        <w:ind w:left="4580"/>
        <w:spacing w:after="0"/>
        <w:tabs>
          <w:tab w:leader="none" w:pos="5380" w:val="left"/>
          <w:tab w:leader="none" w:pos="6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80" w:top="270" w:right="499" w:bottom="1440" w:gutter="0" w:footer="0" w:header="0"/>
        </w:sectPr>
      </w:pPr>
    </w:p>
    <w:bookmarkStart w:id="381" w:name="page382"/>
    <w:bookmarkEnd w:id="381"/>
    <w:p>
      <w:pPr>
        <w:ind w:left="4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PMV PHARMACEUTICALS, INC.</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07"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Unless otherwise defined herein, the terms defined in the PMV Pharmaceuticals, Inc. 2020 Equity Incentive Plan (the “Plan”) will have the same defined meanings in this Stock Option Agreement which includes the Notice of Stock Option Grant, the Terms and Conditions of Stock Option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appendices and exhibits attached thereto (all together, the “Option Agreement”).</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undersigned Participant has been granted an Option to purchase Common Stock of PMV Pharmaceuticals, Inc. (the “Company”), subject to the terms and conditions of the Plan and this Option Agreement, as follows:</w:t>
      </w:r>
    </w:p>
    <w:p>
      <w:pPr>
        <w:sectPr>
          <w:pgSz w:w="11900" w:h="16838" w:orient="portrait"/>
          <w:cols w:equalWidth="0" w:num="1">
            <w:col w:w="10900"/>
          </w:cols>
          <w:pgMar w:left="440" w:top="266" w:right="559" w:bottom="1440" w:gutter="0" w:footer="0" w:header="0"/>
        </w:sectPr>
      </w:pP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Grant Number: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of Grant: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Number of Shares Granted: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Type of Option:</w:t>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Term/Expiration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-830580</wp:posOffset>
            </wp:positionV>
            <wp:extent cx="21424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5">
                      <a:extLst>
                        <a:ext uri="{28A0092B-C50C-407E-A947-70E740481C1C}"/>
                      </a:extLst>
                    </a:blip>
                    <a:srcRect/>
                    <a:stretch>
                      <a:fillRect/>
                    </a:stretch>
                  </pic:blipFill>
                  <pic:spPr bwMode="auto">
                    <a:xfrm>
                      <a:off x="0" y="0"/>
                      <a:ext cx="21424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-624840</wp:posOffset>
            </wp:positionV>
            <wp:extent cx="21424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6">
                      <a:extLst>
                        <a:ext uri="{28A0092B-C50C-407E-A947-70E740481C1C}"/>
                      </a:extLst>
                    </a:blip>
                    <a:srcRect/>
                    <a:stretch>
                      <a:fillRect/>
                    </a:stretch>
                  </pic:blipFill>
                  <pic:spPr bwMode="auto">
                    <a:xfrm>
                      <a:off x="0" y="0"/>
                      <a:ext cx="21424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-419100</wp:posOffset>
            </wp:positionV>
            <wp:extent cx="21424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7">
                      <a:extLst>
                        <a:ext uri="{28A0092B-C50C-407E-A947-70E740481C1C}"/>
                      </a:extLst>
                    </a:blip>
                    <a:srcRect/>
                    <a:stretch>
                      <a:fillRect/>
                    </a:stretch>
                  </pic:blipFill>
                  <pic:spPr bwMode="auto">
                    <a:xfrm>
                      <a:off x="0" y="0"/>
                      <a:ext cx="21424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-213360</wp:posOffset>
            </wp:positionV>
            <wp:extent cx="21424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8">
                      <a:extLst>
                        <a:ext uri="{28A0092B-C50C-407E-A947-70E740481C1C}"/>
                      </a:extLst>
                    </a:blip>
                    <a:srcRect/>
                    <a:stretch>
                      <a:fillRect/>
                    </a:stretch>
                  </pic:blipFill>
                  <pic:spPr bwMode="auto">
                    <a:xfrm>
                      <a:off x="0" y="0"/>
                      <a:ext cx="2142490" cy="8890"/>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-7620</wp:posOffset>
            </wp:positionV>
            <wp:extent cx="208534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9">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-7620</wp:posOffset>
            </wp:positionV>
            <wp:extent cx="208534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0">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 Incentive Stock Option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21424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1">
                      <a:extLst>
                        <a:ext uri="{28A0092B-C50C-407E-A947-70E740481C1C}"/>
                      </a:extLst>
                    </a:blip>
                    <a:srcRect/>
                    <a:stretch>
                      <a:fillRect/>
                    </a:stretch>
                  </pic:blipFill>
                  <pic:spPr bwMode="auto">
                    <a:xfrm>
                      <a:off x="0" y="0"/>
                      <a:ext cx="2142490" cy="8890"/>
                    </a:xfrm>
                    <a:prstGeom prst="rect">
                      <a:avLst/>
                    </a:prstGeom>
                    <a:noFill/>
                  </pic:spPr>
                </pic:pic>
              </a:graphicData>
            </a:graphic>
          </wp:anchor>
        </w:drawing>
      </w:r>
    </w:p>
    <w:p>
      <w:pPr>
        <w:spacing w:after="0" w:line="956" w:lineRule="exact"/>
        <w:rPr>
          <w:sz w:val="20"/>
          <w:szCs w:val="20"/>
          <w:color w:val="auto"/>
        </w:rPr>
      </w:pPr>
    </w:p>
    <w:p>
      <w:pPr>
        <w:sectPr>
          <w:pgSz w:w="11900" w:h="16838" w:orient="portrait"/>
          <w:cols w:equalWidth="0" w:num="2">
            <w:col w:w="5220" w:space="720"/>
            <w:col w:w="4960"/>
          </w:cols>
          <w:pgMar w:left="440" w:top="266" w:right="559" w:bottom="1440" w:gutter="0" w:footer="0" w:header="0"/>
          <w:type w:val="continuous"/>
        </w:sectPr>
      </w:pPr>
    </w:p>
    <w:p>
      <w:pPr>
        <w:spacing w:after="0" w:line="25"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Subject to any accelerated vesting as set forth below or in the Plan, this Option will be scheduled to vest in accordance with the following schedule: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[Twenty-five percent (25%) of the Shares subject to the Option will be scheduled to vest on the one (1) year anniversary of the Vesting Commencement Date, and one forty-eighth (1/48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of the Shares subject to the Option will be scheduled to vest each month thereafter on the same day of the month as the Vesting Commencement Date (and if there is no corresponding day, on the last day of the month), subject to Participant continuing to be a Service Provider through each such date.]</w:t>
      </w:r>
    </w:p>
    <w:p>
      <w:pPr>
        <w:sectPr>
          <w:pgSz w:w="11900" w:h="16838" w:orient="portrait"/>
          <w:cols w:equalWidth="0" w:num="1">
            <w:col w:w="10900"/>
          </w:cols>
          <w:pgMar w:left="440" w:top="266" w:right="559" w:bottom="1440" w:gutter="0" w:footer="0" w:header="0"/>
          <w:type w:val="continuous"/>
        </w:sectPr>
      </w:pPr>
    </w:p>
    <w:bookmarkStart w:id="382" w:name="page383"/>
    <w:bookmarkEnd w:id="382"/>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the vesting of the Option shall be subject to any vesting acceleration provisions applicable to the Option contained in any employment or service agreement, offer letter, change in control severance agreement, change of control severance policy, or any other agreement that, prior to and effective as of the date of this Option Agreement, has been entered into between Participant and the Company or any parent or subsidiary corporation of the Company (such agreement, a “Separate Agreement”) to the extent not otherwise duplicative of the vesting terms described above.</w:t>
      </w:r>
    </w:p>
    <w:p>
      <w:pPr>
        <w:spacing w:after="0" w:line="29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Termination Period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the event of cessation of Participant’s status as a Service Provider, this Option will be exercisable, to the extent vested, for a period of three</w:t>
      </w:r>
    </w:p>
    <w:p>
      <w:pPr>
        <w:spacing w:after="0" w:line="27" w:lineRule="exact"/>
        <w:rPr>
          <w:sz w:val="20"/>
          <w:szCs w:val="20"/>
          <w:color w:val="auto"/>
        </w:rPr>
      </w:pPr>
    </w:p>
    <w:p>
      <w:pPr>
        <w:ind w:left="4" w:hanging="4"/>
        <w:spacing w:after="0" w:line="253" w:lineRule="auto"/>
        <w:tabs>
          <w:tab w:leader="none" w:pos="25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Participant ceases to be a Service Provider, unless such termination is due to Participant’s death or Disability, in which case this Option will be exercisable, to the extent vested, for a period of twelve (12) months after Participant ceases to be a Service Provider. Notwithstanding the foregoing sentence, in no event may this Option be exercised after the Term/Expiration Date as provided above and may be subject to earlier termination as provided in Section 14 of the Plan.</w:t>
      </w:r>
    </w:p>
    <w:p>
      <w:pPr>
        <w:spacing w:after="0" w:line="189"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this Option Agreement. Participant hereby agrees to accept as binding, conclusive, and final all decisions or interpretations of the Administrator upon any questions relating to the Plan and the Option Agreement. Participant further agrees to notify the Company upon any change in the residence address indicated below.</w:t>
      </w:r>
    </w:p>
    <w:p>
      <w:pPr>
        <w:spacing w:after="0" w:line="216" w:lineRule="exact"/>
        <w:rPr>
          <w:sz w:val="20"/>
          <w:szCs w:val="20"/>
          <w:color w:val="auto"/>
        </w:rPr>
      </w:pPr>
    </w:p>
    <w:p>
      <w:pPr>
        <w:ind w:left="4"/>
        <w:spacing w:after="0"/>
        <w:tabs>
          <w:tab w:leader="none" w:pos="6264" w:val="left"/>
        </w:tabs>
        <w:rPr>
          <w:sz w:val="20"/>
          <w:szCs w:val="20"/>
          <w:color w:val="auto"/>
        </w:rPr>
      </w:pPr>
      <w:r>
        <w:rPr>
          <w:rFonts w:ascii="Times New Roman" w:cs="Times New Roman" w:eastAsia="Times New Roman" w:hAnsi="Times New Roman"/>
          <w:sz w:val="18"/>
          <w:szCs w:val="18"/>
          <w:color w:val="auto"/>
        </w:rPr>
        <w:t>PARTICIPANT</w:t>
      </w:r>
      <w:r>
        <w:rPr>
          <w:sz w:val="20"/>
          <w:szCs w:val="20"/>
          <w:color w:val="auto"/>
        </w:rPr>
        <w:tab/>
      </w:r>
      <w:r>
        <w:rPr>
          <w:rFonts w:ascii="Times New Roman" w:cs="Times New Roman" w:eastAsia="Times New Roman" w:hAnsi="Times New Roman"/>
          <w:sz w:val="18"/>
          <w:szCs w:val="18"/>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69951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30861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Print Name</w:t>
      </w:r>
    </w:p>
    <w:p>
      <w:pPr>
        <w:spacing w:after="0" w:line="200" w:lineRule="exact"/>
        <w:rPr>
          <w:sz w:val="20"/>
          <w:szCs w:val="20"/>
          <w:color w:val="auto"/>
        </w:rPr>
      </w:pP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30861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5">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445770</wp:posOffset>
            </wp:positionV>
            <wp:extent cx="30861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291465</wp:posOffset>
            </wp:positionV>
            <wp:extent cx="300037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300037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8">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415" w:lineRule="exact"/>
        <w:rPr>
          <w:sz w:val="20"/>
          <w:szCs w:val="20"/>
          <w:color w:val="auto"/>
        </w:rPr>
      </w:pPr>
    </w:p>
    <w:p>
      <w:pPr>
        <w:sectPr>
          <w:pgSz w:w="11900" w:h="16838" w:orient="portrait"/>
          <w:cols w:equalWidth="0" w:num="2">
            <w:col w:w="5564" w:space="720"/>
            <w:col w:w="4720"/>
          </w:cols>
          <w:pgMar w:left="436" w:top="27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7"/>
          <w:szCs w:val="17"/>
          <w:color w:val="auto"/>
        </w:rPr>
        <w:t>- 2 -</w:t>
      </w:r>
    </w:p>
    <w:p>
      <w:pPr>
        <w:sectPr>
          <w:pgSz w:w="11900" w:h="16838" w:orient="portrait"/>
          <w:cols w:equalWidth="0" w:num="1">
            <w:col w:w="11004"/>
          </w:cols>
          <w:pgMar w:left="436" w:top="270" w:right="459" w:bottom="1440" w:gutter="0" w:footer="0" w:header="0"/>
          <w:type w:val="continuous"/>
        </w:sectPr>
      </w:pPr>
    </w:p>
    <w:bookmarkStart w:id="383" w:name="page384"/>
    <w:bookmarkEnd w:id="3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STOCK OPTION GRANT</w:t>
      </w:r>
    </w:p>
    <w:p>
      <w:pPr>
        <w:spacing w:after="0" w:line="229" w:lineRule="exact"/>
        <w:rPr>
          <w:sz w:val="20"/>
          <w:szCs w:val="20"/>
          <w:color w:val="auto"/>
        </w:rPr>
      </w:pPr>
    </w:p>
    <w:p>
      <w:pPr>
        <w:ind w:left="760" w:hanging="324"/>
        <w:spacing w:after="0"/>
        <w:tabs>
          <w:tab w:leader="none" w:pos="7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58" w:lineRule="auto"/>
        <w:tabs>
          <w:tab w:leader="none" w:pos="1368"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grants to the individual (“Participant”) named in the Notice of Stock Option Grant of this Option Agreement (the “Notice of Grant”) an option (the “Option”) to purchase the number of Shares set forth in the Notice of Grant, at the exercise price per Share set forth in the Notice of Grant (the “Exercise Price”), subject to all of the terms and conditions in this Option Agreement and the Plan, which is incorporated herein by this reference. Subject to Section 19(c) of the Plan, in the event of a conflict between the terms and conditions of the Plan and the terms and conditions of this Option Agreement, the terms and conditions of the Plan will prevail.</w:t>
      </w:r>
    </w:p>
    <w:p>
      <w:pPr>
        <w:spacing w:after="0" w:line="183" w:lineRule="exact"/>
        <w:rPr>
          <w:rFonts w:ascii="Times New Roman" w:cs="Times New Roman" w:eastAsia="Times New Roman" w:hAnsi="Times New Roman"/>
          <w:sz w:val="18"/>
          <w:szCs w:val="18"/>
          <w:color w:val="auto"/>
        </w:rPr>
      </w:pPr>
    </w:p>
    <w:p>
      <w:pPr>
        <w:ind w:right="60" w:firstLine="987"/>
        <w:spacing w:after="0" w:line="255" w:lineRule="auto"/>
        <w:tabs>
          <w:tab w:leader="none" w:pos="1381"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taxpayers, the Option will be designated as either an Incentive Stock Option (“ISO”) or a Nonstatutory Stock Option (“NSO”). If designated in the Notice of Grant as an ISO, this Option is intended to qualify as an ISO under Section 422 of the Internal Revenue Code of 1986, as amended (the “Code”). However, if this Option is intended to be an ISO, to the extent that it exceeds the $100,000 rule of Code Section 422(d) it will be treated as an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188"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non-U.S. taxpayers, the Option will be designated as an NSO.</w:t>
      </w:r>
    </w:p>
    <w:p>
      <w:pPr>
        <w:spacing w:after="0" w:line="225" w:lineRule="exact"/>
        <w:rPr>
          <w:rFonts w:ascii="Times New Roman" w:cs="Times New Roman" w:eastAsia="Times New Roman" w:hAnsi="Times New Roman"/>
          <w:sz w:val="18"/>
          <w:szCs w:val="18"/>
          <w:color w:val="auto"/>
        </w:rPr>
      </w:pPr>
    </w:p>
    <w:p>
      <w:pPr>
        <w:ind w:right="180" w:firstLine="436"/>
        <w:spacing w:after="0" w:line="261" w:lineRule="auto"/>
        <w:tabs>
          <w:tab w:leader="none" w:pos="7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3, the Option awarded by this Option Agreement will vest in accordance with the vesting provisions set forth in the Notice of Grant. Shares scheduled to vest on a certain date or upon the occurrence of a certain condition will not vest in Participant in accordance with any of the provisions of this Option Agreement, unless Participant will have been continuously a Service Provider from the Date of Grant until the date such vesting occurs.</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7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320" w:firstLine="987"/>
        <w:spacing w:after="0" w:line="266" w:lineRule="auto"/>
        <w:tabs>
          <w:tab w:leader="none" w:pos="1371"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may be exercised only within the term set out in the Notice of Grant, and may be exercised during such term only in accordance with the Vesting Schedule set out in the Notice of Option Grant and with the applicable provisions of the Plan and the terms of this Option Agreement.</w:t>
      </w:r>
    </w:p>
    <w:p>
      <w:pPr>
        <w:spacing w:after="0" w:line="175" w:lineRule="exact"/>
        <w:rPr>
          <w:rFonts w:ascii="Times New Roman" w:cs="Times New Roman" w:eastAsia="Times New Roman" w:hAnsi="Times New Roman"/>
          <w:sz w:val="18"/>
          <w:szCs w:val="18"/>
          <w:color w:val="auto"/>
        </w:rPr>
      </w:pPr>
    </w:p>
    <w:p>
      <w:pPr>
        <w:ind w:right="420" w:firstLine="987"/>
        <w:spacing w:after="0" w:line="282" w:lineRule="auto"/>
        <w:tabs>
          <w:tab w:leader="none" w:pos="1381"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This Option is exercisable by delivery of an exercise notice (the “Exercise Notice”)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Notice of Grant or in a manner</w:t>
      </w:r>
    </w:p>
    <w:p>
      <w:pPr>
        <w:sectPr>
          <w:pgSz w:w="11900" w:h="16838" w:orient="portrait"/>
          <w:cols w:equalWidth="0" w:num="1">
            <w:col w:w="11000"/>
          </w:cols>
          <w:pgMar w:left="440" w:top="266" w:right="459" w:bottom="1440" w:gutter="0" w:footer="0" w:header="0"/>
        </w:sectPr>
      </w:pPr>
    </w:p>
    <w:bookmarkStart w:id="384" w:name="page385"/>
    <w:bookmarkEnd w:id="384"/>
    <w:p>
      <w:pPr>
        <w:ind w:right="2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and of any Tax Obligations (as defined in Section 6(a)). This Option will be deemed to be exercised upon receipt by the Company of such fully executed Exercise Notice accompanied by the aggregate Exercise Price, together with any applicable Tax Obligations.</w:t>
      </w:r>
    </w:p>
    <w:p>
      <w:pPr>
        <w:spacing w:after="0" w:line="187" w:lineRule="exact"/>
        <w:rPr>
          <w:sz w:val="20"/>
          <w:szCs w:val="20"/>
          <w:color w:val="auto"/>
        </w:rPr>
      </w:pPr>
    </w:p>
    <w:p>
      <w:pPr>
        <w:ind w:right="340" w:firstLine="436"/>
        <w:spacing w:after="0" w:line="282" w:lineRule="auto"/>
        <w:tabs>
          <w:tab w:leader="none" w:pos="75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aggregate Exercise Price will be by any of the following, or a combination thereof, at the election of Participant:</w:t>
      </w:r>
    </w:p>
    <w:p>
      <w:pPr>
        <w:spacing w:after="0" w:line="161"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received by the Company under a formal cashless exercise program adopted by the Company in connection with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or</w:t>
      </w:r>
    </w:p>
    <w:p>
      <w:pPr>
        <w:spacing w:after="0" w:line="206" w:lineRule="exact"/>
        <w:rPr>
          <w:rFonts w:ascii="Times New Roman" w:cs="Times New Roman" w:eastAsia="Times New Roman" w:hAnsi="Times New Roman"/>
          <w:sz w:val="18"/>
          <w:szCs w:val="18"/>
          <w:color w:val="auto"/>
        </w:rPr>
      </w:pPr>
    </w:p>
    <w:p>
      <w:pPr>
        <w:ind w:right="220" w:firstLine="987"/>
        <w:spacing w:after="0" w:line="289" w:lineRule="auto"/>
        <w:tabs>
          <w:tab w:leader="none" w:pos="1381"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Participant is a U.S. employee, surrender of other Shares which have a Fair Market Value on the date of surrender equal to the aggregate Exercise Price of the Exercised Shares and that are owned free and clear of any liens, claims, encumbrances, or security interests, provided that accepting such Shares, in the sole discretion of the Administrator, will not result in any adverse accounting consequences to the Company.</w:t>
      </w:r>
    </w:p>
    <w:p>
      <w:pPr>
        <w:spacing w:after="0" w:line="157" w:lineRule="exact"/>
        <w:rPr>
          <w:rFonts w:ascii="Times New Roman" w:cs="Times New Roman" w:eastAsia="Times New Roman" w:hAnsi="Times New Roman"/>
          <w:sz w:val="17"/>
          <w:szCs w:val="17"/>
          <w:color w:val="auto"/>
        </w:rPr>
      </w:pPr>
    </w:p>
    <w:p>
      <w:pPr>
        <w:ind w:left="760" w:hanging="324"/>
        <w:spacing w:after="0"/>
        <w:tabs>
          <w:tab w:leader="none" w:pos="7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3" w:lineRule="auto"/>
        <w:tabs>
          <w:tab w:leader="none" w:pos="1371"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 Participant acknowledges that, regardless of any action taken by the Company or, if different, Participant’s employer (the “Employer”) or any Parent or Subsidiary to which Participant is providing services (together, the Company, Employer and/or Parent or Subsidiary to which Participant is providing services, the “Service Recipient”), the ultimate liability for any tax and/or social insurance liability obligations and requirements in connection with the Option, including, without limitation, (i) all federal, state, and local taxes (including the Participant’s Federal Insurance Contributions Act (FICA) obligation) that are required to be withheld by the Company or the Service Recipient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exercise of the Option or sale of Shares, and (iii) any other Company (or Service Recipient) taxes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w:t>
      </w:r>
    </w:p>
    <w:p>
      <w:pPr>
        <w:spacing w:after="0" w:line="119"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60"/>
          </w:cols>
          <w:pgMar w:left="440" w:top="270" w:right="499" w:bottom="1440" w:gutter="0" w:footer="0" w:header="0"/>
        </w:sectPr>
      </w:pPr>
    </w:p>
    <w:bookmarkStart w:id="385" w:name="page386"/>
    <w:bookmarkEnd w:id="385"/>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(B)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87" w:lineRule="exact"/>
        <w:rPr>
          <w:sz w:val="20"/>
          <w:szCs w:val="20"/>
          <w:color w:val="auto"/>
        </w:rPr>
      </w:pPr>
    </w:p>
    <w:p>
      <w:pPr>
        <w:ind w:firstLine="987"/>
        <w:spacing w:after="0" w:line="267" w:lineRule="auto"/>
        <w:tabs>
          <w:tab w:leader="none" w:pos="1381"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 When the Option is exercised,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 (iv) delivering to the Company already vested and owned Shares having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Administrator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200" w:lineRule="exact"/>
        <w:rPr>
          <w:rFonts w:ascii="Times New Roman" w:cs="Times New Roman" w:eastAsia="Times New Roman" w:hAnsi="Times New Roman"/>
          <w:sz w:val="17"/>
          <w:szCs w:val="17"/>
          <w:color w:val="auto"/>
        </w:rPr>
      </w:pPr>
    </w:p>
    <w:p>
      <w:pPr>
        <w:spacing w:after="0" w:line="205" w:lineRule="exact"/>
        <w:rPr>
          <w:rFonts w:ascii="Times New Roman" w:cs="Times New Roman" w:eastAsia="Times New Roman" w:hAnsi="Times New Roman"/>
          <w:sz w:val="17"/>
          <w:szCs w:val="17"/>
          <w:color w:val="auto"/>
        </w:rPr>
      </w:pPr>
    </w:p>
    <w:p>
      <w:pPr>
        <w:ind w:right="40" w:firstLine="987"/>
        <w:spacing w:after="0" w:line="261" w:lineRule="auto"/>
        <w:tabs>
          <w:tab w:leader="none" w:pos="1371"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Disqualifying Disposition of ISO Shares</w:t>
      </w:r>
      <w:r>
        <w:rPr>
          <w:rFonts w:ascii="Times New Roman" w:cs="Times New Roman" w:eastAsia="Times New Roman" w:hAnsi="Times New Roman"/>
          <w:sz w:val="18"/>
          <w:szCs w:val="18"/>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immediately will notify the Company in writing of such disposition. Participant agrees that Participant may be subject to income tax withholding by the Company on the compensation income recognized by Participant.</w:t>
      </w:r>
    </w:p>
    <w:p>
      <w:pPr>
        <w:spacing w:after="0" w:line="112"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000"/>
          </w:cols>
          <w:pgMar w:left="440" w:top="270" w:right="459" w:bottom="1440" w:gutter="0" w:footer="0" w:header="0"/>
        </w:sectPr>
      </w:pPr>
    </w:p>
    <w:bookmarkStart w:id="386" w:name="page387"/>
    <w:bookmarkEnd w:id="386"/>
    <w:p>
      <w:pPr>
        <w:ind w:left="-436" w:right="20" w:firstLine="987"/>
        <w:spacing w:after="0" w:line="253" w:lineRule="auto"/>
        <w:tabs>
          <w:tab w:leader="none" w:pos="945"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409A</w:t>
      </w:r>
      <w:r>
        <w:rPr>
          <w:rFonts w:ascii="Times New Roman" w:cs="Times New Roman" w:eastAsia="Times New Roman" w:hAnsi="Times New Roman"/>
          <w:sz w:val="18"/>
          <w:szCs w:val="18"/>
          <w:color w:val="auto"/>
        </w:rPr>
        <w:t>. 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an underlying share on the date of grant (a “discount option”)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also may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91" w:lineRule="exact"/>
        <w:rPr>
          <w:rFonts w:ascii="Times New Roman" w:cs="Times New Roman" w:eastAsia="Times New Roman" w:hAnsi="Times New Roman"/>
          <w:sz w:val="18"/>
          <w:szCs w:val="18"/>
          <w:color w:val="auto"/>
        </w:rPr>
      </w:pPr>
    </w:p>
    <w:p>
      <w:pPr>
        <w:ind w:left="-436" w:right="40" w:firstLine="436"/>
        <w:spacing w:after="0" w:line="258" w:lineRule="auto"/>
        <w:tabs>
          <w:tab w:leader="none" w:pos="319"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3" w:lineRule="exact"/>
        <w:rPr>
          <w:rFonts w:ascii="Times New Roman" w:cs="Times New Roman" w:eastAsia="Times New Roman" w:hAnsi="Times New Roman"/>
          <w:sz w:val="18"/>
          <w:szCs w:val="18"/>
          <w:color w:val="auto"/>
        </w:rPr>
      </w:pPr>
    </w:p>
    <w:p>
      <w:pPr>
        <w:ind w:left="-436" w:firstLine="436"/>
        <w:spacing w:after="0" w:line="253" w:lineRule="auto"/>
        <w:tabs>
          <w:tab w:leader="none" w:pos="319"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SHARES PURSUANT TO THE VESTING SCHEDULE HEREOF IS EARNED ONLY BY CONTINUING AS A SERVICE PROVIDER, WHICH UNLESS PROVIDED OTHERWISE UNDER APPLICABLE LAW IS AT THE WILL OF THE COMPANY (OR THE SERVICE RECIPIENT)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126"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564"/>
          </w:cols>
          <w:pgMar w:left="876" w:top="270" w:right="459" w:bottom="1440" w:gutter="0" w:footer="0" w:header="0"/>
        </w:sectPr>
      </w:pPr>
    </w:p>
    <w:bookmarkStart w:id="387" w:name="page388"/>
    <w:bookmarkEnd w:id="387"/>
    <w:p>
      <w:pPr>
        <w:ind w:left="760" w:hanging="324"/>
        <w:spacing w:after="0"/>
        <w:tabs>
          <w:tab w:leader="none" w:pos="7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Nature of Grant</w:t>
      </w:r>
      <w:r>
        <w:rPr>
          <w:rFonts w:ascii="Times New Roman" w:cs="Times New Roman" w:eastAsia="Times New Roman" w:hAnsi="Times New Roman"/>
          <w:sz w:val="18"/>
          <w:szCs w:val="18"/>
          <w:color w:val="auto"/>
        </w:rPr>
        <w:t>. In accepting the Option, Participant acknowledges, understands and agrees that:</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37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 is voluntary and occasional and does not create any contractual or other right to receive future grants of equity awards, or benefits in lieu of equity awards, even if equity awards have been granted in the past;</w:t>
      </w:r>
    </w:p>
    <w:p>
      <w:pPr>
        <w:spacing w:after="0" w:line="161"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option or other grants, if any, will be at the sole discretion of the Administrator;</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any Shares acquired under the Plan are not intended to replace any pension rights or compensation;</w:t>
      </w:r>
    </w:p>
    <w:p>
      <w:pPr>
        <w:spacing w:after="0" w:line="225" w:lineRule="exact"/>
        <w:rPr>
          <w:rFonts w:ascii="Times New Roman" w:cs="Times New Roman" w:eastAsia="Times New Roman" w:hAnsi="Times New Roman"/>
          <w:sz w:val="18"/>
          <w:szCs w:val="18"/>
          <w:color w:val="auto"/>
        </w:rPr>
      </w:pPr>
    </w:p>
    <w:p>
      <w:pPr>
        <w:ind w:right="200" w:firstLine="987"/>
        <w:spacing w:after="0" w:line="266" w:lineRule="auto"/>
        <w:tabs>
          <w:tab w:leader="none" w:pos="137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Option is unknown, indeterminable, and cannot be predicted;</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underlying Shares do not increase in value, the Option will have no value;</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Participant exercises the Option and acquires Shares, the value of such Shares may increase or decrease in value, even below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w:t>
      </w:r>
    </w:p>
    <w:p>
      <w:pPr>
        <w:spacing w:after="0" w:line="206" w:lineRule="exact"/>
        <w:rPr>
          <w:rFonts w:ascii="Times New Roman" w:cs="Times New Roman" w:eastAsia="Times New Roman" w:hAnsi="Times New Roman"/>
          <w:sz w:val="18"/>
          <w:szCs w:val="18"/>
          <w:color w:val="auto"/>
        </w:rPr>
      </w:pPr>
    </w:p>
    <w:p>
      <w:pPr>
        <w:ind w:right="20" w:firstLine="987"/>
        <w:spacing w:after="0" w:line="253" w:lineRule="auto"/>
        <w:tabs>
          <w:tab w:leader="none" w:pos="134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status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 and consistent with local law);</w:t>
      </w:r>
    </w:p>
    <w:p>
      <w:pPr>
        <w:spacing w:after="0" w:line="119"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980"/>
          </w:cols>
          <w:pgMar w:left="440" w:top="270" w:right="479" w:bottom="1440" w:gutter="0" w:footer="0" w:header="0"/>
        </w:sectPr>
      </w:pPr>
    </w:p>
    <w:bookmarkStart w:id="388" w:name="page389"/>
    <w:bookmarkEnd w:id="388"/>
    <w:p>
      <w:pPr>
        <w:jc w:val="both"/>
        <w:ind w:right="180" w:firstLine="987"/>
        <w:spacing w:after="0" w:line="266" w:lineRule="auto"/>
        <w:tabs>
          <w:tab w:leader="none" w:pos="1341"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otherwise provided in the Plan or by the Administrator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Participant is providing services outside the United States:</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subject to the Option are not part of normal or expected compensation or salary for any purpose;</w:t>
      </w:r>
    </w:p>
    <w:p>
      <w:pPr>
        <w:spacing w:after="0" w:line="225" w:lineRule="exact"/>
        <w:rPr>
          <w:rFonts w:ascii="Times New Roman" w:cs="Times New Roman" w:eastAsia="Times New Roman" w:hAnsi="Times New Roman"/>
          <w:sz w:val="18"/>
          <w:szCs w:val="18"/>
          <w:color w:val="auto"/>
        </w:rPr>
      </w:pPr>
    </w:p>
    <w:p>
      <w:pPr>
        <w:ind w:right="60" w:firstLine="1428"/>
        <w:spacing w:after="0" w:line="266" w:lineRule="auto"/>
        <w:tabs>
          <w:tab w:leader="none" w:pos="1832"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none of the Company, the Service Recipient, or any Parent or Subsidiary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75" w:lineRule="exact"/>
        <w:rPr>
          <w:rFonts w:ascii="Times New Roman" w:cs="Times New Roman" w:eastAsia="Times New Roman" w:hAnsi="Times New Roman"/>
          <w:sz w:val="18"/>
          <w:szCs w:val="18"/>
          <w:color w:val="auto"/>
        </w:rPr>
      </w:pPr>
    </w:p>
    <w:p>
      <w:pPr>
        <w:ind w:right="20" w:firstLine="1428"/>
        <w:spacing w:after="0" w:line="254" w:lineRule="auto"/>
        <w:tabs>
          <w:tab w:leader="none" w:pos="1882"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Service Recipient, waives his or her ability, if any, to bring any such claim, and releases the Company, any Parent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91" w:lineRule="exact"/>
        <w:rPr>
          <w:rFonts w:ascii="Times New Roman" w:cs="Times New Roman" w:eastAsia="Times New Roman" w:hAnsi="Times New Roman"/>
          <w:sz w:val="18"/>
          <w:szCs w:val="18"/>
          <w:color w:val="auto"/>
        </w:rPr>
      </w:pPr>
    </w:p>
    <w:p>
      <w:pPr>
        <w:ind w:right="260" w:firstLine="436"/>
        <w:spacing w:after="0" w:line="261" w:lineRule="auto"/>
        <w:tabs>
          <w:tab w:leader="none" w:pos="84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75"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Data Privacy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Participant hereby explicitly and unambiguously consents to the collection, use and transfer, in electronic or other form, of</w:t>
      </w:r>
    </w:p>
    <w:p>
      <w:pPr>
        <w:spacing w:after="0" w:line="42" w:lineRule="exact"/>
        <w:rPr>
          <w:rFonts w:ascii="Times New Roman" w:cs="Times New Roman" w:eastAsia="Times New Roman" w:hAnsi="Times New Roman"/>
          <w:sz w:val="17"/>
          <w:szCs w:val="17"/>
          <w:color w:val="auto"/>
        </w:rPr>
      </w:pPr>
    </w:p>
    <w:p>
      <w:pPr>
        <w:ind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Participant’s personal data as described in this Option Agreement and any other Option grant materials by and among, as applicable, the Employer or other Service Recipient, the Company and any Parent or Subsidiary for the exclusive purpose of implementing, administering and managing Participant’s participation in the Plan.</w:t>
      </w:r>
    </w:p>
    <w:p>
      <w:pPr>
        <w:spacing w:after="0" w:line="290"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000"/>
          </w:cols>
          <w:pgMar w:left="440" w:top="270" w:right="459" w:bottom="1440" w:gutter="0" w:footer="0" w:header="0"/>
        </w:sectPr>
      </w:pPr>
    </w:p>
    <w:bookmarkStart w:id="389" w:name="page390"/>
    <w:bookmarkEnd w:id="389"/>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entitlement to Shares awarded, canceled, exercised, vested, unvested or outstanding in Participant’s favor (“Data”), for the exclusive purpose of implementing, administering and managing the Plan.</w:t>
      </w:r>
    </w:p>
    <w:p>
      <w:pPr>
        <w:spacing w:after="0" w:line="15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96" w:lineRule="exact"/>
        <w:rPr>
          <w:sz w:val="20"/>
          <w:szCs w:val="20"/>
          <w:color w:val="auto"/>
        </w:rPr>
      </w:pPr>
    </w:p>
    <w:p>
      <w:pPr>
        <w:ind w:right="80" w:firstLine="436"/>
        <w:spacing w:after="0" w:line="312" w:lineRule="auto"/>
        <w:tabs>
          <w:tab w:leader="none" w:pos="845"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Address for Notices</w:t>
      </w:r>
      <w:r>
        <w:rPr>
          <w:rFonts w:ascii="Times New Roman" w:cs="Times New Roman" w:eastAsia="Times New Roman" w:hAnsi="Times New Roman"/>
          <w:sz w:val="17"/>
          <w:szCs w:val="17"/>
          <w:color w:val="auto"/>
        </w:rPr>
        <w:t>. Any notice to be given to the Company under the terms of this Option Agreement will be addressed to the Company at PMV Pharmaceuticals, Inc., 8 Clarke Drive, Suite 3, Cranbury, NJ 08512, or at such other address as the Company may hereafter designate in writing.</w:t>
      </w:r>
    </w:p>
    <w:p>
      <w:pPr>
        <w:spacing w:after="0" w:line="139" w:lineRule="exact"/>
        <w:rPr>
          <w:rFonts w:ascii="Times New Roman" w:cs="Times New Roman" w:eastAsia="Times New Roman" w:hAnsi="Times New Roman"/>
          <w:sz w:val="17"/>
          <w:szCs w:val="17"/>
          <w:color w:val="auto"/>
        </w:rPr>
      </w:pPr>
    </w:p>
    <w:p>
      <w:pPr>
        <w:ind w:right="80" w:firstLine="436"/>
        <w:spacing w:after="0" w:line="261" w:lineRule="auto"/>
        <w:tabs>
          <w:tab w:leader="none" w:pos="84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9"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Option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39"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000"/>
          </w:cols>
          <w:pgMar w:left="440" w:top="266" w:right="459" w:bottom="1440" w:gutter="0" w:footer="0" w:header="0"/>
        </w:sectPr>
      </w:pPr>
    </w:p>
    <w:bookmarkStart w:id="390" w:name="page391"/>
    <w:bookmarkEnd w:id="390"/>
    <w:p>
      <w:pPr>
        <w:ind w:left="-436" w:right="60" w:firstLine="436"/>
        <w:spacing w:after="0" w:line="266" w:lineRule="auto"/>
        <w:tabs>
          <w:tab w:leader="none" w:pos="409"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Agreement Severable</w:t>
      </w:r>
      <w:r>
        <w:rPr>
          <w:rFonts w:ascii="Times New Roman" w:cs="Times New Roman" w:eastAsia="Times New Roman" w:hAnsi="Times New Roman"/>
          <w:sz w:val="18"/>
          <w:szCs w:val="18"/>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75" w:lineRule="exact"/>
        <w:rPr>
          <w:rFonts w:ascii="Times New Roman" w:cs="Times New Roman" w:eastAsia="Times New Roman" w:hAnsi="Times New Roman"/>
          <w:sz w:val="18"/>
          <w:szCs w:val="18"/>
          <w:color w:val="auto"/>
        </w:rPr>
      </w:pPr>
    </w:p>
    <w:p>
      <w:pPr>
        <w:ind w:left="-436" w:firstLine="436"/>
        <w:spacing w:after="0" w:line="261" w:lineRule="auto"/>
        <w:tabs>
          <w:tab w:leader="none" w:pos="409"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79" w:lineRule="exact"/>
        <w:rPr>
          <w:rFonts w:ascii="Times New Roman" w:cs="Times New Roman" w:eastAsia="Times New Roman" w:hAnsi="Times New Roman"/>
          <w:sz w:val="18"/>
          <w:szCs w:val="18"/>
          <w:color w:val="auto"/>
        </w:rPr>
      </w:pPr>
    </w:p>
    <w:p>
      <w:pPr>
        <w:ind w:left="-436" w:right="600" w:firstLine="436"/>
        <w:spacing w:after="0" w:line="282" w:lineRule="auto"/>
        <w:tabs>
          <w:tab w:leader="none" w:pos="409"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 This Option may not be transferred in any manner otherwise than by will or by the laws of descent or distribution and may be exercised during the lifetime of Participant only by Participant.</w:t>
      </w:r>
    </w:p>
    <w:p>
      <w:pPr>
        <w:spacing w:after="0" w:line="161" w:lineRule="exact"/>
        <w:rPr>
          <w:rFonts w:ascii="Times New Roman" w:cs="Times New Roman" w:eastAsia="Times New Roman" w:hAnsi="Times New Roman"/>
          <w:sz w:val="18"/>
          <w:szCs w:val="18"/>
          <w:color w:val="auto"/>
        </w:rPr>
      </w:pPr>
    </w:p>
    <w:p>
      <w:pPr>
        <w:jc w:val="both"/>
        <w:ind w:left="-436" w:right="20" w:firstLine="436"/>
        <w:spacing w:after="0" w:line="261" w:lineRule="auto"/>
        <w:tabs>
          <w:tab w:leader="none" w:pos="409"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Option Agreement to single or multiple assignees, and this Option Agreement shall inure to the benefit of the successors and assigns of the Company. Subject to the restrictions on transfer herein set forth, this Option Agreement shall be binding upon Participant and his or her heirs, executors, administrators, successors and assigns. The rights and obligations of Participant under this Option Agreement may be assigned only with the prior written consent of the Company.</w:t>
      </w:r>
    </w:p>
    <w:p>
      <w:pPr>
        <w:spacing w:after="0" w:line="179" w:lineRule="exact"/>
        <w:rPr>
          <w:rFonts w:ascii="Times New Roman" w:cs="Times New Roman" w:eastAsia="Times New Roman" w:hAnsi="Times New Roman"/>
          <w:sz w:val="18"/>
          <w:szCs w:val="18"/>
          <w:color w:val="auto"/>
        </w:rPr>
      </w:pPr>
    </w:p>
    <w:p>
      <w:pPr>
        <w:ind w:left="-436" w:firstLine="436"/>
        <w:spacing w:after="0" w:line="253" w:lineRule="auto"/>
        <w:tabs>
          <w:tab w:leader="none" w:pos="409"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spacing w:after="0" w:line="194" w:lineRule="exact"/>
        <w:rPr>
          <w:rFonts w:ascii="Times New Roman" w:cs="Times New Roman" w:eastAsia="Times New Roman" w:hAnsi="Times New Roman"/>
          <w:sz w:val="18"/>
          <w:szCs w:val="18"/>
          <w:color w:val="auto"/>
        </w:rPr>
      </w:pPr>
    </w:p>
    <w:p>
      <w:pPr>
        <w:ind w:left="-436" w:right="100" w:firstLine="436"/>
        <w:spacing w:after="0" w:line="282" w:lineRule="auto"/>
        <w:tabs>
          <w:tab w:leader="none" w:pos="409"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ind w:left="-436" w:right="100" w:firstLine="436"/>
        <w:spacing w:after="0" w:line="266" w:lineRule="auto"/>
        <w:tabs>
          <w:tab w:leader="none" w:pos="409"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w:t>
      </w:r>
    </w:p>
    <w:p>
      <w:pPr>
        <w:spacing w:after="0" w:line="108"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564"/>
          </w:cols>
          <w:pgMar w:left="876" w:top="270" w:right="459" w:bottom="1440" w:gutter="0" w:footer="0" w:header="0"/>
        </w:sectPr>
      </w:pPr>
    </w:p>
    <w:bookmarkStart w:id="391" w:name="page392"/>
    <w:bookmarkEnd w:id="391"/>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76" w:lineRule="exact"/>
        <w:rPr>
          <w:sz w:val="20"/>
          <w:szCs w:val="20"/>
          <w:color w:val="auto"/>
        </w:rPr>
      </w:pPr>
    </w:p>
    <w:p>
      <w:pPr>
        <w:ind w:right="120" w:firstLine="436"/>
        <w:spacing w:after="0" w:line="266" w:lineRule="auto"/>
        <w:tabs>
          <w:tab w:leader="none" w:pos="84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175" w:lineRule="exact"/>
        <w:rPr>
          <w:rFonts w:ascii="Times New Roman" w:cs="Times New Roman" w:eastAsia="Times New Roman" w:hAnsi="Times New Roman"/>
          <w:sz w:val="18"/>
          <w:szCs w:val="18"/>
          <w:color w:val="auto"/>
        </w:rPr>
      </w:pPr>
    </w:p>
    <w:p>
      <w:pPr>
        <w:ind w:right="140" w:firstLine="436"/>
        <w:spacing w:after="0" w:line="255" w:lineRule="auto"/>
        <w:tabs>
          <w:tab w:leader="none" w:pos="84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Option Agreement</w:t>
      </w:r>
      <w:r>
        <w:rPr>
          <w:rFonts w:ascii="Times New Roman" w:cs="Times New Roman" w:eastAsia="Times New Roman" w:hAnsi="Times New Roman"/>
          <w:sz w:val="18"/>
          <w:szCs w:val="18"/>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88" w:lineRule="exact"/>
        <w:rPr>
          <w:rFonts w:ascii="Times New Roman" w:cs="Times New Roman" w:eastAsia="Times New Roman" w:hAnsi="Times New Roman"/>
          <w:sz w:val="18"/>
          <w:szCs w:val="18"/>
          <w:color w:val="auto"/>
        </w:rPr>
      </w:pPr>
    </w:p>
    <w:p>
      <w:pPr>
        <w:ind w:firstLine="436"/>
        <w:spacing w:after="0" w:line="261" w:lineRule="auto"/>
        <w:tabs>
          <w:tab w:leader="none" w:pos="84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Option Agreement and the Option will be governed by the laws of New Jersey, without giving effect to the conflict of law principles thereof. For purposes of litigating any dispute that arises under this Option or this Option Agreement, the parties hereby submit to and consent to the jurisdiction of the State of New Jersey, and agree that such litigation will be conducted in the courts of Middlesex County, New Jersey, or the U.S. federal courts for the District of New Jersey, and no other courts, where this Option is made and/or to be performed.</w:t>
      </w:r>
    </w:p>
    <w:p>
      <w:pPr>
        <w:spacing w:after="0" w:line="179" w:lineRule="exact"/>
        <w:rPr>
          <w:rFonts w:ascii="Times New Roman" w:cs="Times New Roman" w:eastAsia="Times New Roman" w:hAnsi="Times New Roman"/>
          <w:sz w:val="18"/>
          <w:szCs w:val="18"/>
          <w:color w:val="auto"/>
        </w:rPr>
      </w:pPr>
    </w:p>
    <w:p>
      <w:pPr>
        <w:ind w:right="40" w:firstLine="436"/>
        <w:spacing w:after="0" w:line="261" w:lineRule="auto"/>
        <w:tabs>
          <w:tab w:leader="none" w:pos="84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is incorporated herein by reference. The Plan and this Option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9" w:lineRule="exact"/>
        <w:rPr>
          <w:rFonts w:ascii="Times New Roman" w:cs="Times New Roman" w:eastAsia="Times New Roman" w:hAnsi="Times New Roman"/>
          <w:sz w:val="18"/>
          <w:szCs w:val="18"/>
          <w:color w:val="auto"/>
        </w:rPr>
      </w:pPr>
    </w:p>
    <w:p>
      <w:pPr>
        <w:ind w:right="80" w:firstLine="436"/>
        <w:spacing w:after="0" w:line="256" w:lineRule="auto"/>
        <w:tabs>
          <w:tab w:leader="none" w:pos="84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187" w:lineRule="exact"/>
        <w:rPr>
          <w:rFonts w:ascii="Times New Roman" w:cs="Times New Roman" w:eastAsia="Times New Roman" w:hAnsi="Times New Roman"/>
          <w:sz w:val="18"/>
          <w:szCs w:val="18"/>
          <w:color w:val="auto"/>
        </w:rPr>
      </w:pPr>
    </w:p>
    <w:p>
      <w:pPr>
        <w:ind w:right="80" w:firstLine="436"/>
        <w:spacing w:after="0" w:line="282" w:lineRule="auto"/>
        <w:tabs>
          <w:tab w:leader="none" w:pos="84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his or her own tax advisors the U.S. federal, state, local and non-U.S. tax consequences of this investment and the transactions</w:t>
      </w:r>
    </w:p>
    <w:p>
      <w:pPr>
        <w:spacing w:after="0" w:line="9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1000"/>
          </w:cols>
          <w:pgMar w:left="440" w:top="270" w:right="459" w:bottom="1440" w:gutter="0" w:footer="0" w:header="0"/>
        </w:sectPr>
      </w:pPr>
    </w:p>
    <w:bookmarkStart w:id="392" w:name="page393"/>
    <w:bookmarkEnd w:id="39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contemplated by this Option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76" w:lineRule="exact"/>
        <w:rPr>
          <w:sz w:val="20"/>
          <w:szCs w:val="20"/>
          <w:color w:val="auto"/>
        </w:rPr>
      </w:pPr>
    </w:p>
    <w:p>
      <w:pPr>
        <w:ind w:left="4800"/>
        <w:spacing w:after="0"/>
        <w:tabs>
          <w:tab w:leader="none" w:pos="5420" w:val="left"/>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40" w:top="270" w:right="559" w:bottom="1440" w:gutter="0" w:footer="0" w:header="0"/>
        </w:sectPr>
      </w:pPr>
    </w:p>
    <w:bookmarkStart w:id="393" w:name="page394"/>
    <w:bookmarkEnd w:id="3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Clarke Drive, Suite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Cranbury, NJ 08512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Stock Administration</w:t>
      </w:r>
    </w:p>
    <w:p>
      <w:pPr>
        <w:spacing w:after="0" w:line="207" w:lineRule="exact"/>
        <w:rPr>
          <w:sz w:val="20"/>
          <w:szCs w:val="20"/>
          <w:color w:val="auto"/>
        </w:rPr>
      </w:pPr>
    </w:p>
    <w:p>
      <w:pPr>
        <w:ind w:left="440"/>
        <w:spacing w:after="0"/>
        <w:tabs>
          <w:tab w:leader="none" w:pos="740" w:val="left"/>
          <w:tab w:leader="none" w:pos="4640" w:val="left"/>
          <w:tab w:leader="none" w:pos="5280" w:val="left"/>
          <w:tab w:leader="none" w:pos="104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Effective as of today,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the undersigned (“Purchaser”) hereby elects to purchase</w:t>
      </w:r>
      <w:r>
        <w:rPr>
          <w:sz w:val="20"/>
          <w:szCs w:val="20"/>
          <w:color w:val="auto"/>
        </w:rPr>
        <w:tab/>
      </w:r>
      <w:r>
        <w:rPr>
          <w:rFonts w:ascii="Times New Roman" w:cs="Times New Roman" w:eastAsia="Times New Roman" w:hAnsi="Times New Roman"/>
          <w:sz w:val="17"/>
          <w:szCs w:val="17"/>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-7620</wp:posOffset>
            </wp:positionV>
            <wp:extent cx="97091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0">
                      <a:extLst>
                        <a:ext uri="{28A0092B-C50C-407E-A947-70E740481C1C}"/>
                      </a:extLst>
                    </a:blip>
                    <a:srcRect/>
                    <a:stretch>
                      <a:fillRect/>
                    </a:stretch>
                  </pic:blipFill>
                  <pic:spPr bwMode="auto">
                    <a:xfrm>
                      <a:off x="0" y="0"/>
                      <a:ext cx="970915" cy="8255"/>
                    </a:xfrm>
                    <a:prstGeom prst="rect">
                      <a:avLst/>
                    </a:prstGeom>
                    <a:noFill/>
                  </pic:spPr>
                </pic:pic>
              </a:graphicData>
            </a:graphic>
          </wp:anchor>
        </w:drawing>
        <w:drawing>
          <wp:anchor simplePos="0" relativeHeight="251657728" behindDoc="1" locked="0" layoutInCell="0" allowOverlap="1">
            <wp:simplePos x="0" y="0"/>
            <wp:positionH relativeFrom="column">
              <wp:posOffset>6012815</wp:posOffset>
            </wp:positionH>
            <wp:positionV relativeFrom="paragraph">
              <wp:posOffset>-7620</wp:posOffset>
            </wp:positionV>
            <wp:extent cx="57150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the Common Stock of PMV Pharmaceuticals, Inc. (the “Company”) under and pursuant to the 2020 Equity Incentive Plan (the “Plan”)</w:t>
      </w:r>
    </w:p>
    <w:tbl>
      <w:tblPr>
        <w:tblLayout w:type="fixed"/>
        <w:tblInd w:w="0" w:type="dxa"/>
        <w:tblCellMar>
          <w:top w:w="0" w:type="dxa"/>
          <w:left w:w="0" w:type="dxa"/>
          <w:bottom w:w="0" w:type="dxa"/>
          <w:right w:w="0" w:type="dxa"/>
        </w:tblCellMar>
      </w:tblPr>
      <w:tr>
        <w:trPr>
          <w:trHeight w:val="185"/>
        </w:trPr>
        <w:tc>
          <w:tcPr>
            <w:tcW w:w="28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and the Stock Option Agreement, dated</w:t>
            </w:r>
          </w:p>
        </w:tc>
        <w:tc>
          <w:tcPr>
            <w:tcW w:w="540" w:type="dxa"/>
            <w:vAlign w:val="bottom"/>
            <w:tcBorders>
              <w:bottom w:val="single" w:sz="8" w:color="auto"/>
            </w:tcBorders>
          </w:tcPr>
          <w:p>
            <w:pPr>
              <w:spacing w:after="0"/>
              <w:rPr>
                <w:sz w:val="16"/>
                <w:szCs w:val="16"/>
                <w:color w:val="auto"/>
              </w:rPr>
            </w:pPr>
          </w:p>
        </w:tc>
        <w:tc>
          <w:tcPr>
            <w:tcW w:w="7460" w:type="dxa"/>
            <w:vAlign w:val="bottom"/>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and including the Notice of Grant, the Terms and Conditions of Stock Option Grant, and exhibits</w:t>
            </w:r>
          </w:p>
        </w:tc>
      </w:tr>
      <w:tr>
        <w:trPr>
          <w:trHeight w:val="196"/>
        </w:trPr>
        <w:tc>
          <w:tcPr>
            <w:tcW w:w="62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attached thereto (the “Option Agreement”). The purchase price for the Shares will be $</w:t>
            </w:r>
          </w:p>
        </w:tc>
        <w:tc>
          <w:tcPr>
            <w:tcW w:w="540" w:type="dxa"/>
            <w:vAlign w:val="bottom"/>
            <w:tcBorders>
              <w:bottom w:val="single" w:sz="8" w:color="auto"/>
            </w:tcBorders>
          </w:tcPr>
          <w:p>
            <w:pPr>
              <w:spacing w:after="0"/>
              <w:rPr>
                <w:sz w:val="17"/>
                <w:szCs w:val="17"/>
                <w:color w:val="auto"/>
              </w:rPr>
            </w:pPr>
          </w:p>
        </w:tc>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 as required by the Option Agreement. Unless otherwise</w:t>
            </w:r>
          </w:p>
        </w:tc>
      </w:tr>
    </w:tbl>
    <w:p>
      <w:pPr>
        <w:spacing w:after="0" w:line="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defined herein, capitalized terms used in this Exercise Notice shall be ascribed the same defined meanings as set forth in the Option Agreement (or, as applicable, the Plan or other written agreement or arrangement as specified in the Option Agreement).</w:t>
      </w:r>
    </w:p>
    <w:p>
      <w:pPr>
        <w:spacing w:after="0" w:line="162" w:lineRule="exact"/>
        <w:rPr>
          <w:sz w:val="20"/>
          <w:szCs w:val="20"/>
          <w:color w:val="auto"/>
        </w:rPr>
      </w:pPr>
    </w:p>
    <w:p>
      <w:pPr>
        <w:ind w:firstLine="436"/>
        <w:spacing w:after="0" w:line="282" w:lineRule="auto"/>
        <w:tabs>
          <w:tab w:leader="none" w:pos="75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r>
        <w:rPr>
          <w:rFonts w:ascii="Times New Roman" w:cs="Times New Roman" w:eastAsia="Times New Roman" w:hAnsi="Times New Roman"/>
          <w:sz w:val="18"/>
          <w:szCs w:val="18"/>
          <w:color w:val="auto"/>
        </w:rPr>
        <w:t>. Purchaser herewith delivers to the Company the full purchase price of the Shares and any Tax Obligations (as defined in Section 6(a) of the Option Agreement) to be paid in connection with the exercise of the Option.</w:t>
      </w:r>
    </w:p>
    <w:p>
      <w:pPr>
        <w:spacing w:after="0" w:line="161" w:lineRule="exact"/>
        <w:rPr>
          <w:rFonts w:ascii="Times New Roman" w:cs="Times New Roman" w:eastAsia="Times New Roman" w:hAnsi="Times New Roman"/>
          <w:sz w:val="18"/>
          <w:szCs w:val="18"/>
          <w:color w:val="auto"/>
        </w:rPr>
      </w:pPr>
    </w:p>
    <w:p>
      <w:pPr>
        <w:ind w:right="140" w:firstLine="436"/>
        <w:spacing w:after="0" w:line="282" w:lineRule="auto"/>
        <w:tabs>
          <w:tab w:leader="none" w:pos="75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Purchaser</w:t>
      </w:r>
      <w:r>
        <w:rPr>
          <w:rFonts w:ascii="Times New Roman" w:cs="Times New Roman" w:eastAsia="Times New Roman" w:hAnsi="Times New Roman"/>
          <w:sz w:val="18"/>
          <w:szCs w:val="18"/>
          <w:color w:val="auto"/>
        </w:rPr>
        <w:t>. Purchaser acknowledges that Purchaser has received, read and understood the Plan and the Option Agreement and agrees to abide by and be bound by their terms and conditions.</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75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14 of the Plan.</w:t>
      </w:r>
    </w:p>
    <w:p>
      <w:pPr>
        <w:spacing w:after="0" w:line="183" w:lineRule="exact"/>
        <w:rPr>
          <w:rFonts w:ascii="Times New Roman" w:cs="Times New Roman" w:eastAsia="Times New Roman" w:hAnsi="Times New Roman"/>
          <w:sz w:val="18"/>
          <w:szCs w:val="18"/>
          <w:color w:val="auto"/>
        </w:rPr>
      </w:pPr>
    </w:p>
    <w:p>
      <w:pPr>
        <w:ind w:right="140" w:firstLine="436"/>
        <w:spacing w:after="0" w:line="266" w:lineRule="auto"/>
        <w:tabs>
          <w:tab w:leader="none" w:pos="75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Consultation</w:t>
      </w:r>
      <w:r>
        <w:rPr>
          <w:rFonts w:ascii="Times New Roman" w:cs="Times New Roman" w:eastAsia="Times New Roman" w:hAnsi="Times New Roman"/>
          <w:sz w:val="18"/>
          <w:szCs w:val="18"/>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ectPr>
          <w:pgSz w:w="11900" w:h="16838" w:orient="portrait"/>
          <w:cols w:equalWidth="0" w:num="1">
            <w:col w:w="11000"/>
          </w:cols>
          <w:pgMar w:left="440" w:top="266" w:right="459" w:bottom="1440" w:gutter="0" w:footer="0" w:header="0"/>
        </w:sectPr>
      </w:pPr>
    </w:p>
    <w:bookmarkStart w:id="394" w:name="page395"/>
    <w:bookmarkEnd w:id="394"/>
    <w:p>
      <w:pPr>
        <w:ind w:firstLine="436"/>
        <w:spacing w:after="0" w:line="258" w:lineRule="auto"/>
        <w:tabs>
          <w:tab w:leader="none" w:pos="75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Entire Agreement; Governing Law</w:t>
      </w:r>
      <w:r>
        <w:rPr>
          <w:rFonts w:ascii="Times New Roman" w:cs="Times New Roman" w:eastAsia="Times New Roman" w:hAnsi="Times New Roman"/>
          <w:sz w:val="18"/>
          <w:szCs w:val="18"/>
          <w:color w:val="auto"/>
        </w:rPr>
        <w:t>. The Plan and Option Agreement are incorporated herein by reference. This Exercise Notice, the Plan and the Option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Option Agreement is governed by the internal substantive laws, but not the choice of law rules, of NEW JERSEY.</w:t>
      </w:r>
    </w:p>
    <w:p>
      <w:pPr>
        <w:sectPr>
          <w:pgSz w:w="11900" w:h="16838" w:orient="portrait"/>
          <w:cols w:equalWidth="0" w:num="1">
            <w:col w:w="10960"/>
          </w:cols>
          <w:pgMar w:left="440" w:top="270" w:right="49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299085</wp:posOffset>
            </wp:positionV>
            <wp:extent cx="286321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86321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86321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5">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582930</wp:posOffset>
            </wp:positionV>
            <wp:extent cx="286321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299085</wp:posOffset>
            </wp:positionV>
            <wp:extent cx="286321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7">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291465</wp:posOffset>
            </wp:positionV>
            <wp:extent cx="286321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45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286321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40"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882015</wp:posOffset>
            </wp:positionV>
            <wp:extent cx="286321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340"/>
          </w:cols>
          <w:pgMar w:left="440" w:top="270"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Received</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60"/>
          </w:cols>
          <w:pgMar w:left="440" w:top="270" w:right="499" w:bottom="1440" w:gutter="0" w:footer="0" w:header="0"/>
          <w:type w:val="continuous"/>
        </w:sectPr>
      </w:pPr>
    </w:p>
    <w:bookmarkStart w:id="395" w:name="page396"/>
    <w:bookmarkEnd w:id="3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Unless otherwise defined herein, the terms defined in the PMV Pharmaceuticals, Inc. 2020 Equity Incentive Plan (the “Plan”) will have the same defined meanings in this Restricted Stock Unit Agreement which includes the Notice of Restricted Stock Unit Grant, the Terms and Conditions of Restricted Stock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exhibits attached thereto (all together, the “RSU Agreement”).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UNIT GRANT</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Participant has been granted the right to receive an Award of Restricted Stock Units, subject to the terms and conditions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and this RSU Agreement, as follows:</w:t>
      </w:r>
    </w:p>
    <w:p>
      <w:pPr>
        <w:spacing w:after="0" w:line="2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0</wp:posOffset>
            </wp:positionV>
            <wp:extent cx="321437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0</wp:posOffset>
            </wp:positionV>
            <wp:extent cx="321437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0</wp:posOffset>
            </wp:positionV>
            <wp:extent cx="321437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0</wp:posOffset>
            </wp:positionV>
            <wp:extent cx="32143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Subject to any accelerated vesting as set forth below or in the Plan, the Restricted Stock Units will be scheduled to vest in accordance with the following schedule:</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[Twenty-five percent (25%) of the Restricted Stock Units will be scheduled to vest on the first Quarterly Vesting Date following the one (1) year anniversary of the Vesting Commencement Date, and six and one-quarter percent (6.25%) of the Restricted Stock Units will be scheduled to vest each quarter on each Quarterly Vesting Date thereafter, subject to Participant continuing to be a Service Provider through each such date. A “Quarterly Vesting Date” is the first trading day on or after each of February 15, May 15, August 15 and November 15.</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vesting of the Restricted Stock Units shall be subject to any vesting acceleration provisions applicable to the Restricted Stock Units contained in any employment or service agreement, offer letter, change in control severance agreement, change of control severance policy, or any other agreement that, prior to and effective as of the date of this RSU Agreement, has been entered into between Participant and the Company or any parent or subsidiary corporation of the Company (such agreement, a “Separate Agreement”) to the extent not otherwise duplicative of the vesting terms described above.</w:t>
      </w:r>
    </w:p>
    <w:p>
      <w:pPr>
        <w:sectPr>
          <w:pgSz w:w="11900" w:h="16838" w:orient="portrait"/>
          <w:cols w:equalWidth="0" w:num="1">
            <w:col w:w="10980"/>
          </w:cols>
          <w:pgMar w:left="440" w:top="266" w:right="479" w:bottom="1440" w:gutter="0" w:footer="0" w:header="0"/>
        </w:sectPr>
      </w:pPr>
    </w:p>
    <w:bookmarkStart w:id="396" w:name="page397"/>
    <w:bookmarkEnd w:id="396"/>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Participant ceases to be a Service Provider for any or no reason before Participant vests in the Restricted Stock Units, the Restricted Stock Units and Participant’s right to acquire any Shares hereunder will immediately terminate.</w:t>
      </w:r>
    </w:p>
    <w:p>
      <w:pPr>
        <w:spacing w:after="0" w:line="162"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 xml:space="preserve">By Participant’s signature and the signature of the representative of PMV Pharmaceuticals, Inc. (the “Company”) below, Participant and the Company agree that this Award of Restricted Stock Units is granted under and governed by the terms and conditions of the Plan and this RSU Agreement, including the Terms and Conditions of Restricted Stock Unit Grant,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all of which are made a part of this document. Participant acknowledges receipt of a copy of the Plan. Participant has reviewed the Plan and this RSU Agreement in their entirety, has had an opportunity to obtain the advice of counsel prior to executing this RSU Agreement, and fully understands all provisions of the Plan and this RSU Agreement. Participant hereby agrees to accept as binding, conclusive, and final all decisions or interpretations of the Administrator upon any questions relating to the Plan and the RSU Agreement. Participant further agrees to notify the Company upon any change in the residence address indicated below.</w:t>
      </w:r>
    </w:p>
    <w:p>
      <w:pPr>
        <w:spacing w:after="0" w:line="19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PARTICIPANT</w:t>
      </w:r>
      <w:r>
        <w:rPr>
          <w:sz w:val="20"/>
          <w:szCs w:val="20"/>
          <w:color w:val="auto"/>
        </w:rPr>
        <w:tab/>
      </w:r>
      <w:r>
        <w:rPr>
          <w:rFonts w:ascii="Times New Roman" w:cs="Times New Roman" w:eastAsia="Times New Roman" w:hAnsi="Times New Roman"/>
          <w:sz w:val="18"/>
          <w:szCs w:val="18"/>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643763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7">
                      <a:extLst>
                        <a:ext uri="{28A0092B-C50C-407E-A947-70E740481C1C}"/>
                      </a:extLst>
                    </a:blip>
                    <a:srcRect/>
                    <a:stretch>
                      <a:fillRect/>
                    </a:stretch>
                  </pic:blipFill>
                  <pic:spPr bwMode="auto">
                    <a:xfrm>
                      <a:off x="0" y="0"/>
                      <a:ext cx="6437630" cy="889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86321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86321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9">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582930</wp:posOffset>
            </wp:positionV>
            <wp:extent cx="286321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0">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46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291465</wp:posOffset>
            </wp:positionV>
            <wp:extent cx="286321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1">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454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291465</wp:posOffset>
            </wp:positionV>
            <wp:extent cx="286321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5040"/>
        <w:spacing w:after="0"/>
        <w:rPr>
          <w:sz w:val="20"/>
          <w:szCs w:val="20"/>
          <w:color w:val="auto"/>
        </w:rPr>
      </w:pPr>
      <w:r>
        <w:rPr>
          <w:rFonts w:ascii="Times New Roman" w:cs="Times New Roman" w:eastAsia="Times New Roman" w:hAnsi="Times New Roman"/>
          <w:sz w:val="17"/>
          <w:szCs w:val="17"/>
          <w:color w:val="auto"/>
        </w:rPr>
        <w:t>Title</w:t>
      </w:r>
    </w:p>
    <w:p>
      <w:pPr>
        <w:spacing w:after="0" w:line="643" w:lineRule="exact"/>
        <w:rPr>
          <w:sz w:val="20"/>
          <w:szCs w:val="20"/>
          <w:color w:val="auto"/>
        </w:rPr>
      </w:pPr>
    </w:p>
    <w:p>
      <w:pPr>
        <w:sectPr>
          <w:pgSz w:w="11900" w:h="16838" w:orient="portrait"/>
          <w:cols w:equalWidth="0" w:num="2">
            <w:col w:w="4900" w:space="720"/>
            <w:col w:w="5380"/>
          </w:cols>
          <w:pgMar w:left="440" w:top="27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- 2 -</w:t>
      </w:r>
    </w:p>
    <w:p>
      <w:pPr>
        <w:sectPr>
          <w:pgSz w:w="11900" w:h="16838" w:orient="portrait"/>
          <w:cols w:equalWidth="0" w:num="1">
            <w:col w:w="11000"/>
          </w:cols>
          <w:pgMar w:left="440" w:top="270" w:right="459" w:bottom="1440" w:gutter="0" w:footer="0" w:header="0"/>
          <w:type w:val="continuous"/>
        </w:sectPr>
      </w:pPr>
    </w:p>
    <w:bookmarkStart w:id="397" w:name="page398"/>
    <w:bookmarkEnd w:id="39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RESTRICTED STOCK UNIT GRANT</w:t>
      </w:r>
    </w:p>
    <w:p>
      <w:pPr>
        <w:spacing w:after="0" w:line="229" w:lineRule="exact"/>
        <w:rPr>
          <w:sz w:val="20"/>
          <w:szCs w:val="20"/>
          <w:color w:val="auto"/>
        </w:rPr>
      </w:pPr>
    </w:p>
    <w:p>
      <w:pPr>
        <w:ind w:left="-20" w:firstLine="436"/>
        <w:spacing w:after="0" w:line="281" w:lineRule="auto"/>
        <w:tabs>
          <w:tab w:leader="none" w:pos="735"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Restricted Stock Units</w:t>
      </w:r>
      <w:r>
        <w:rPr>
          <w:rFonts w:ascii="Times New Roman" w:cs="Times New Roman" w:eastAsia="Times New Roman" w:hAnsi="Times New Roman"/>
          <w:sz w:val="17"/>
          <w:szCs w:val="17"/>
          <w:color w:val="auto"/>
        </w:rPr>
        <w:t>. The Company hereby grants to the individual (“Participant”) named in the Notice of Grant of Restricted Stock Units of this RSU Agreement (the “Notice of Grant”) under the Plan an Award of Restricted Stock Units, subject to all of the terms and conditions in this RSU Agreement and the Plan, which is incorporated herein by reference. Subject to Section 19(c) of the Plan, in the event of a conflict between the terms and conditions of the Plan and the terms and conditions of this RSU Agreement, the terms and conditions of the Plan will prevail.</w:t>
      </w:r>
    </w:p>
    <w:p>
      <w:pPr>
        <w:spacing w:after="0" w:line="164" w:lineRule="exact"/>
        <w:rPr>
          <w:rFonts w:ascii="Times New Roman" w:cs="Times New Roman" w:eastAsia="Times New Roman" w:hAnsi="Times New Roman"/>
          <w:sz w:val="17"/>
          <w:szCs w:val="17"/>
          <w:color w:val="auto"/>
        </w:rPr>
      </w:pPr>
    </w:p>
    <w:p>
      <w:pPr>
        <w:ind w:left="-20" w:right="100" w:firstLine="436"/>
        <w:spacing w:after="0" w:line="261" w:lineRule="auto"/>
        <w:tabs>
          <w:tab w:leader="none" w:pos="73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9" w:lineRule="exact"/>
        <w:rPr>
          <w:rFonts w:ascii="Times New Roman" w:cs="Times New Roman" w:eastAsia="Times New Roman" w:hAnsi="Times New Roman"/>
          <w:sz w:val="18"/>
          <w:szCs w:val="18"/>
          <w:color w:val="auto"/>
        </w:rPr>
      </w:pPr>
    </w:p>
    <w:p>
      <w:pPr>
        <w:ind w:left="-20" w:right="80" w:firstLine="436"/>
        <w:spacing w:after="0" w:line="261" w:lineRule="auto"/>
        <w:tabs>
          <w:tab w:leader="none" w:pos="73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4, and subject to Section 5, the Restricted Stock Units awarded by this RSU Agreement will vest in accordance with the vesting provisions set forth in the Notice of Grant. Restricted Stock Units scheduled to vest on a certain date or upon the occurrence of a certain condition will not vest in Participant in accordance with any of the provisions of this RSU Agreement, unless Participant will have been continuously a Service Provider from the Date of Grant until the date such vesting occurs.</w:t>
      </w:r>
    </w:p>
    <w:p>
      <w:pPr>
        <w:spacing w:after="0" w:line="179" w:lineRule="exact"/>
        <w:rPr>
          <w:rFonts w:ascii="Times New Roman" w:cs="Times New Roman" w:eastAsia="Times New Roman" w:hAnsi="Times New Roman"/>
          <w:sz w:val="18"/>
          <w:szCs w:val="18"/>
          <w:color w:val="auto"/>
        </w:rPr>
      </w:pPr>
    </w:p>
    <w:p>
      <w:pPr>
        <w:ind w:left="740" w:hanging="324"/>
        <w:spacing w:after="0"/>
        <w:tabs>
          <w:tab w:leader="none" w:pos="7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after Vesting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80" w:firstLine="987"/>
        <w:spacing w:after="0" w:line="258" w:lineRule="auto"/>
        <w:tabs>
          <w:tab w:leader="none" w:pos="1351"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Subject to Section 7, any Restricted Stock Units that vest will be paid to Participant (or in the event of Participant’s death, to his or her properly designated beneficiary or estate) in whole Shares. Subject to the provisions of Section 4(b), such vested Restricted Stock Units will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RSU Agreement.</w:t>
      </w:r>
    </w:p>
    <w:p>
      <w:pPr>
        <w:spacing w:after="0" w:line="183" w:lineRule="exact"/>
        <w:rPr>
          <w:rFonts w:ascii="Times New Roman" w:cs="Times New Roman" w:eastAsia="Times New Roman" w:hAnsi="Times New Roman"/>
          <w:sz w:val="18"/>
          <w:szCs w:val="18"/>
          <w:color w:val="auto"/>
        </w:rPr>
      </w:pPr>
    </w:p>
    <w:p>
      <w:pPr>
        <w:ind w:left="1360" w:hanging="393"/>
        <w:spacing w:after="0"/>
        <w:tabs>
          <w:tab w:leader="none" w:pos="136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40" w:firstLine="1428"/>
        <w:spacing w:after="0" w:line="258" w:lineRule="auto"/>
        <w:tabs>
          <w:tab w:leader="none" w:pos="1762"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Acceleration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Section 409A. The prior sentence may be superseded in a future agreement or amendment to this RSU Agreement only by direct and specific reference to such sentence.</w:t>
      </w:r>
    </w:p>
    <w:p>
      <w:pPr>
        <w:sectPr>
          <w:pgSz w:w="11900" w:h="16838" w:orient="portrait"/>
          <w:cols w:equalWidth="0" w:num="1">
            <w:col w:w="10960"/>
          </w:cols>
          <w:pgMar w:left="460" w:top="266" w:right="479" w:bottom="1440" w:gutter="0" w:footer="0" w:header="0"/>
        </w:sectPr>
      </w:pPr>
    </w:p>
    <w:bookmarkStart w:id="398" w:name="page399"/>
    <w:bookmarkEnd w:id="398"/>
    <w:p>
      <w:pPr>
        <w:ind w:left="4" w:right="20" w:firstLine="1428"/>
        <w:spacing w:after="0" w:line="257" w:lineRule="auto"/>
        <w:tabs>
          <w:tab w:leader="none" w:pos="1836" w:val="left"/>
        </w:tabs>
        <w:numPr>
          <w:ilvl w:val="3"/>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in the Plan or this RSU Agreement or any other agreement (whether entered into before, on or after the Date of Grant), if the vesting of the balance, or some lesser portion of the balance, of the Restricted Stock Units is accelerated in connection with the cessation of Participant’s status as a Service Provider (provided that such termination is a “separation from service” within the meaning of</w:t>
      </w:r>
    </w:p>
    <w:p>
      <w:pPr>
        <w:spacing w:after="0" w:line="1" w:lineRule="exact"/>
        <w:rPr>
          <w:rFonts w:ascii="Times New Roman" w:cs="Times New Roman" w:eastAsia="Times New Roman" w:hAnsi="Times New Roman"/>
          <w:sz w:val="18"/>
          <w:szCs w:val="18"/>
          <w:color w:val="auto"/>
        </w:rPr>
      </w:pPr>
    </w:p>
    <w:p>
      <w:pPr>
        <w:ind w:left="4" w:right="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w:t>
      </w:r>
    </w:p>
    <w:p>
      <w:pPr>
        <w:ind w:left="4" w:hanging="4"/>
        <w:spacing w:after="0" w:line="255" w:lineRule="auto"/>
        <w:tabs>
          <w:tab w:leader="none" w:pos="259"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185" w:lineRule="exact"/>
        <w:rPr>
          <w:rFonts w:ascii="Times New Roman" w:cs="Times New Roman" w:eastAsia="Times New Roman" w:hAnsi="Times New Roman"/>
          <w:sz w:val="18"/>
          <w:szCs w:val="18"/>
          <w:color w:val="auto"/>
        </w:rPr>
      </w:pPr>
    </w:p>
    <w:p>
      <w:pPr>
        <w:ind w:left="4" w:right="260" w:firstLine="1428"/>
        <w:spacing w:after="0" w:line="255" w:lineRule="auto"/>
        <w:tabs>
          <w:tab w:leader="none" w:pos="1816" w:val="left"/>
        </w:tabs>
        <w:numPr>
          <w:ilvl w:val="3"/>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It is the intent of this RSU Agreement that it and all payments and benefits to U.S. taxpayers hereunder be exempt from, or comply with, the requirements of Section 409A so that none of the Restricted Stock Units provided under this RSU Agreement or Shares issuable thereunder will be subject to the additional tax imposed under Section 409A, and any ambiguities herein will be interpreted to be so exempt or so comply. Each payment payable under this RSU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88"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759"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as a Service Provider</w:t>
      </w:r>
      <w:r>
        <w:rPr>
          <w:rFonts w:ascii="Times New Roman" w:cs="Times New Roman" w:eastAsia="Times New Roman" w:hAnsi="Times New Roman"/>
          <w:sz w:val="18"/>
          <w:szCs w:val="18"/>
          <w:color w:val="auto"/>
        </w:rPr>
        <w:t>. Unless specifically provided otherwise in this RSU Agreement or other written agreement between Participant and the Company or any of its Subsidiaries or Parents, as applicable, if Participant ceases to be a Service Provider for any or no reason, the then-unvested Restricted Stock Units awarded by this RSU Agreement will thereupon be forfeited at no cost to the Company and Participant will have no further rights thereunder.</w:t>
      </w:r>
    </w:p>
    <w:p>
      <w:pPr>
        <w:spacing w:after="0" w:line="179"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759"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Any distribution or delivery to be made to Participant under this RSU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9"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p>
    <w:p>
      <w:pPr>
        <w:spacing w:after="0" w:line="225"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375"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 Participant acknowledges that, regardless of any action taken by the Company or, if different, Participant’s employer (the “Employer”) or any Parent or Subsidiary to which Participant is providing services (together, the Company, Employer and/or Parent or Subsidiary to which Participant is providing services, the “Service Recipient”),</w:t>
      </w:r>
    </w:p>
    <w:p>
      <w:pPr>
        <w:spacing w:after="0" w:line="108"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4"/>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84"/>
          </w:cols>
          <w:pgMar w:left="436" w:top="270" w:right="479" w:bottom="1440" w:gutter="0" w:footer="0" w:header="0"/>
        </w:sectPr>
      </w:pPr>
    </w:p>
    <w:bookmarkStart w:id="399" w:name="page400"/>
    <w:bookmarkEnd w:id="399"/>
    <w:p>
      <w:pPr>
        <w:ind w:left="4" w:right="8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ultimate liability for any tax and/or social insurance liability obligations and requirements in connection with the Restricted Stock Units, including, without limitation, (i) all federal, state, and local taxes (including the Participant’s Federal Insurance Contributions Act (FICA) obligation) that are required to be withheld by the Company or the Service Recipient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settlement of the Restricted Stock Units or sale of Shares, and</w:t>
      </w:r>
    </w:p>
    <w:p>
      <w:pPr>
        <w:spacing w:after="0" w:line="3" w:lineRule="exact"/>
        <w:rPr>
          <w:sz w:val="20"/>
          <w:szCs w:val="20"/>
          <w:color w:val="auto"/>
        </w:rPr>
      </w:pPr>
    </w:p>
    <w:p>
      <w:pPr>
        <w:ind w:left="4" w:right="40" w:hanging="4"/>
        <w:spacing w:after="0" w:line="251" w:lineRule="auto"/>
        <w:tabs>
          <w:tab w:leader="none" w:pos="319"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Company (or Service Recipient) taxes the responsibility for which the Participant has, or has agreed to bear, with respect to the Restricted Stock Units (or settlement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do not commit to and are under no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92" w:lineRule="exact"/>
        <w:rPr>
          <w:rFonts w:ascii="Times New Roman" w:cs="Times New Roman" w:eastAsia="Times New Roman" w:hAnsi="Times New Roman"/>
          <w:sz w:val="18"/>
          <w:szCs w:val="18"/>
          <w:color w:val="auto"/>
        </w:rPr>
      </w:pPr>
    </w:p>
    <w:p>
      <w:pPr>
        <w:ind w:left="4" w:firstLine="987"/>
        <w:spacing w:after="0" w:line="253" w:lineRule="auto"/>
        <w:tabs>
          <w:tab w:leader="none" w:pos="1385"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 (iv) delivering to the Company already vested and owned Shares having a fair market value equal to such Tax Obligations, or</w:t>
      </w:r>
    </w:p>
    <w:p>
      <w:pPr>
        <w:ind w:left="4" w:right="320" w:hanging="4"/>
        <w:spacing w:after="0" w:line="255" w:lineRule="auto"/>
        <w:tabs>
          <w:tab w:leader="none" w:pos="259"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w:t>
      </w:r>
    </w:p>
    <w:p>
      <w:pPr>
        <w:spacing w:after="0" w:line="118"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004"/>
          </w:cols>
          <w:pgMar w:left="436" w:top="270" w:right="459" w:bottom="1440" w:gutter="0" w:footer="0" w:header="0"/>
        </w:sectPr>
      </w:pPr>
    </w:p>
    <w:bookmarkStart w:id="400" w:name="page401"/>
    <w:bookmarkEnd w:id="40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adverse financial accounting consequences).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such Tax Obligations hereunder at the time any applicable Restricted Stock Units otherwise are scheduled to vest pursuant to Sections 3 or 4, Participant will permanently forfeit such Restricted Stock Units and any right to receive Shares thereunder and such Restricted Stock Units will be returned to the Company at no cost to the Company. Participant acknowledges and agrees that the Company may refuse to deliver the Shares if such Tax Obligations are not delivered at the time they are due.</w:t>
      </w:r>
    </w:p>
    <w:p>
      <w:pPr>
        <w:spacing w:after="0" w:line="189" w:lineRule="exact"/>
        <w:rPr>
          <w:sz w:val="20"/>
          <w:szCs w:val="20"/>
          <w:color w:val="auto"/>
        </w:rPr>
      </w:pPr>
    </w:p>
    <w:p>
      <w:pPr>
        <w:ind w:right="140" w:firstLine="987"/>
        <w:spacing w:after="0" w:line="258" w:lineRule="auto"/>
        <w:tabs>
          <w:tab w:leader="none" w:pos="1371"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w:t>
      </w:r>
      <w:r>
        <w:rPr>
          <w:rFonts w:ascii="Times New Roman" w:cs="Times New Roman" w:eastAsia="Times New Roman" w:hAnsi="Times New Roman"/>
          <w:sz w:val="18"/>
          <w:szCs w:val="18"/>
          <w:color w:val="auto"/>
        </w:rPr>
        <w:t>. Participant has reviewed with his or her own tax advisers the U.S. federal, state, local and non-U.S. tax consequences of this investment and the transactions contemplated by this RSU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RSU Agreement.</w:t>
      </w:r>
    </w:p>
    <w:p>
      <w:pPr>
        <w:spacing w:after="0" w:line="183" w:lineRule="exact"/>
        <w:rPr>
          <w:rFonts w:ascii="Times New Roman" w:cs="Times New Roman" w:eastAsia="Times New Roman" w:hAnsi="Times New Roman"/>
          <w:sz w:val="18"/>
          <w:szCs w:val="18"/>
          <w:color w:val="auto"/>
        </w:rPr>
      </w:pPr>
    </w:p>
    <w:p>
      <w:pPr>
        <w:ind w:right="20" w:firstLine="987"/>
        <w:spacing w:after="0" w:line="255" w:lineRule="auto"/>
        <w:tabs>
          <w:tab w:leader="none" w:pos="1381"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Deliver Shares</w:t>
      </w:r>
      <w:r>
        <w:rPr>
          <w:rFonts w:ascii="Times New Roman" w:cs="Times New Roman" w:eastAsia="Times New Roman" w:hAnsi="Times New Roman"/>
          <w:sz w:val="18"/>
          <w:szCs w:val="18"/>
          <w:color w:val="auto"/>
        </w:rPr>
        <w:t>. For clarification purposes, in no event will the Company issue Participant any Shares unless and until arrangements satisfactory to the Administrator have been made for the payment of Participant’s Tax Obligations. If Participant fails to make satisfactory arrangements for the payment of such Tax Obligations hereunder at the time any applicable Restricted Stock Units otherwise are scheduled to vest pursuant to Sections 3 or 4 or Participant’s Tax Obligations otherwise become due, Participant will permanently forfeit such Restricted Stock Units to which Participant’s Tax Obligation relates and any right to receive Shares thereunder and such Restricted Stock Units will be returned to the Company at no cost to the Company. Participant acknowledges and agrees that the Company may refuse to issue or deliver the Shares if such Tax Obligations are not delivered at the time they are due.</w:t>
      </w:r>
    </w:p>
    <w:p>
      <w:pPr>
        <w:spacing w:after="0" w:line="188" w:lineRule="exact"/>
        <w:rPr>
          <w:rFonts w:ascii="Times New Roman" w:cs="Times New Roman" w:eastAsia="Times New Roman" w:hAnsi="Times New Roman"/>
          <w:sz w:val="18"/>
          <w:szCs w:val="18"/>
          <w:color w:val="auto"/>
        </w:rPr>
      </w:pPr>
    </w:p>
    <w:p>
      <w:pPr>
        <w:ind w:right="20" w:firstLine="436"/>
        <w:spacing w:after="0" w:line="258" w:lineRule="auto"/>
        <w:tabs>
          <w:tab w:leader="none" w:pos="75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3" w:lineRule="exact"/>
        <w:rPr>
          <w:rFonts w:ascii="Times New Roman" w:cs="Times New Roman" w:eastAsia="Times New Roman" w:hAnsi="Times New Roman"/>
          <w:sz w:val="18"/>
          <w:szCs w:val="18"/>
          <w:color w:val="auto"/>
        </w:rPr>
      </w:pPr>
    </w:p>
    <w:p>
      <w:pPr>
        <w:ind w:right="220" w:firstLine="436"/>
        <w:spacing w:after="0" w:line="266" w:lineRule="auto"/>
        <w:tabs>
          <w:tab w:leader="none" w:pos="75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IS EARNED ONLY BY CONTINUING AS A SERVICE PROVIDER, WHICH UNLESS PROVIDED OTHERWISE UNDER APPLICABLE LAW IS AT</w:t>
      </w:r>
    </w:p>
    <w:p>
      <w:pPr>
        <w:spacing w:after="0" w:line="108"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0"/>
          </w:cols>
          <w:pgMar w:left="440" w:top="270" w:right="459" w:bottom="1440" w:gutter="0" w:footer="0" w:header="0"/>
        </w:sectPr>
      </w:pPr>
    </w:p>
    <w:bookmarkStart w:id="401" w:name="page402"/>
    <w:bookmarkEnd w:id="40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WILL OF THE COMPANY (OR THE SERVICE RECIPIENT) AND NOT THROUGH THE ACT OF BEING HIRED, BEING GRANTED THIS RESTRICTED STOCK UNIT AWARD OR ACQUIRING SHARES HEREUNDER. PARTICIPANT FURTHER ACKNOWLEDGES AND AGREES THAT THIS RSU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192" w:lineRule="exact"/>
        <w:rPr>
          <w:sz w:val="20"/>
          <w:szCs w:val="20"/>
          <w:color w:val="auto"/>
        </w:rPr>
      </w:pPr>
    </w:p>
    <w:p>
      <w:pPr>
        <w:ind w:left="840" w:hanging="404"/>
        <w:spacing w:after="0"/>
        <w:tabs>
          <w:tab w:leader="none" w:pos="8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Restricted Stock Units, Participant acknowledges, understands and agrees that:</w:t>
      </w:r>
    </w:p>
    <w:p>
      <w:pPr>
        <w:spacing w:after="0" w:line="225" w:lineRule="exact"/>
        <w:rPr>
          <w:rFonts w:ascii="Times New Roman" w:cs="Times New Roman" w:eastAsia="Times New Roman" w:hAnsi="Times New Roman"/>
          <w:sz w:val="18"/>
          <w:szCs w:val="18"/>
          <w:color w:val="auto"/>
        </w:rPr>
      </w:pPr>
    </w:p>
    <w:p>
      <w:pPr>
        <w:ind w:right="60" w:firstLine="987"/>
        <w:spacing w:after="0" w:line="282" w:lineRule="auto"/>
        <w:tabs>
          <w:tab w:leader="none" w:pos="1371"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Restricted Stock Units is voluntary and occasional and does not create any contractual or other right to receive future grants of equity awards, or benefits in lieu of equity awards, even if equity awards have been granted in the past;</w:t>
      </w:r>
    </w:p>
    <w:p>
      <w:pPr>
        <w:spacing w:after="0" w:line="161"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Restricted Stock Units or other grants, if any, will be at the sole discretion of the Administrator;</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are not intended to replace any pension rights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206"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371"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Restricted Stock Units is unknown, indeterminable, and cannot be predicted;</w:t>
      </w:r>
    </w:p>
    <w:p>
      <w:pPr>
        <w:spacing w:after="0" w:line="225" w:lineRule="exact"/>
        <w:rPr>
          <w:rFonts w:ascii="Times New Roman" w:cs="Times New Roman" w:eastAsia="Times New Roman" w:hAnsi="Times New Roman"/>
          <w:sz w:val="18"/>
          <w:szCs w:val="18"/>
          <w:color w:val="auto"/>
        </w:rPr>
      </w:pPr>
    </w:p>
    <w:p>
      <w:pPr>
        <w:ind w:firstLine="987"/>
        <w:spacing w:after="0" w:line="254" w:lineRule="auto"/>
        <w:tabs>
          <w:tab w:leader="none" w:pos="1381"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RSU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w:t>
      </w:r>
    </w:p>
    <w:p>
      <w:pPr>
        <w:spacing w:after="0" w:line="12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000"/>
          </w:cols>
          <w:pgMar w:left="440" w:top="270" w:right="459" w:bottom="1440" w:gutter="0" w:footer="0" w:header="0"/>
        </w:sectPr>
      </w:pPr>
    </w:p>
    <w:bookmarkStart w:id="402" w:name="page403"/>
    <w:bookmarkEnd w:id="402"/>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180" w:lineRule="exact"/>
        <w:rPr>
          <w:sz w:val="20"/>
          <w:szCs w:val="20"/>
          <w:color w:val="auto"/>
        </w:rPr>
      </w:pPr>
    </w:p>
    <w:p>
      <w:pPr>
        <w:ind w:right="100" w:firstLine="987"/>
        <w:spacing w:after="0" w:line="266" w:lineRule="auto"/>
        <w:tabs>
          <w:tab w:leader="none" w:pos="1381"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Administrator in its discretion, the Restricted Stock Units and the benefits evidenced by this RSU Agreement do not create any entitlement to have the Restricted Stock Units or any such benefits transferred to, or assumed by, another company nor to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Participant is providing services outside the United States:</w:t>
      </w:r>
    </w:p>
    <w:p>
      <w:pPr>
        <w:spacing w:after="0" w:line="225" w:lineRule="exact"/>
        <w:rPr>
          <w:rFonts w:ascii="Times New Roman" w:cs="Times New Roman" w:eastAsia="Times New Roman" w:hAnsi="Times New Roman"/>
          <w:sz w:val="18"/>
          <w:szCs w:val="18"/>
          <w:color w:val="auto"/>
        </w:rPr>
      </w:pPr>
    </w:p>
    <w:p>
      <w:pPr>
        <w:ind w:right="40" w:firstLine="1428"/>
        <w:spacing w:after="0" w:line="282" w:lineRule="auto"/>
        <w:tabs>
          <w:tab w:leader="none" w:pos="1782"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are not part of normal or expected compensation or salary for any purpose;</w:t>
      </w:r>
    </w:p>
    <w:p>
      <w:pPr>
        <w:spacing w:after="0" w:line="161" w:lineRule="exact"/>
        <w:rPr>
          <w:rFonts w:ascii="Times New Roman" w:cs="Times New Roman" w:eastAsia="Times New Roman" w:hAnsi="Times New Roman"/>
          <w:sz w:val="18"/>
          <w:szCs w:val="18"/>
          <w:color w:val="auto"/>
        </w:rPr>
      </w:pPr>
    </w:p>
    <w:p>
      <w:pPr>
        <w:ind w:right="40" w:firstLine="1428"/>
        <w:spacing w:after="0" w:line="261" w:lineRule="auto"/>
        <w:tabs>
          <w:tab w:leader="none" w:pos="1832"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none of the Company, the Service Recipient, or any Parent or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79" w:lineRule="exact"/>
        <w:rPr>
          <w:rFonts w:ascii="Times New Roman" w:cs="Times New Roman" w:eastAsia="Times New Roman" w:hAnsi="Times New Roman"/>
          <w:sz w:val="18"/>
          <w:szCs w:val="18"/>
          <w:color w:val="auto"/>
        </w:rPr>
      </w:pPr>
    </w:p>
    <w:p>
      <w:pPr>
        <w:ind w:firstLine="1428"/>
        <w:spacing w:after="0" w:line="254" w:lineRule="auto"/>
        <w:tabs>
          <w:tab w:leader="none" w:pos="1882"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the Company, any Parent, any Subsidiary or the Service Recipient, waives his or her ability, if any, to bring any such claim, and releases the Company, any Parent, any Subsidiary or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91" w:lineRule="exact"/>
        <w:rPr>
          <w:rFonts w:ascii="Times New Roman" w:cs="Times New Roman" w:eastAsia="Times New Roman" w:hAnsi="Times New Roman"/>
          <w:sz w:val="18"/>
          <w:szCs w:val="18"/>
          <w:color w:val="auto"/>
        </w:rPr>
      </w:pPr>
    </w:p>
    <w:p>
      <w:pPr>
        <w:ind w:right="40" w:firstLine="436"/>
        <w:spacing w:after="0" w:line="261" w:lineRule="auto"/>
        <w:tabs>
          <w:tab w:leader="none" w:pos="838"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advisors regarding his or her participation in the Plan before taking any action related to the Plan.</w:t>
      </w:r>
    </w:p>
    <w:p>
      <w:pPr>
        <w:spacing w:after="0" w:line="112"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3"/>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1000"/>
          </w:cols>
          <w:pgMar w:left="440" w:top="270" w:right="459" w:bottom="1440" w:gutter="0" w:footer="0" w:header="0"/>
        </w:sectPr>
      </w:pPr>
    </w:p>
    <w:bookmarkStart w:id="403" w:name="page404"/>
    <w:bookmarkEnd w:id="403"/>
    <w:p>
      <w:pPr>
        <w:ind w:firstLine="436"/>
        <w:spacing w:after="0" w:line="262" w:lineRule="auto"/>
        <w:tabs>
          <w:tab w:leader="none" w:pos="84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 of Participant’s personal data as described in this RSU Agreement and any other Restricted Stock Unit grant materials by and among, as applicable, the Employer or other Service Recipient, the Company and any Parent or Subsidiary for the exclusive purpose of implementing, administering and managing Participant’s participation in the Plan.</w:t>
      </w:r>
    </w:p>
    <w:p>
      <w:pPr>
        <w:spacing w:after="0" w:line="176" w:lineRule="exact"/>
        <w:rPr>
          <w:sz w:val="20"/>
          <w:szCs w:val="20"/>
          <w:color w:val="auto"/>
        </w:rPr>
      </w:pPr>
    </w:p>
    <w:p>
      <w:pPr>
        <w:ind w:right="2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17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Employer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96" w:lineRule="exact"/>
        <w:rPr>
          <w:sz w:val="20"/>
          <w:szCs w:val="20"/>
          <w:color w:val="auto"/>
        </w:rPr>
      </w:pPr>
    </w:p>
    <w:p>
      <w:pPr>
        <w:jc w:val="both"/>
        <w:ind w:right="180" w:firstLine="436"/>
        <w:spacing w:after="0" w:line="312" w:lineRule="auto"/>
        <w:tabs>
          <w:tab w:leader="none" w:pos="845"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Address for Notices</w:t>
      </w:r>
      <w:r>
        <w:rPr>
          <w:rFonts w:ascii="Times New Roman" w:cs="Times New Roman" w:eastAsia="Times New Roman" w:hAnsi="Times New Roman"/>
          <w:sz w:val="17"/>
          <w:szCs w:val="17"/>
          <w:color w:val="auto"/>
        </w:rPr>
        <w:t>. Any notice to be given to the Company under the terms of this RSU Agreement will be addressed to the Company at PMV Pharmaceuticals, Inc., 8 Clarke Drive, Suite 3, Cranbury, NJ 08512, or at such other address as the Company may hereafter designate in writing.</w:t>
      </w:r>
    </w:p>
    <w:p>
      <w:pPr>
        <w:spacing w:after="0" w:line="72" w:lineRule="exact"/>
        <w:rPr>
          <w:rFonts w:ascii="Times New Roman" w:cs="Times New Roman" w:eastAsia="Times New Roman" w:hAnsi="Times New Roman"/>
          <w:sz w:val="17"/>
          <w:szCs w:val="17"/>
          <w:color w:val="auto"/>
        </w:rPr>
      </w:pPr>
    </w:p>
    <w:p>
      <w:pPr>
        <w:ind w:left="5460" w:hanging="106"/>
        <w:spacing w:after="0"/>
        <w:tabs>
          <w:tab w:leader="none" w:pos="546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000"/>
          </w:cols>
          <w:pgMar w:left="440" w:top="266" w:right="459" w:bottom="1440" w:gutter="0" w:footer="0" w:header="0"/>
        </w:sectPr>
      </w:pPr>
    </w:p>
    <w:bookmarkStart w:id="404" w:name="page405"/>
    <w:bookmarkEnd w:id="404"/>
    <w:p>
      <w:pPr>
        <w:ind w:right="60" w:firstLine="436"/>
        <w:spacing w:after="0" w:line="261" w:lineRule="auto"/>
        <w:tabs>
          <w:tab w:leader="none" w:pos="84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9"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RSU</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jc w:val="both"/>
        <w:ind w:right="20" w:firstLine="436"/>
        <w:spacing w:after="0" w:line="282" w:lineRule="auto"/>
        <w:tabs>
          <w:tab w:leader="none" w:pos="84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RSU Agreement Severable</w:t>
      </w:r>
      <w:r>
        <w:rPr>
          <w:rFonts w:ascii="Times New Roman" w:cs="Times New Roman" w:eastAsia="Times New Roman" w:hAnsi="Times New Roman"/>
          <w:sz w:val="18"/>
          <w:szCs w:val="18"/>
          <w:color w:val="auto"/>
        </w:rPr>
        <w:t>. In the event that any provision in this RSU Agreement will be held invalid or unenforceable, such provision will be severable from, and such invalidity or unenforceability will not be construed to have any effect on, the remaining provisions of this RSU Agreement.</w:t>
      </w:r>
    </w:p>
    <w:p>
      <w:pPr>
        <w:spacing w:after="0" w:line="161" w:lineRule="exact"/>
        <w:rPr>
          <w:rFonts w:ascii="Times New Roman" w:cs="Times New Roman" w:eastAsia="Times New Roman" w:hAnsi="Times New Roman"/>
          <w:sz w:val="18"/>
          <w:szCs w:val="18"/>
          <w:color w:val="auto"/>
        </w:rPr>
      </w:pPr>
    </w:p>
    <w:p>
      <w:pPr>
        <w:ind w:right="40" w:firstLine="436"/>
        <w:spacing w:after="0" w:line="261" w:lineRule="auto"/>
        <w:tabs>
          <w:tab w:leader="none" w:pos="84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RSU Agreement shall not in any way be construed as a waiver of any such provision or provisions, nor prevent that party from thereafter enforcing each and every other provision of this RSU Agreement. The rights granted both parties herein are cumulative and shall not constitute a waiver of either party’s right to assert all other legal remedies available to it under the circumstances.</w:t>
      </w:r>
    </w:p>
    <w:p>
      <w:pPr>
        <w:spacing w:after="0" w:line="179" w:lineRule="exact"/>
        <w:rPr>
          <w:rFonts w:ascii="Times New Roman" w:cs="Times New Roman" w:eastAsia="Times New Roman" w:hAnsi="Times New Roman"/>
          <w:sz w:val="18"/>
          <w:szCs w:val="18"/>
          <w:color w:val="auto"/>
        </w:rPr>
      </w:pPr>
    </w:p>
    <w:p>
      <w:pPr>
        <w:ind w:right="220" w:firstLine="436"/>
        <w:spacing w:after="0" w:line="258" w:lineRule="auto"/>
        <w:tabs>
          <w:tab w:leader="none" w:pos="84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3" w:lineRule="exact"/>
        <w:rPr>
          <w:rFonts w:ascii="Times New Roman" w:cs="Times New Roman" w:eastAsia="Times New Roman" w:hAnsi="Times New Roman"/>
          <w:sz w:val="18"/>
          <w:szCs w:val="18"/>
          <w:color w:val="auto"/>
        </w:rPr>
      </w:pPr>
    </w:p>
    <w:p>
      <w:pPr>
        <w:ind w:right="40" w:firstLine="436"/>
        <w:spacing w:after="0" w:line="261" w:lineRule="auto"/>
        <w:tabs>
          <w:tab w:leader="none" w:pos="84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RSU Agreement to single or multiple assignees, and this RSU Agreement shall inure to the benefit of the successors and assigns of the Company. Subject to the restrictions on transfer herein set forth, this RSU Agreement shall be binding upon Participant and his or her heirs, executors, administrators, successors and assigns. The rights and obligations of Participant under this RSU Agreement may be assigned only with the prior written consent of the Company.</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84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RSU</w:t>
      </w:r>
    </w:p>
    <w:p>
      <w:pPr>
        <w:spacing w:after="0" w:line="121"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00"/>
          </w:cols>
          <w:pgMar w:left="440" w:top="270" w:right="459" w:bottom="1440" w:gutter="0" w:footer="0" w:header="0"/>
        </w:sectPr>
      </w:pPr>
    </w:p>
    <w:bookmarkStart w:id="405" w:name="page406"/>
    <w:bookmarkEnd w:id="405"/>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76" w:lineRule="exact"/>
        <w:rPr>
          <w:sz w:val="20"/>
          <w:szCs w:val="20"/>
          <w:color w:val="auto"/>
        </w:rPr>
      </w:pPr>
    </w:p>
    <w:p>
      <w:pPr>
        <w:ind w:right="260" w:firstLine="436"/>
        <w:spacing w:after="0" w:line="282" w:lineRule="auto"/>
        <w:tabs>
          <w:tab w:leader="none" w:pos="84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RSU Agreement or any other document related to the Plan translated into a language other than English and if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ind w:right="40" w:firstLine="436"/>
        <w:spacing w:after="0" w:line="256" w:lineRule="auto"/>
        <w:tabs>
          <w:tab w:leader="none" w:pos="84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Administrator will have the power to interpret the Plan and this RSU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RSU Agreement.</w:t>
      </w:r>
    </w:p>
    <w:p>
      <w:pPr>
        <w:spacing w:after="0" w:line="187" w:lineRule="exact"/>
        <w:rPr>
          <w:rFonts w:ascii="Times New Roman" w:cs="Times New Roman" w:eastAsia="Times New Roman" w:hAnsi="Times New Roman"/>
          <w:sz w:val="18"/>
          <w:szCs w:val="18"/>
          <w:color w:val="auto"/>
        </w:rPr>
      </w:pPr>
    </w:p>
    <w:p>
      <w:pPr>
        <w:ind w:right="80" w:firstLine="436"/>
        <w:spacing w:after="0" w:line="266" w:lineRule="auto"/>
        <w:tabs>
          <w:tab w:leader="none" w:pos="84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75" w:lineRule="exact"/>
        <w:rPr>
          <w:rFonts w:ascii="Times New Roman" w:cs="Times New Roman" w:eastAsia="Times New Roman" w:hAnsi="Times New Roman"/>
          <w:sz w:val="18"/>
          <w:szCs w:val="18"/>
          <w:color w:val="auto"/>
        </w:rPr>
      </w:pPr>
    </w:p>
    <w:p>
      <w:pPr>
        <w:ind w:firstLine="436"/>
        <w:spacing w:after="0" w:line="255" w:lineRule="auto"/>
        <w:tabs>
          <w:tab w:leader="none" w:pos="84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RSU Agreement</w:t>
      </w:r>
      <w:r>
        <w:rPr>
          <w:rFonts w:ascii="Times New Roman" w:cs="Times New Roman" w:eastAsia="Times New Roman" w:hAnsi="Times New Roman"/>
          <w:sz w:val="18"/>
          <w:szCs w:val="18"/>
          <w:color w:val="auto"/>
        </w:rPr>
        <w:t>. This RSU Agreement constitutes the entire understanding of the parties on the subjects covered. Participant expressly warrants that he or she is not accepting this RSU Agreement in reliance on any promises, representations, or inducements other than those contained herein. Modifications to this RSU Agreement or the Plan can be made only in an express written contract executed by a duly authorized officer of the Company. Notwithstanding anything to the contrary in the Plan or this RSU Agreement, the Company reserves the right to revise this RSU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88" w:lineRule="exact"/>
        <w:rPr>
          <w:rFonts w:ascii="Times New Roman" w:cs="Times New Roman" w:eastAsia="Times New Roman" w:hAnsi="Times New Roman"/>
          <w:sz w:val="18"/>
          <w:szCs w:val="18"/>
          <w:color w:val="auto"/>
        </w:rPr>
      </w:pPr>
    </w:p>
    <w:p>
      <w:pPr>
        <w:ind w:right="40" w:firstLine="436"/>
        <w:spacing w:after="0" w:line="258" w:lineRule="auto"/>
        <w:tabs>
          <w:tab w:leader="none" w:pos="84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RSU Agreement and the Restricted Stock Units will be governed by the laws of New Jersey, without giving effect to the conflict of law principles thereof. For purposes of litigating any dispute that arises under these Restricted Stock Units or this RSU Agreement, the parties hereby submit to and consent to the jurisdiction of the State of New Jersey, and agree that such litigation will be conducted in the courts of Middlesex County, New Jersey, or the U.S. federal courts for the District of New Jersey, and no other courts, where this Option is made and/or to be performed.</w:t>
      </w:r>
    </w:p>
    <w:p>
      <w:pPr>
        <w:spacing w:after="0" w:line="115"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1000"/>
          </w:cols>
          <w:pgMar w:left="440" w:top="270" w:right="459" w:bottom="1440" w:gutter="0" w:footer="0" w:header="0"/>
        </w:sectPr>
      </w:pPr>
    </w:p>
    <w:bookmarkStart w:id="406" w:name="page407"/>
    <w:bookmarkEnd w:id="406"/>
    <w:p>
      <w:pPr>
        <w:ind w:left="-40" w:right="160" w:firstLine="436"/>
        <w:spacing w:after="0" w:line="261" w:lineRule="auto"/>
        <w:tabs>
          <w:tab w:leader="none" w:pos="80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The Plan is incorporated herein by reference. The Plan and this RSU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9" w:lineRule="exact"/>
        <w:rPr>
          <w:rFonts w:ascii="Times New Roman" w:cs="Times New Roman" w:eastAsia="Times New Roman" w:hAnsi="Times New Roman"/>
          <w:sz w:val="18"/>
          <w:szCs w:val="18"/>
          <w:color w:val="auto"/>
        </w:rPr>
      </w:pPr>
    </w:p>
    <w:p>
      <w:pPr>
        <w:ind w:left="-40" w:firstLine="436"/>
        <w:spacing w:after="0" w:line="256" w:lineRule="auto"/>
        <w:tabs>
          <w:tab w:leader="none" w:pos="80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RSU Agreement, the Restricted Stock Unit grant shall be subject to any special terms and conditions set forth in an appendix (if any) to this RSU Agreement for any country whose laws are applicable to Participant and this Award of Restricted Stock Units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RSU Agreement.</w:t>
      </w:r>
    </w:p>
    <w:p>
      <w:pPr>
        <w:spacing w:after="0" w:line="187" w:lineRule="exact"/>
        <w:rPr>
          <w:rFonts w:ascii="Times New Roman" w:cs="Times New Roman" w:eastAsia="Times New Roman" w:hAnsi="Times New Roman"/>
          <w:sz w:val="18"/>
          <w:szCs w:val="18"/>
          <w:color w:val="auto"/>
        </w:rPr>
      </w:pPr>
    </w:p>
    <w:p>
      <w:pPr>
        <w:ind w:left="-40" w:right="40" w:firstLine="436"/>
        <w:spacing w:after="0" w:line="258" w:lineRule="auto"/>
        <w:tabs>
          <w:tab w:leader="none" w:pos="80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his or her own tax advisors the U.S. federal, state, local and non-U.S. tax consequences of this investment and the transactions contemplated by this RSU Agreement. With respect to such matters, Participant relies solely on such advisors and not on any statements or representations of the Company or any of its agents, written or oral. Participant understands that Participant (and not the Company) shall be solely responsible for Participant’s own tax liability that may arise as a result of this investment or the transactions contemplated by this RSU Agreement.</w:t>
      </w:r>
    </w:p>
    <w:p>
      <w:pPr>
        <w:spacing w:after="0" w:line="183" w:lineRule="exact"/>
        <w:rPr>
          <w:sz w:val="20"/>
          <w:szCs w:val="20"/>
          <w:color w:val="auto"/>
        </w:rPr>
      </w:pPr>
    </w:p>
    <w:p>
      <w:pPr>
        <w:ind w:left="4580"/>
        <w:spacing w:after="0"/>
        <w:tabs>
          <w:tab w:leader="none" w:pos="5380" w:val="left"/>
          <w:tab w:leader="none" w:pos="6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70" w:right="499" w:bottom="1440" w:gutter="0" w:footer="0" w:header="0"/>
        </w:sectPr>
      </w:pPr>
    </w:p>
    <w:bookmarkStart w:id="407" w:name="page408"/>
    <w:bookmarkEnd w:id="40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PMV PHARMACEUTICALS,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207" w:lineRule="exact"/>
        <w:rPr>
          <w:sz w:val="20"/>
          <w:szCs w:val="20"/>
          <w:color w:val="auto"/>
        </w:rPr>
      </w:pPr>
    </w:p>
    <w:p>
      <w:pPr>
        <w:ind w:right="80" w:firstLine="440"/>
        <w:spacing w:after="0" w:line="289" w:lineRule="auto"/>
        <w:rPr>
          <w:sz w:val="20"/>
          <w:szCs w:val="20"/>
          <w:color w:val="auto"/>
        </w:rPr>
      </w:pPr>
      <w:r>
        <w:rPr>
          <w:rFonts w:ascii="Times New Roman" w:cs="Times New Roman" w:eastAsia="Times New Roman" w:hAnsi="Times New Roman"/>
          <w:sz w:val="17"/>
          <w:szCs w:val="17"/>
          <w:color w:val="auto"/>
        </w:rPr>
        <w:t xml:space="preserve">Unless otherwise defined herein, the terms defined in the PMV Pharmaceuticals, Inc. 2020 Equity Incentive Plan (the “Plan”) will have the same defined meanings in this Restricted Stock Award Agreement which includes the Notice of Restricted Stock Grant, the Terms and Conditions of Restricted Stock Grant,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and all appendices and exhibits attached thereto (all together, the “Restricted Stock Agreement”).</w:t>
      </w: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GRANT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7" w:lineRule="exact"/>
        <w:rPr>
          <w:sz w:val="20"/>
          <w:szCs w:val="20"/>
          <w:color w:val="auto"/>
        </w:rPr>
      </w:pPr>
    </w:p>
    <w:p>
      <w:pPr>
        <w:ind w:right="960" w:firstLine="440"/>
        <w:spacing w:after="0" w:line="312" w:lineRule="auto"/>
        <w:rPr>
          <w:sz w:val="20"/>
          <w:szCs w:val="20"/>
          <w:color w:val="auto"/>
        </w:rPr>
      </w:pPr>
      <w:r>
        <w:rPr>
          <w:rFonts w:ascii="Times New Roman" w:cs="Times New Roman" w:eastAsia="Times New Roman" w:hAnsi="Times New Roman"/>
          <w:sz w:val="17"/>
          <w:szCs w:val="17"/>
          <w:color w:val="auto"/>
        </w:rPr>
        <w:t>The undersigned Participant has been granted the right to receive an Award of Shares of Restricted Stock of Common Stock of PMV Pharmaceuticals, Inc. (the “Company”), subject to the terms and conditions of the Plan and this Restricted Stock Agreement, as follows:</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-7620</wp:posOffset>
            </wp:positionV>
            <wp:extent cx="27990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4">
                      <a:extLst>
                        <a:ext uri="{28A0092B-C50C-407E-A947-70E740481C1C}"/>
                      </a:extLst>
                    </a:blip>
                    <a:srcRect/>
                    <a:stretch>
                      <a:fillRect/>
                    </a:stretch>
                  </pic:blipFill>
                  <pic:spPr bwMode="auto">
                    <a:xfrm>
                      <a:off x="0" y="0"/>
                      <a:ext cx="2799080" cy="8255"/>
                    </a:xfrm>
                    <a:prstGeom prst="rect">
                      <a:avLst/>
                    </a:prstGeom>
                    <a:noFill/>
                  </pic:spPr>
                </pic:pic>
              </a:graphicData>
            </a:graphic>
          </wp:anchor>
        </w:drawing>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-7620</wp:posOffset>
            </wp:positionV>
            <wp:extent cx="27990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5">
                      <a:extLst>
                        <a:ext uri="{28A0092B-C50C-407E-A947-70E740481C1C}"/>
                      </a:extLst>
                    </a:blip>
                    <a:srcRect/>
                    <a:stretch>
                      <a:fillRect/>
                    </a:stretch>
                  </pic:blipFill>
                  <pic:spPr bwMode="auto">
                    <a:xfrm>
                      <a:off x="0" y="0"/>
                      <a:ext cx="2799080" cy="8255"/>
                    </a:xfrm>
                    <a:prstGeom prst="rect">
                      <a:avLst/>
                    </a:prstGeom>
                    <a:noFill/>
                  </pic:spPr>
                </pic:pic>
              </a:graphicData>
            </a:graphic>
          </wp:anchor>
        </w:drawing>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-7620</wp:posOffset>
            </wp:positionV>
            <wp:extent cx="27990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6">
                      <a:extLst>
                        <a:ext uri="{28A0092B-C50C-407E-A947-70E740481C1C}"/>
                      </a:extLst>
                    </a:blip>
                    <a:srcRect/>
                    <a:stretch>
                      <a:fillRect/>
                    </a:stretch>
                  </pic:blipFill>
                  <pic:spPr bwMode="auto">
                    <a:xfrm>
                      <a:off x="0" y="0"/>
                      <a:ext cx="2799080" cy="8890"/>
                    </a:xfrm>
                    <a:prstGeom prst="rect">
                      <a:avLst/>
                    </a:prstGeom>
                    <a:noFill/>
                  </pic:spPr>
                </pic:pic>
              </a:graphicData>
            </a:graphic>
          </wp:anchor>
        </w:drawing>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Number of Shares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-7620</wp:posOffset>
            </wp:positionV>
            <wp:extent cx="27990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7">
                      <a:extLst>
                        <a:ext uri="{28A0092B-C50C-407E-A947-70E740481C1C}"/>
                      </a:extLst>
                    </a:blip>
                    <a:srcRect/>
                    <a:stretch>
                      <a:fillRect/>
                    </a:stretch>
                  </pic:blipFill>
                  <pic:spPr bwMode="auto">
                    <a:xfrm>
                      <a:off x="0" y="0"/>
                      <a:ext cx="2799080" cy="8255"/>
                    </a:xfrm>
                    <a:prstGeom prst="rect">
                      <a:avLst/>
                    </a:prstGeom>
                    <a:noFill/>
                  </pic:spPr>
                </pic:pic>
              </a:graphicData>
            </a:graphic>
          </wp:anchor>
        </w:drawing>
      </w:r>
    </w:p>
    <w:p>
      <w:pPr>
        <w:spacing w:after="0" w:line="3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Subject to any accelerated vesting as set forth below or in the Plan, the Shares of Restricted Stock will be scheduled to vest, and the Company’s right to reacquire the Restricted Stock will be scheduled to lapse, in accordance with the following schedule: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Vesting Schedule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By Participant’s signature and the signature of the representative of the Company below, Participant and the Company agree that this Award of Restricted Stock is granted under and governed by the terms and conditions of the Plan and this Restricted Stock Agreement, including the Terms and Conditions of Restricted Stock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all of which are made a part of this document. Participant acknowledges receipt of a copy of the Plan. Participant has reviewed the Plan and this Restricted Stock Agreement in their entirety, has had an opportunity to obtain the advice of counsel prior to executing this Restricted Stock Agreement and fully understands all provisions of the Plan and this Restricted Stock Agreement. Participant hereby agrees to accept as binding, conclusive and final all decisions or interpretations of the Administrator upon any questions relating to the Plan and the Restricted Stock Agreement. Participant further agrees to notify the Company upon any change in the residence address indicated below.</w:t>
      </w:r>
    </w:p>
    <w:p>
      <w:pPr>
        <w:sectPr>
          <w:pgSz w:w="11900" w:h="16838" w:orient="portrait"/>
          <w:cols w:equalWidth="0" w:num="1">
            <w:col w:w="10940"/>
          </w:cols>
          <w:pgMar w:left="440" w:top="266" w:right="51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7"/>
          <w:szCs w:val="17"/>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299085</wp:posOffset>
            </wp:positionV>
            <wp:extent cx="329184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329184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329184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0">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514350</wp:posOffset>
            </wp:positionV>
            <wp:extent cx="329184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-206375</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299085</wp:posOffset>
            </wp:positionV>
            <wp:extent cx="31457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222885</wp:posOffset>
            </wp:positionV>
            <wp:extent cx="31457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222885</wp:posOffset>
            </wp:positionV>
            <wp:extent cx="31457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524" w:lineRule="exact"/>
        <w:rPr>
          <w:sz w:val="20"/>
          <w:szCs w:val="20"/>
          <w:color w:val="auto"/>
        </w:rPr>
      </w:pPr>
    </w:p>
    <w:p>
      <w:pPr>
        <w:sectPr>
          <w:pgSz w:w="11900" w:h="16838" w:orient="portrait"/>
          <w:cols w:equalWidth="0" w:num="2">
            <w:col w:w="5340" w:space="720"/>
            <w:col w:w="3959"/>
          </w:cols>
          <w:pgMar w:left="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- 2 -</w:t>
      </w:r>
    </w:p>
    <w:p>
      <w:pPr>
        <w:sectPr>
          <w:pgSz w:w="11900" w:h="16838" w:orient="portrait"/>
          <w:cols w:equalWidth="0" w:num="1">
            <w:col w:w="10019"/>
          </w:cols>
          <w:pgMar w:left="440" w:top="270" w:right="1440" w:bottom="1440" w:gutter="0" w:footer="0" w:header="0"/>
          <w:type w:val="continuous"/>
        </w:sectPr>
      </w:pPr>
    </w:p>
    <w:bookmarkStart w:id="409" w:name="page410"/>
    <w:bookmarkEnd w:id="40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RESTRICTED STOCK GRANT</w:t>
      </w:r>
    </w:p>
    <w:p>
      <w:pPr>
        <w:spacing w:after="0" w:line="229" w:lineRule="exact"/>
        <w:rPr>
          <w:sz w:val="20"/>
          <w:szCs w:val="20"/>
          <w:color w:val="auto"/>
        </w:rPr>
      </w:pPr>
    </w:p>
    <w:p>
      <w:pPr>
        <w:ind w:right="40" w:firstLine="436"/>
        <w:spacing w:after="0" w:line="261" w:lineRule="auto"/>
        <w:tabs>
          <w:tab w:leader="none" w:pos="75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Shares of Restricted Stock</w:t>
      </w:r>
      <w:r>
        <w:rPr>
          <w:rFonts w:ascii="Times New Roman" w:cs="Times New Roman" w:eastAsia="Times New Roman" w:hAnsi="Times New Roman"/>
          <w:sz w:val="18"/>
          <w:szCs w:val="18"/>
          <w:color w:val="auto"/>
        </w:rPr>
        <w:t>. The Company hereby grants to the individual (“Participant”) named in the Notice of Restricted Stock Grant (the “Notice of Grant”) under the Plan an Award of Shares of Restricted Stock, subject to all of the terms and conditions in this Restricted Stock Agreement and the Plan, which is incorporated herein by reference. Subject to Section 19(c) of the Plan, in the event of a conflict between the terms and conditions of the Plan and this Restricted Stock Agreement, the terms and conditions of the Plan will prevail.</w:t>
      </w:r>
    </w:p>
    <w:p>
      <w:pPr>
        <w:spacing w:after="0" w:line="287"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 of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20" w:firstLine="987"/>
        <w:spacing w:after="0" w:line="266" w:lineRule="auto"/>
        <w:tabs>
          <w:tab w:leader="none" w:pos="1361"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Restricted Stock will, upon execution of this Restricted Stock Agreement, be delivered and deposited with an escrow holder designated by the Company (the “Escrow Holder”). The Shares of Restricted Stock will be held by the Escrow Holder until such time as the Shares of Restricted Stock vest or the date Participant ceases to be a Service Provider.</w:t>
      </w:r>
    </w:p>
    <w:p>
      <w:pPr>
        <w:spacing w:after="0" w:line="175" w:lineRule="exact"/>
        <w:rPr>
          <w:rFonts w:ascii="Times New Roman" w:cs="Times New Roman" w:eastAsia="Times New Roman" w:hAnsi="Times New Roman"/>
          <w:sz w:val="18"/>
          <w:szCs w:val="18"/>
          <w:color w:val="auto"/>
        </w:rPr>
      </w:pPr>
    </w:p>
    <w:p>
      <w:pPr>
        <w:ind w:right="340" w:firstLine="987"/>
        <w:spacing w:after="0" w:line="282" w:lineRule="auto"/>
        <w:tabs>
          <w:tab w:leader="none" w:pos="1378"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Holder will not be liable for any act it may do or omit to do with respect to holding the Shares of Restricted Stock in escrow while acting in good faith and in the exercise of its judgment.</w:t>
      </w:r>
    </w:p>
    <w:p>
      <w:pPr>
        <w:spacing w:after="0" w:line="161" w:lineRule="exact"/>
        <w:rPr>
          <w:rFonts w:ascii="Times New Roman" w:cs="Times New Roman" w:eastAsia="Times New Roman" w:hAnsi="Times New Roman"/>
          <w:sz w:val="18"/>
          <w:szCs w:val="18"/>
          <w:color w:val="auto"/>
        </w:rPr>
      </w:pPr>
    </w:p>
    <w:p>
      <w:pPr>
        <w:jc w:val="both"/>
        <w:ind w:right="80" w:firstLine="987"/>
        <w:spacing w:after="0" w:line="258" w:lineRule="auto"/>
        <w:tabs>
          <w:tab w:leader="none" w:pos="1371"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Participant’s termination as a Service Provider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183" w:lineRule="exact"/>
        <w:rPr>
          <w:rFonts w:ascii="Times New Roman" w:cs="Times New Roman" w:eastAsia="Times New Roman" w:hAnsi="Times New Roman"/>
          <w:sz w:val="18"/>
          <w:szCs w:val="18"/>
          <w:color w:val="auto"/>
        </w:rPr>
      </w:pPr>
    </w:p>
    <w:p>
      <w:pPr>
        <w:ind w:right="40" w:firstLine="987"/>
        <w:spacing w:after="0" w:line="282" w:lineRule="auto"/>
        <w:tabs>
          <w:tab w:leader="none" w:pos="1378"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Holder will take all steps necessary to accomplish the transfer of Shares of Restricted Stock to Participant after they vest following Participant’s request that the Escrow Holder do so.</w:t>
      </w:r>
    </w:p>
    <w:p>
      <w:pPr>
        <w:spacing w:after="0" w:line="161" w:lineRule="exact"/>
        <w:rPr>
          <w:rFonts w:ascii="Times New Roman" w:cs="Times New Roman" w:eastAsia="Times New Roman" w:hAnsi="Times New Roman"/>
          <w:sz w:val="18"/>
          <w:szCs w:val="18"/>
          <w:color w:val="auto"/>
        </w:rPr>
      </w:pPr>
    </w:p>
    <w:p>
      <w:pPr>
        <w:ind w:right="460" w:firstLine="987"/>
        <w:spacing w:after="0" w:line="282" w:lineRule="auto"/>
        <w:tabs>
          <w:tab w:leader="none" w:pos="1371"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hereof, Participant will have all the rights of a stockholder with respect to the Shares while they are held in escrow, including without limitation, the right to vote the Shares and to receive any cash dividends declared thereon.</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351"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the Shares of Restricted Stock will be increased, reduced or otherwise changed, and by virtue of any such change Participant will in his or her capacity as owner of unvested Shares of Restricted Stock be entitled to new or additional or different shares of stock, cash or securities (other than rights or warrants to purchase securities); such new or additional or different shares, cash or securities will thereupon be considered to be unvested Shares</w:t>
      </w:r>
    </w:p>
    <w:p>
      <w:pPr>
        <w:sectPr>
          <w:pgSz w:w="11900" w:h="16838" w:orient="portrait"/>
          <w:cols w:equalWidth="0" w:num="1">
            <w:col w:w="11000"/>
          </w:cols>
          <w:pgMar w:left="440" w:top="266" w:right="459" w:bottom="1440" w:gutter="0" w:footer="0" w:header="0"/>
        </w:sectPr>
      </w:pPr>
    </w:p>
    <w:bookmarkStart w:id="410" w:name="page411"/>
    <w:bookmarkEnd w:id="41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Restricted Stock and will be subject to all of the conditions and restrictions which were applicable to the unvested Shares of Restricted Stock pursuant to this Restricted Stock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Restricted Stock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189" w:lineRule="exact"/>
        <w:rPr>
          <w:sz w:val="20"/>
          <w:szCs w:val="20"/>
          <w:color w:val="auto"/>
        </w:rPr>
      </w:pPr>
    </w:p>
    <w:p>
      <w:pPr>
        <w:ind w:right="180" w:firstLine="987"/>
        <w:spacing w:after="0" w:line="282" w:lineRule="auto"/>
        <w:tabs>
          <w:tab w:leader="none" w:pos="1378"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instruct the transfer agent for its Common Stock to place a legend on the certificates representing the Restricted Stock or otherwise note its records as to the restrictions on transfer set forth in this Restricted Stock Agreement.</w:t>
      </w:r>
    </w:p>
    <w:p>
      <w:pPr>
        <w:spacing w:after="0" w:line="161"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75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4, and subject to Section 5, the Shares of Restricted Stock awarded by this Restricted Stock Agreement will vest in accordance with the vesting provisions set forth in the Notice of Grant. Shares of Restricted Stock scheduled to vest on a certain date or upon the occurrence of a certain condition will not vest in Participant in accordance with any of the provisions of this Restricted Stock Agreement, unless Participant will have been continuously a Service Provider from the Date of Grant until the date such vesting occurs.</w:t>
      </w:r>
    </w:p>
    <w:p>
      <w:pPr>
        <w:spacing w:after="0" w:line="179" w:lineRule="exact"/>
        <w:rPr>
          <w:rFonts w:ascii="Times New Roman" w:cs="Times New Roman" w:eastAsia="Times New Roman" w:hAnsi="Times New Roman"/>
          <w:sz w:val="18"/>
          <w:szCs w:val="18"/>
          <w:color w:val="auto"/>
        </w:rPr>
      </w:pPr>
    </w:p>
    <w:p>
      <w:pPr>
        <w:jc w:val="both"/>
        <w:ind w:firstLine="436"/>
        <w:spacing w:after="0" w:line="266" w:lineRule="auto"/>
        <w:tabs>
          <w:tab w:leader="none" w:pos="75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Restricted Stock at any time, subject to the terms of the Plan. If so accelerated, such Restricted Stock will be considered as having vested as of the date specified by the Administrator.</w:t>
      </w:r>
    </w:p>
    <w:p>
      <w:pPr>
        <w:spacing w:after="0" w:line="175" w:lineRule="exact"/>
        <w:rPr>
          <w:rFonts w:ascii="Times New Roman" w:cs="Times New Roman" w:eastAsia="Times New Roman" w:hAnsi="Times New Roman"/>
          <w:sz w:val="18"/>
          <w:szCs w:val="18"/>
          <w:color w:val="auto"/>
        </w:rPr>
      </w:pPr>
    </w:p>
    <w:p>
      <w:pPr>
        <w:ind w:right="60" w:firstLine="436"/>
        <w:spacing w:after="0" w:line="254" w:lineRule="auto"/>
        <w:tabs>
          <w:tab w:leader="none" w:pos="75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as a Service Provider</w:t>
      </w:r>
      <w:r>
        <w:rPr>
          <w:rFonts w:ascii="Times New Roman" w:cs="Times New Roman" w:eastAsia="Times New Roman" w:hAnsi="Times New Roman"/>
          <w:sz w:val="18"/>
          <w:szCs w:val="18"/>
          <w:color w:val="auto"/>
        </w:rPr>
        <w:t>. Unless specifically provided otherwise in this Restricted Stock Agreement or other written agreement between Participant and the Company or any of its Subsidiaries or Parents, as applicable, if Participant ceases to be a Service Provider for any or no reason, the balance of the Shares of Restricted Stock that have not vested as of the time Participant ceases to be a Service Provider for any or no reason will be forfeited and automatically transferred to and reacquired by the Company at no cost to the Company upon the date of such termination and Participant will have no further rights thereunder. Participant will not be entitled to a refund of the price paid for the Shares of Restricted Stock, if any, returned to the Company pursuant to this Section 4. Participant hereby appoints the Escrow Agent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to the Company upon such termination of service.</w:t>
      </w:r>
    </w:p>
    <w:p>
      <w:pPr>
        <w:spacing w:after="0" w:line="188" w:lineRule="exact"/>
        <w:rPr>
          <w:rFonts w:ascii="Times New Roman" w:cs="Times New Roman" w:eastAsia="Times New Roman" w:hAnsi="Times New Roman"/>
          <w:sz w:val="18"/>
          <w:szCs w:val="18"/>
          <w:color w:val="auto"/>
        </w:rPr>
      </w:pPr>
    </w:p>
    <w:p>
      <w:pPr>
        <w:ind w:right="160" w:firstLine="436"/>
        <w:spacing w:after="0" w:line="282" w:lineRule="auto"/>
        <w:tabs>
          <w:tab w:leader="none" w:pos="75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Any distribution or delivery to be made to Participant under this Restricted Stock Agreement will, if Participant is then deceased, be made to Participant’s designated beneficiary, or if no beneficiary survives Participant, the administrator or executor of</w:t>
      </w:r>
    </w:p>
    <w:p>
      <w:pPr>
        <w:spacing w:after="0" w:line="9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000"/>
          </w:cols>
          <w:pgMar w:left="440" w:top="270" w:right="459" w:bottom="1440" w:gutter="0" w:footer="0" w:header="0"/>
        </w:sectPr>
      </w:pPr>
    </w:p>
    <w:bookmarkStart w:id="411" w:name="page412"/>
    <w:bookmarkEnd w:id="41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270" w:lineRule="exact"/>
        <w:rPr>
          <w:sz w:val="20"/>
          <w:szCs w:val="20"/>
          <w:color w:val="auto"/>
        </w:rPr>
      </w:pPr>
    </w:p>
    <w:p>
      <w:pPr>
        <w:ind w:left="760" w:hanging="324"/>
        <w:spacing w:after="0"/>
        <w:tabs>
          <w:tab w:leader="none" w:pos="7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p>
    <w:p>
      <w:pPr>
        <w:spacing w:after="0" w:line="117" w:lineRule="exact"/>
        <w:rPr>
          <w:rFonts w:ascii="Times New Roman" w:cs="Times New Roman" w:eastAsia="Times New Roman" w:hAnsi="Times New Roman"/>
          <w:sz w:val="18"/>
          <w:szCs w:val="18"/>
          <w:color w:val="auto"/>
        </w:rPr>
      </w:pPr>
    </w:p>
    <w:p>
      <w:pPr>
        <w:ind w:firstLine="987"/>
        <w:spacing w:after="0" w:line="251" w:lineRule="auto"/>
        <w:tabs>
          <w:tab w:leader="none" w:pos="1371"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 Participant acknowledges that, regardless of any action taken by the Company or, if different, Participant’s employer (the “Employer”) or any Parent or Subsidiary to which Participant is providing services (together, the Company, Employer and/or Parent or Subsidiary to which Participant is providing services, the “Service Recipient”), the ultimate liability for any tax and/or social insurance liability obligations and requirements in connection with the Shares of Restricted Stock, including, without limitation, (i) all federal, state, and local taxes (including the Participant’s Federal Insurance Contributions Act (FICA) obligation) that are required to be withheld by the Company or the Employer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release from escrow of the Shares of Restricted Stock, the filing of an 83(b) election with respect to the Shares of Restricted Stock, or the sale of Shares, and (iii) any other Company (or Service Recipient) taxes the responsibility for which the Participant has, or has agreed to bear, with respect to the Shares of Restricted Stock (or exercise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 Shares of Restricted Stock, including, but not limited to, the grant, vesting or release from escrow of the Shares of Restricted Stock, the filing of an 83(b) election with respect to the Shares of Restricted Stock, the subsequent sale of Shares acquired pursuant to this Restricted Stock Agreement and the receipt of any dividends or other distributions, and (B) do not commit to and are under no obligation to structure the terms of the grant or any aspect of the Award of Restricted Stock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 Participant understands that Section 83 of the Code, taxes as ordinary income the difference between the purchase price, if any, for the Shares and the Fair Market Value of the Shares as of each vesting date. If Participant is a U.S. taxpayer, Participant understands that Participant may elect, for purposes of U.S. tax law, to be taxed at the time the Shares are granted rather than when such Shares vest by filing an election under Section 83(b) of the Code (the “83(b) Election”) with the IRS within thirty (30) days from the date of grant of the Restricted Stock Award.</w:t>
      </w:r>
    </w:p>
    <w:p>
      <w:pPr>
        <w:spacing w:after="0" w:line="136"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980"/>
          </w:cols>
          <w:pgMar w:left="440" w:top="270" w:right="479" w:bottom="1440" w:gutter="0" w:footer="0" w:header="0"/>
        </w:sectPr>
      </w:pPr>
    </w:p>
    <w:bookmarkStart w:id="412" w:name="page413"/>
    <w:bookmarkEnd w:id="412"/>
    <w:p>
      <w:pPr>
        <w:ind w:left="-987" w:firstLine="987"/>
        <w:spacing w:after="0" w:line="252" w:lineRule="auto"/>
        <w:tabs>
          <w:tab w:leader="none" w:pos="39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Withholding</w:t>
      </w:r>
      <w:r>
        <w:rPr>
          <w:rFonts w:ascii="Times New Roman" w:cs="Times New Roman" w:eastAsia="Times New Roman" w:hAnsi="Times New Roman"/>
          <w:sz w:val="18"/>
          <w:szCs w:val="18"/>
          <w:color w:val="auto"/>
        </w:rPr>
        <w:t>. Notwithstanding any contrary provision of this Restricted Stock Agreement, no certificate representing the Shares of Restricted Stock may be released from the escrow established pursuant to Section 14, unless and until satisfactory arrangements (as determined by the Administrator) will have been made by Participant with respect to the payment of all Tax Obligations. When Shares of Restricted Stock are vested,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which the Company determines must be withheld with respect to this Award. The Administrator, in its sole discretion and pursuant to such procedures as it may specify from time to time, may permit or require Participant to satisfy Participant’s Tax Obligations, in whole or in part (without limitation), if permissible by applicable local law, by (i) paying cash in U.S. dollars,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having the amount of such Tax Obligation withheld from Participant’s wages or other cash compensation paid to Participant by the applicable Service Recipient(s), (iv) delivering to the Company Shares that Participant owns and that have vested with a fair market value equal to the Tax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or (vi) such other means as the Administrator deems appropriate. To the extent determined appropriate by the Administrator in its discretion, the Administrator will have the right (but not the obligation) to satisfy any Tax Obligations by reducing the number of Shares otherwise deliverable to Participant and, until determined otherwise by the Company, this will be the method by which such Tax Obligations are satisfied.</w:t>
      </w:r>
    </w:p>
    <w:p>
      <w:pPr>
        <w:spacing w:after="0" w:line="187" w:lineRule="exact"/>
        <w:rPr>
          <w:rFonts w:ascii="Times New Roman" w:cs="Times New Roman" w:eastAsia="Times New Roman" w:hAnsi="Times New Roman"/>
          <w:sz w:val="18"/>
          <w:szCs w:val="18"/>
          <w:color w:val="auto"/>
        </w:rPr>
      </w:pPr>
    </w:p>
    <w:p>
      <w:pPr>
        <w:ind w:left="-987" w:right="120" w:firstLine="987"/>
        <w:spacing w:after="0" w:line="258" w:lineRule="auto"/>
        <w:tabs>
          <w:tab w:leader="none" w:pos="383"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w:t>
      </w:r>
      <w:r>
        <w:rPr>
          <w:rFonts w:ascii="Times New Roman" w:cs="Times New Roman" w:eastAsia="Times New Roman" w:hAnsi="Times New Roman"/>
          <w:sz w:val="18"/>
          <w:szCs w:val="18"/>
          <w:color w:val="auto"/>
        </w:rPr>
        <w:t>. Participant has reviewed with his or her own tax advisers the U.S. federal, state, local and non-U.S. tax consequences of this investment and the transactions contemplated by this Restricted Stock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Restricted Stock Agreement.</w:t>
      </w:r>
    </w:p>
    <w:p>
      <w:pPr>
        <w:spacing w:after="0" w:line="183" w:lineRule="exact"/>
        <w:rPr>
          <w:rFonts w:ascii="Times New Roman" w:cs="Times New Roman" w:eastAsia="Times New Roman" w:hAnsi="Times New Roman"/>
          <w:sz w:val="18"/>
          <w:szCs w:val="18"/>
          <w:color w:val="auto"/>
        </w:rPr>
      </w:pPr>
    </w:p>
    <w:p>
      <w:pPr>
        <w:ind w:left="-987" w:right="140" w:firstLine="987"/>
        <w:spacing w:after="0" w:line="256" w:lineRule="auto"/>
        <w:tabs>
          <w:tab w:leader="none" w:pos="39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Release Shares</w:t>
      </w:r>
      <w:r>
        <w:rPr>
          <w:rFonts w:ascii="Times New Roman" w:cs="Times New Roman" w:eastAsia="Times New Roman" w:hAnsi="Times New Roman"/>
          <w:sz w:val="18"/>
          <w:szCs w:val="18"/>
          <w:color w:val="auto"/>
        </w:rPr>
        <w:t>. For clarification purposes, in no event will the Company release Shares from the escrow established pursuant to Section 11 unless and until arrangements satisfactory to the Administrator have been made for the payment of Participant’s Tax Obligations. If Participant fails to make satisfactory arrangements for the payment of such Tax Obligations hereunder at the time any applicable Shares of Restricted Stock otherwise are scheduled to vest pursuant to Sections 2 or 3, at the time Participant files a timely 83(b) Election with the IRS, or Participant’s Tax Obligations otherwise become due, Participant will permanently forfeit such Shares of Restricted Stock to which Participant’s Tax Obligation</w:t>
      </w:r>
    </w:p>
    <w:p>
      <w:pPr>
        <w:spacing w:after="0" w:line="119"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013"/>
          </w:cols>
          <w:pgMar w:left="1427" w:top="270" w:right="459" w:bottom="1440" w:gutter="0" w:footer="0" w:header="0"/>
        </w:sectPr>
      </w:pPr>
    </w:p>
    <w:bookmarkStart w:id="413" w:name="page414"/>
    <w:bookmarkEnd w:id="413"/>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relates and any right to receive Shares thereunder and such Shares of Restricted Stock will be returned to the Company at no cost to the Company. Participant acknowledges and agrees that the Company may refuse to issue or deliver the Shares if such Tax Obligations are not delivered at the time they are due.</w:t>
      </w:r>
    </w:p>
    <w:p>
      <w:pPr>
        <w:spacing w:after="0" w:line="176" w:lineRule="exact"/>
        <w:rPr>
          <w:sz w:val="20"/>
          <w:szCs w:val="20"/>
          <w:color w:val="auto"/>
        </w:rPr>
      </w:pPr>
    </w:p>
    <w:p>
      <w:pPr>
        <w:ind w:firstLine="436"/>
        <w:spacing w:after="0" w:line="255" w:lineRule="auto"/>
        <w:tabs>
          <w:tab w:leader="none" w:pos="755"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or the Escrow Agent. After such issuance, recordation and delivery, Participant will have all the rights of a stockholder of the Company with respect to voting such Shares and receipt of dividends and distributions on such Shares. Except as provided in Section 1(f), after such issuance, recordation and delivery, Participant will have all the rights of a stockholder of the Company with respect to voting such Shares and receipt of dividends and distributions on such Shares.</w:t>
      </w:r>
    </w:p>
    <w:p>
      <w:pPr>
        <w:spacing w:after="0" w:line="188" w:lineRule="exact"/>
        <w:rPr>
          <w:rFonts w:ascii="Times New Roman" w:cs="Times New Roman" w:eastAsia="Times New Roman" w:hAnsi="Times New Roman"/>
          <w:sz w:val="18"/>
          <w:szCs w:val="18"/>
          <w:color w:val="auto"/>
        </w:rPr>
      </w:pPr>
    </w:p>
    <w:p>
      <w:pPr>
        <w:ind w:right="120" w:firstLine="436"/>
        <w:spacing w:after="0" w:line="253" w:lineRule="auto"/>
        <w:tabs>
          <w:tab w:leader="none" w:pos="755"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THE SHARES OF RESTRICTED STOCK PURSUANT TO THE VESTING SCHEDULE HEREOF IS EARNED ONLY BY CONTINUING AS A SERVICE PROVIDER, WHICH UNLESS PROVIDED OTHERWISE UNDER APPLICABLE LAW IS AT THE WILL OF THE COMPANY (OR THE SERVICE RECIPIENT) AND NOT THROUGH THE ACT OF BEING HIRED, BEING GRANTED THIS RESTRICTED STOCK AWARD OR ACQUIRING SHARES HEREUNDER. PARTICIPANT FURTHER ACKNOWLEDGES AND AGREES THAT THIS RESTRICTED STOCK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299"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Restricted Stock, Participant acknowledges, understands and agrees that:</w:t>
      </w:r>
    </w:p>
    <w:p>
      <w:pPr>
        <w:spacing w:after="0" w:line="117" w:lineRule="exact"/>
        <w:rPr>
          <w:rFonts w:ascii="Times New Roman" w:cs="Times New Roman" w:eastAsia="Times New Roman" w:hAnsi="Times New Roman"/>
          <w:sz w:val="18"/>
          <w:szCs w:val="18"/>
          <w:color w:val="auto"/>
        </w:rPr>
      </w:pPr>
    </w:p>
    <w:p>
      <w:pPr>
        <w:ind w:right="80" w:firstLine="987"/>
        <w:spacing w:after="0" w:line="266" w:lineRule="auto"/>
        <w:tabs>
          <w:tab w:leader="none" w:pos="1371"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Shares of Restricted Stock is voluntary and occasional and does not create any contractual or other right to receive future grants of Shares of Restricted Stock, or benefits in lieu of Shares of Restricted Stock, even if Shares of Restricted Stock have been granted in the past;</w:t>
      </w:r>
    </w:p>
    <w:p>
      <w:pPr>
        <w:spacing w:after="0" w:line="17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of Restricted Stock or other grants, if any, will be at the sole discretion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206"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157"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960"/>
          </w:cols>
          <w:pgMar w:left="440" w:top="270" w:right="499" w:bottom="1440" w:gutter="0" w:footer="0" w:header="0"/>
        </w:sectPr>
      </w:pPr>
    </w:p>
    <w:bookmarkStart w:id="414" w:name="page415"/>
    <w:bookmarkEnd w:id="414"/>
    <w:p>
      <w:pPr>
        <w:ind w:left="393" w:hanging="393"/>
        <w:spacing w:after="0"/>
        <w:tabs>
          <w:tab w:leader="none" w:pos="393"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of Restricted Stock are not intended to replace any pension rights or compensation;</w:t>
      </w:r>
    </w:p>
    <w:p>
      <w:pPr>
        <w:spacing w:after="0" w:line="225" w:lineRule="exact"/>
        <w:rPr>
          <w:rFonts w:ascii="Times New Roman" w:cs="Times New Roman" w:eastAsia="Times New Roman" w:hAnsi="Times New Roman"/>
          <w:sz w:val="18"/>
          <w:szCs w:val="18"/>
          <w:color w:val="auto"/>
        </w:rPr>
      </w:pPr>
    </w:p>
    <w:p>
      <w:pPr>
        <w:ind w:left="-987" w:right="180" w:firstLine="987"/>
        <w:spacing w:after="0" w:line="266" w:lineRule="auto"/>
        <w:tabs>
          <w:tab w:leader="none" w:pos="38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Restricted Stock,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353" w:hanging="353"/>
        <w:spacing w:after="0"/>
        <w:tabs>
          <w:tab w:leader="none" w:pos="353"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indeterminable and cannot be predicted;</w:t>
      </w:r>
    </w:p>
    <w:p>
      <w:pPr>
        <w:spacing w:after="0" w:line="225" w:lineRule="exact"/>
        <w:rPr>
          <w:rFonts w:ascii="Times New Roman" w:cs="Times New Roman" w:eastAsia="Times New Roman" w:hAnsi="Times New Roman"/>
          <w:sz w:val="18"/>
          <w:szCs w:val="18"/>
          <w:color w:val="auto"/>
        </w:rPr>
      </w:pPr>
    </w:p>
    <w:p>
      <w:pPr>
        <w:ind w:left="-987" w:right="80" w:firstLine="987"/>
        <w:spacing w:after="0" w:line="253" w:lineRule="auto"/>
        <w:tabs>
          <w:tab w:leader="none" w:pos="39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Shares of Restricted Stock,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Restricted Stock Agreement (including by reference in the Notice of Grant to other arrangements or contracts) or determined by the Administrator, Participant’s right to vest in the Shares of Restricted Stock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Restricted Stock Award (including whether Participant may still be considered to be providing services while on a leave of absence and consistent with local law);</w:t>
      </w:r>
    </w:p>
    <w:p>
      <w:pPr>
        <w:spacing w:after="0" w:line="191" w:lineRule="exact"/>
        <w:rPr>
          <w:rFonts w:ascii="Times New Roman" w:cs="Times New Roman" w:eastAsia="Times New Roman" w:hAnsi="Times New Roman"/>
          <w:sz w:val="18"/>
          <w:szCs w:val="18"/>
          <w:color w:val="auto"/>
        </w:rPr>
      </w:pPr>
    </w:p>
    <w:p>
      <w:pPr>
        <w:ind w:left="-987" w:firstLine="987"/>
        <w:spacing w:after="0" w:line="266" w:lineRule="auto"/>
        <w:tabs>
          <w:tab w:leader="none" w:pos="39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Administrator in its discretion, the Shares of Restricted Stock and the benefits evidenced by this Restricted Stock Agreement do not create any entitlement to have the Shares of Restricted Stock or any such benefits transferred to, or assumed by, another company nor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left="353" w:hanging="353"/>
        <w:spacing w:after="0"/>
        <w:tabs>
          <w:tab w:leader="none" w:pos="353"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Participant is providing services outside the United States:</w:t>
      </w:r>
    </w:p>
    <w:p>
      <w:pPr>
        <w:spacing w:after="0" w:line="225" w:lineRule="exact"/>
        <w:rPr>
          <w:rFonts w:ascii="Times New Roman" w:cs="Times New Roman" w:eastAsia="Times New Roman" w:hAnsi="Times New Roman"/>
          <w:sz w:val="18"/>
          <w:szCs w:val="18"/>
          <w:color w:val="auto"/>
        </w:rPr>
      </w:pPr>
    </w:p>
    <w:p>
      <w:pPr>
        <w:ind w:left="793" w:hanging="352"/>
        <w:spacing w:after="0"/>
        <w:tabs>
          <w:tab w:leader="none" w:pos="793"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Restricted Stock are not part of normal or expected compensation or salary for any purpose;</w:t>
      </w:r>
    </w:p>
    <w:p>
      <w:pPr>
        <w:spacing w:after="0" w:line="225" w:lineRule="exact"/>
        <w:rPr>
          <w:rFonts w:ascii="Times New Roman" w:cs="Times New Roman" w:eastAsia="Times New Roman" w:hAnsi="Times New Roman"/>
          <w:sz w:val="18"/>
          <w:szCs w:val="18"/>
          <w:color w:val="auto"/>
        </w:rPr>
      </w:pPr>
    </w:p>
    <w:p>
      <w:pPr>
        <w:ind w:left="-987" w:right="220" w:firstLine="1428"/>
        <w:spacing w:after="0" w:line="266" w:lineRule="auto"/>
        <w:tabs>
          <w:tab w:leader="none" w:pos="844"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none of the Company, the Employer or any Parent or Subsidiary shall be liable for any foreign exchange rate fluctuation between Participant’s local currency and the United States Dollar that may affect the value of the Shares of Restricted Stock or the subsequent sale of any Shares; and</w:t>
      </w:r>
    </w:p>
    <w:p>
      <w:pPr>
        <w:spacing w:after="0" w:line="175" w:lineRule="exact"/>
        <w:rPr>
          <w:rFonts w:ascii="Times New Roman" w:cs="Times New Roman" w:eastAsia="Times New Roman" w:hAnsi="Times New Roman"/>
          <w:sz w:val="18"/>
          <w:szCs w:val="18"/>
          <w:color w:val="auto"/>
        </w:rPr>
      </w:pPr>
    </w:p>
    <w:p>
      <w:pPr>
        <w:ind w:left="-987" w:right="420" w:firstLine="1428"/>
        <w:spacing w:after="0" w:line="282" w:lineRule="auto"/>
        <w:tabs>
          <w:tab w:leader="none" w:pos="894"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Restricted Stock resulting from the termination of Participant’s status as a Service Provider (for any reason whatsoever whether or not later found to be invalid or in</w:t>
      </w:r>
    </w:p>
    <w:p>
      <w:pPr>
        <w:spacing w:after="0" w:line="94"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2"/>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9993"/>
          </w:cols>
          <w:pgMar w:left="1427" w:top="270" w:right="479" w:bottom="1440" w:gutter="0" w:footer="0" w:header="0"/>
        </w:sectPr>
      </w:pPr>
    </w:p>
    <w:bookmarkStart w:id="415" w:name="page416"/>
    <w:bookmarkEnd w:id="415"/>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breach of employment laws in the jurisdiction where Participant is a Service Provider or the terms of Participant’s employment or service agreement, if any), and in consideration of the grant of the Restricted Stock to which Participant is otherwise not entitled, Participant irrevocably agrees never to institute any claim against the Company, any Parent or Subsidiary or the Service Recipient, waives his or her ability, if any, to bring any such claim, and releases the Company, any Parent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7" w:lineRule="exact"/>
        <w:rPr>
          <w:sz w:val="20"/>
          <w:szCs w:val="20"/>
          <w:color w:val="auto"/>
        </w:rPr>
      </w:pPr>
    </w:p>
    <w:p>
      <w:pPr>
        <w:ind w:right="260" w:firstLine="436"/>
        <w:spacing w:after="0" w:line="261" w:lineRule="auto"/>
        <w:tabs>
          <w:tab w:leader="none" w:pos="83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75" w:lineRule="exact"/>
        <w:rPr>
          <w:rFonts w:ascii="Times New Roman" w:cs="Times New Roman" w:eastAsia="Times New Roman" w:hAnsi="Times New Roman"/>
          <w:sz w:val="18"/>
          <w:szCs w:val="18"/>
          <w:color w:val="auto"/>
        </w:rPr>
      </w:pPr>
    </w:p>
    <w:p>
      <w:pPr>
        <w:ind w:firstLine="436"/>
        <w:spacing w:after="0" w:line="268" w:lineRule="auto"/>
        <w:tabs>
          <w:tab w:leader="none" w:pos="845" w:val="left"/>
        </w:tabs>
        <w:numPr>
          <w:ilvl w:val="0"/>
          <w:numId w:val="3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 of Participant’s personal data as described in this Restricted Stock Agreement and any other Restricted Stock grant materials by and among, as applicable, the Service Recipients for the exclusive purpose of implementing, administering and managing Participant’s participation in the Plan.</w:t>
      </w:r>
    </w:p>
    <w:p>
      <w:pPr>
        <w:spacing w:after="0" w:line="171"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Shares of Restricted Stock or any other entitlement to Shares awarded, canceled, exercised, vested, unvested or outstanding in Participant’s favor (“Data”), for the exclusive purpose of implementing, administering and managing the Plan.</w:t>
      </w:r>
    </w:p>
    <w:p>
      <w:pPr>
        <w:spacing w:after="0" w:line="1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000"/>
          </w:cols>
          <w:pgMar w:left="440" w:top="270" w:right="459" w:bottom="1440" w:gutter="0" w:footer="0" w:header="0"/>
        </w:sectPr>
      </w:pPr>
    </w:p>
    <w:bookmarkStart w:id="416" w:name="page417"/>
    <w:bookmarkEnd w:id="416"/>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87" w:lineRule="exact"/>
        <w:rPr>
          <w:sz w:val="20"/>
          <w:szCs w:val="20"/>
          <w:color w:val="auto"/>
        </w:rPr>
      </w:pPr>
    </w:p>
    <w:p>
      <w:pPr>
        <w:ind w:right="60" w:firstLine="436"/>
        <w:spacing w:after="0" w:line="266" w:lineRule="auto"/>
        <w:tabs>
          <w:tab w:leader="none" w:pos="84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Restricted Stock Agreement will be addressed to the Company at PMV Pharmaceuticals, Inc., 8 Clarke Drive, Suite 3, Cranbury, NJ 08512, or at such other address as the Company may hereafter designate in writing.</w:t>
      </w:r>
    </w:p>
    <w:p>
      <w:pPr>
        <w:spacing w:after="0" w:line="175" w:lineRule="exact"/>
        <w:rPr>
          <w:rFonts w:ascii="Times New Roman" w:cs="Times New Roman" w:eastAsia="Times New Roman" w:hAnsi="Times New Roman"/>
          <w:sz w:val="18"/>
          <w:szCs w:val="18"/>
          <w:color w:val="auto"/>
        </w:rPr>
      </w:pPr>
    </w:p>
    <w:p>
      <w:pPr>
        <w:ind w:right="140" w:firstLine="436"/>
        <w:spacing w:after="0" w:line="258" w:lineRule="auto"/>
        <w:tabs>
          <w:tab w:leader="none" w:pos="84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Shares of Restricted Stock awarded under the Plan or future Shares of Restricted Stock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3" w:lineRule="exact"/>
        <w:rPr>
          <w:rFonts w:ascii="Times New Roman" w:cs="Times New Roman" w:eastAsia="Times New Roman" w:hAnsi="Times New Roman"/>
          <w:sz w:val="18"/>
          <w:szCs w:val="18"/>
          <w:color w:val="auto"/>
        </w:rPr>
      </w:pPr>
    </w:p>
    <w:p>
      <w:pPr>
        <w:ind w:right="700" w:firstLine="436"/>
        <w:spacing w:after="0" w:line="282" w:lineRule="auto"/>
        <w:tabs>
          <w:tab w:leader="none" w:pos="84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Restricted Stock Agreement.</w:t>
      </w:r>
    </w:p>
    <w:p>
      <w:pPr>
        <w:spacing w:after="0" w:line="161" w:lineRule="exact"/>
        <w:rPr>
          <w:rFonts w:ascii="Times New Roman" w:cs="Times New Roman" w:eastAsia="Times New Roman" w:hAnsi="Times New Roman"/>
          <w:sz w:val="18"/>
          <w:szCs w:val="18"/>
          <w:color w:val="auto"/>
        </w:rPr>
      </w:pPr>
    </w:p>
    <w:p>
      <w:pPr>
        <w:ind w:right="100" w:firstLine="436"/>
        <w:spacing w:after="0" w:line="266" w:lineRule="auto"/>
        <w:tabs>
          <w:tab w:leader="none" w:pos="84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Agreement Severable</w:t>
      </w:r>
      <w:r>
        <w:rPr>
          <w:rFonts w:ascii="Times New Roman" w:cs="Times New Roman" w:eastAsia="Times New Roman" w:hAnsi="Times New Roman"/>
          <w:sz w:val="18"/>
          <w:szCs w:val="18"/>
          <w:color w:val="auto"/>
        </w:rPr>
        <w:t>. In the event that any provision in this Restricted Stock Agreement will be held invalid or unenforceable, such provision will be severable from, and such invalidity or unenforceability will not be construed to have any effect on, the remaining provisions of this Restricted Stock Agreement.</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84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Restricted Stock Agreement shall not in any way be construed as a waiver of any such provision or provisions, nor prevent that party from thereafter enforcing each and every other provision of this Restricted Stock Agreement. The rights granted both parties herein are cumulative and shall not constitute a waiver of either party’s right to assert all other legal remedies available to it under the circumstances.</w:t>
      </w:r>
    </w:p>
    <w:p>
      <w:pPr>
        <w:spacing w:after="0" w:line="179" w:lineRule="exact"/>
        <w:rPr>
          <w:rFonts w:ascii="Times New Roman" w:cs="Times New Roman" w:eastAsia="Times New Roman" w:hAnsi="Times New Roman"/>
          <w:sz w:val="18"/>
          <w:szCs w:val="18"/>
          <w:color w:val="auto"/>
        </w:rPr>
      </w:pPr>
    </w:p>
    <w:p>
      <w:pPr>
        <w:ind w:right="160" w:firstLine="436"/>
        <w:spacing w:after="0" w:line="258" w:lineRule="auto"/>
        <w:tabs>
          <w:tab w:leader="none" w:pos="84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for the escrow described in Section 11 or transfer of the Shares to the Company or its assignees contemplated by this Restricted Stock Agreement, and except to the limited extent provided in Section 6, the unvested Shares subject to this Restricted Stock Agreement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any unvested Shares of Restricted Stock</w:t>
      </w:r>
    </w:p>
    <w:p>
      <w:pPr>
        <w:spacing w:after="0" w:line="115"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00"/>
          </w:cols>
          <w:pgMar w:left="440" w:top="266" w:right="459" w:bottom="1440" w:gutter="0" w:footer="0" w:header="0"/>
        </w:sectPr>
      </w:pPr>
    </w:p>
    <w:bookmarkStart w:id="417" w:name="page418"/>
    <w:bookmarkEnd w:id="417"/>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this grant, or any right or privilege conferred hereby, or upon any attempted sale under any execution, attachment or similar process, this grant and the rights and privileges conferred hereby immediately will become null and void.</w:t>
      </w:r>
    </w:p>
    <w:p>
      <w:pPr>
        <w:spacing w:after="0" w:line="162" w:lineRule="exact"/>
        <w:rPr>
          <w:sz w:val="20"/>
          <w:szCs w:val="20"/>
          <w:color w:val="auto"/>
        </w:rPr>
      </w:pPr>
    </w:p>
    <w:p>
      <w:pPr>
        <w:ind w:firstLine="436"/>
        <w:spacing w:after="0" w:line="281" w:lineRule="auto"/>
        <w:tabs>
          <w:tab w:leader="none" w:pos="845" w:val="left"/>
        </w:tabs>
        <w:numPr>
          <w:ilvl w:val="0"/>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Restricted Stock Agreement to single or multiple assignees, and this Restricted Stock Agreement shall inure to the benefit of the successors and assigns of the Company. Subject to the restrictions on transfer herein set forth, this Restricted Stock Agreement shall be binding upon Participant and his or her heirs, executors, administrators, successors and assigns. The rights and obligations of Participant under this Restricted Stock Agreement may be assigned only with the prior written consent of the Company.</w:t>
      </w:r>
    </w:p>
    <w:p>
      <w:pPr>
        <w:spacing w:after="0" w:line="164" w:lineRule="exact"/>
        <w:rPr>
          <w:rFonts w:ascii="Times New Roman" w:cs="Times New Roman" w:eastAsia="Times New Roman" w:hAnsi="Times New Roman"/>
          <w:sz w:val="17"/>
          <w:szCs w:val="17"/>
          <w:color w:val="auto"/>
        </w:rPr>
      </w:pPr>
    </w:p>
    <w:p>
      <w:pPr>
        <w:ind w:right="20" w:firstLine="436"/>
        <w:spacing w:after="0" w:line="253" w:lineRule="auto"/>
        <w:tabs>
          <w:tab w:leader="none" w:pos="84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or the Escrow Holder hereunder, such issuance will not occur unless and until such listing, registration, qualification, rule compliance, clearance, consent or approval will have been completed, effected or obtained free of any conditions not acceptable to the Company. Subject to the terms of the Restricted Stock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Grant of the Shares of Restricted Stock as the Administrator may establish from time to time for reasons of administrative convenience.</w:t>
      </w:r>
    </w:p>
    <w:p>
      <w:pPr>
        <w:spacing w:after="0" w:line="194" w:lineRule="exact"/>
        <w:rPr>
          <w:rFonts w:ascii="Times New Roman" w:cs="Times New Roman" w:eastAsia="Times New Roman" w:hAnsi="Times New Roman"/>
          <w:sz w:val="18"/>
          <w:szCs w:val="18"/>
          <w:color w:val="auto"/>
        </w:rPr>
      </w:pPr>
    </w:p>
    <w:p>
      <w:pPr>
        <w:ind w:right="200" w:firstLine="436"/>
        <w:spacing w:after="0" w:line="282" w:lineRule="auto"/>
        <w:tabs>
          <w:tab w:leader="none" w:pos="84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Restricted Stock Agreement or any other document related to the Plan translated into a language other than English and if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ind w:right="20" w:firstLine="436"/>
        <w:spacing w:after="0" w:line="256" w:lineRule="auto"/>
        <w:tabs>
          <w:tab w:leader="none" w:pos="84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Administrator will have the power to interpret the Plan and this Restricted Stock Agreement and to adopt such rules for the administration, interpretation and application of the Plan as are consistent therewith and to interpret or revoke any such rules (including, but not limited to, the determination of whether or not any Shares of Restricted Stock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Restricted Stock Agreement.</w:t>
      </w:r>
    </w:p>
    <w:p>
      <w:pPr>
        <w:spacing w:after="0" w:line="187" w:lineRule="exact"/>
        <w:rPr>
          <w:rFonts w:ascii="Times New Roman" w:cs="Times New Roman" w:eastAsia="Times New Roman" w:hAnsi="Times New Roman"/>
          <w:sz w:val="18"/>
          <w:szCs w:val="18"/>
          <w:color w:val="auto"/>
        </w:rPr>
      </w:pPr>
    </w:p>
    <w:p>
      <w:pPr>
        <w:ind w:right="140" w:firstLine="436"/>
        <w:spacing w:after="0" w:line="266" w:lineRule="auto"/>
        <w:tabs>
          <w:tab w:leader="none" w:pos="84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Administrator at any time.</w:t>
      </w:r>
    </w:p>
    <w:p>
      <w:pPr>
        <w:spacing w:after="0" w:line="108"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1000"/>
          </w:cols>
          <w:pgMar w:left="440" w:top="270" w:right="459" w:bottom="1440" w:gutter="0" w:footer="0" w:header="0"/>
        </w:sectPr>
      </w:pPr>
    </w:p>
    <w:bookmarkStart w:id="418" w:name="page419"/>
    <w:bookmarkEnd w:id="418"/>
    <w:p>
      <w:pPr>
        <w:ind w:left="-40" w:firstLine="436"/>
        <w:spacing w:after="0" w:line="255" w:lineRule="auto"/>
        <w:tabs>
          <w:tab w:leader="none" w:pos="80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Modifications to the Restricted Stock Agreement</w:t>
      </w:r>
      <w:r>
        <w:rPr>
          <w:rFonts w:ascii="Times New Roman" w:cs="Times New Roman" w:eastAsia="Times New Roman" w:hAnsi="Times New Roman"/>
          <w:sz w:val="18"/>
          <w:szCs w:val="18"/>
          <w:color w:val="auto"/>
        </w:rPr>
        <w:t>. This Restricted Stock Agreement constitutes the entire understanding of the parties on the subjects covered. Participant expressly warrants that he or she is not accepting this Restricted Stock Agreement in reliance on any promises, representations, or inducements other than those contained herein. Modifications to this Restricted Stock Agreement or the Plan can be made only in an express written contract executed by a duly authorized officer of the Company. Notwithstanding anything to the contrary in the Plan or this Restricted Stock Agreement, the Company reserves the right to revise this Restricted Stock Agreement as it deems necessary or advisable, in its sole discretion and without the consent of Participant, to comply with Section 409A or to otherwise avoid imposition of any additional tax or income recognition under Section 409A in connection with this Award of Shares of Restricted Stock.</w:t>
      </w:r>
    </w:p>
    <w:p>
      <w:pPr>
        <w:spacing w:after="0" w:line="188" w:lineRule="exact"/>
        <w:rPr>
          <w:rFonts w:ascii="Times New Roman" w:cs="Times New Roman" w:eastAsia="Times New Roman" w:hAnsi="Times New Roman"/>
          <w:sz w:val="18"/>
          <w:szCs w:val="18"/>
          <w:color w:val="auto"/>
        </w:rPr>
      </w:pPr>
    </w:p>
    <w:p>
      <w:pPr>
        <w:ind w:left="-40" w:right="20" w:firstLine="436"/>
        <w:spacing w:after="0" w:line="258" w:lineRule="auto"/>
        <w:tabs>
          <w:tab w:leader="none" w:pos="80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Restricted Stock Agreement and the Shares of Restricted Stock will be governed by the laws of New Jersey, without giving effect to the conflict of law principles thereof. For purposes of litigating any dispute that arises under this Restricted Stock Award or this Restricted Stock Agreement, the parties hereby submit to and consent to the jurisdiction of the State of New Jersey, and agree that such litigation will be conducted in the courts of Middlesex County, New Jersey, or the U.S. federal courts for the District of New Jersey, and no other courts, where this Award or Restricted Stock is made and/or to be performed.</w:t>
      </w:r>
    </w:p>
    <w:p>
      <w:pPr>
        <w:spacing w:after="0" w:line="183" w:lineRule="exact"/>
        <w:rPr>
          <w:rFonts w:ascii="Times New Roman" w:cs="Times New Roman" w:eastAsia="Times New Roman" w:hAnsi="Times New Roman"/>
          <w:sz w:val="18"/>
          <w:szCs w:val="18"/>
          <w:color w:val="auto"/>
        </w:rPr>
      </w:pPr>
    </w:p>
    <w:p>
      <w:pPr>
        <w:ind w:left="-40" w:right="140" w:firstLine="436"/>
        <w:spacing w:after="0" w:line="261" w:lineRule="auto"/>
        <w:tabs>
          <w:tab w:leader="none" w:pos="80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is incorporated herein by reference. The Plan and this Restricted Stock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9" w:lineRule="exact"/>
        <w:rPr>
          <w:rFonts w:ascii="Times New Roman" w:cs="Times New Roman" w:eastAsia="Times New Roman" w:hAnsi="Times New Roman"/>
          <w:sz w:val="18"/>
          <w:szCs w:val="18"/>
          <w:color w:val="auto"/>
        </w:rPr>
      </w:pPr>
    </w:p>
    <w:p>
      <w:pPr>
        <w:ind w:left="-40" w:right="100" w:firstLine="436"/>
        <w:spacing w:after="0" w:line="256" w:lineRule="auto"/>
        <w:tabs>
          <w:tab w:leader="none" w:pos="80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Restricted Stock Agreement, the Restricted Stock grant shall be subject to any special terms and conditions set forth in an appendix (if any) to this Restricted Stock Agreement for any country whose laws are applicable to Participant and this Award of Restricted Stock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Restricted Stock Agreement.</w:t>
      </w:r>
    </w:p>
    <w:p>
      <w:pPr>
        <w:spacing w:after="0" w:line="187" w:lineRule="exact"/>
        <w:rPr>
          <w:rFonts w:ascii="Times New Roman" w:cs="Times New Roman" w:eastAsia="Times New Roman" w:hAnsi="Times New Roman"/>
          <w:sz w:val="18"/>
          <w:szCs w:val="18"/>
          <w:color w:val="auto"/>
        </w:rPr>
      </w:pPr>
    </w:p>
    <w:p>
      <w:pPr>
        <w:ind w:left="-40" w:right="60" w:firstLine="436"/>
        <w:spacing w:after="0" w:line="258" w:lineRule="auto"/>
        <w:tabs>
          <w:tab w:leader="none" w:pos="80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his or her own tax advisors the U.S. federal, state, local and non-U.S. tax consequences of this investment and the transactions contemplated by this Restricted Stock Agreement. With respect to such matters, Participant relies solely on such advisors and not on any statements or representations of the Company or any of its agents, written or oral. Participant understands that Participant (and not the Company) shall be solely responsible for Participant’s own tax liability that may arise as a result of this investment or the transactions contemplated by this Restricted Stock Agreement.</w:t>
      </w:r>
    </w:p>
    <w:p>
      <w:pPr>
        <w:spacing w:after="0" w:line="183" w:lineRule="exact"/>
        <w:rPr>
          <w:sz w:val="20"/>
          <w:szCs w:val="20"/>
          <w:color w:val="auto"/>
        </w:rPr>
      </w:pPr>
    </w:p>
    <w:p>
      <w:pPr>
        <w:ind w:left="4580"/>
        <w:spacing w:after="0"/>
        <w:tabs>
          <w:tab w:leader="none" w:pos="5380" w:val="left"/>
          <w:tab w:leader="none" w:pos="6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80" w:top="270" w:right="479" w:bottom="1440" w:gutter="0" w:footer="0" w:header="0"/>
        </w:sectPr>
      </w:pPr>
    </w:p>
    <w:bookmarkStart w:id="419" w:name="page420"/>
    <w:bookmarkEnd w:id="41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229" w:lineRule="exact"/>
        <w:rPr>
          <w:sz w:val="20"/>
          <w:szCs w:val="20"/>
          <w:color w:val="auto"/>
        </w:rPr>
      </w:pPr>
    </w:p>
    <w:p>
      <w:pPr>
        <w:ind w:right="20" w:firstLine="436"/>
        <w:spacing w:after="0" w:line="254" w:lineRule="auto"/>
        <w:tabs>
          <w:tab w:leader="none" w:pos="75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Section 423 of the Code (the “423 Component”) and a component that is not intended to qualify as an “employee stock purchase plan” under Section 423 of the Code (the “Non-423 Component”). The provisions of the 423 Component, accordingly, will be construed so as to extend and limit Plan participation in a uniform and nondiscriminatory basis consistent with the requirements of Section 423 of the Code. An option to purchase shares of Common Stock under the Non-423 Component will be granted pursuant to rules, procedures, or sub-plans adopted by the Administrator designed to achieve tax, securities laws, or other objectives for Eligible Employees and the Company. Except as otherwise provided herein or by the Administrator, the Non-423 Component will operate and be administered in the same manner as the 423 Component.</w:t>
      </w:r>
    </w:p>
    <w:p>
      <w:pPr>
        <w:spacing w:after="0" w:line="299"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Committee designated by the Board to administer the Plan pursuant to Section 14.</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entity, other than a Subsidiary, in which the Company has an equity or other ownership interest.</w:t>
      </w:r>
    </w:p>
    <w:p>
      <w:pPr>
        <w:spacing w:after="0" w:line="225" w:lineRule="exact"/>
        <w:rPr>
          <w:rFonts w:ascii="Times New Roman" w:cs="Times New Roman" w:eastAsia="Times New Roman" w:hAnsi="Times New Roman"/>
          <w:sz w:val="18"/>
          <w:szCs w:val="18"/>
          <w:color w:val="auto"/>
        </w:rPr>
      </w:pPr>
    </w:p>
    <w:p>
      <w:pPr>
        <w:ind w:right="40" w:firstLine="987"/>
        <w:spacing w:after="0" w:line="261" w:lineRule="auto"/>
        <w:tabs>
          <w:tab w:leader="none" w:pos="1371"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options are, or will be, granted under the Plan.</w:t>
      </w:r>
    </w:p>
    <w:p>
      <w:pPr>
        <w:spacing w:after="0" w:line="179"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rFonts w:ascii="Times New Roman" w:cs="Times New Roman" w:eastAsia="Times New Roman" w:hAnsi="Times New Roman"/>
          <w:sz w:val="18"/>
          <w:szCs w:val="18"/>
          <w:color w:val="auto"/>
        </w:rPr>
      </w:pPr>
    </w:p>
    <w:p>
      <w:pPr>
        <w:ind w:right="20" w:firstLine="1428"/>
        <w:spacing w:after="0" w:line="258" w:lineRule="auto"/>
        <w:tabs>
          <w:tab w:leader="none" w:pos="1772" w:val="left"/>
        </w:tabs>
        <w:numPr>
          <w:ilvl w:val="2"/>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Further, if the stockholders of the Company immediately before</w:t>
      </w:r>
    </w:p>
    <w:p>
      <w:pPr>
        <w:sectPr>
          <w:pgSz w:w="11900" w:h="16838" w:orient="portrait"/>
          <w:cols w:equalWidth="0" w:num="1">
            <w:col w:w="11020"/>
          </w:cols>
          <w:pgMar w:left="440" w:top="117" w:right="439" w:bottom="1440" w:gutter="0" w:footer="0" w:header="0"/>
        </w:sectPr>
      </w:pPr>
    </w:p>
    <w:bookmarkStart w:id="420" w:name="page421"/>
    <w:bookmarkEnd w:id="42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7" w:lineRule="exact"/>
        <w:rPr>
          <w:sz w:val="20"/>
          <w:szCs w:val="20"/>
          <w:color w:val="auto"/>
        </w:rPr>
      </w:pPr>
    </w:p>
    <w:p>
      <w:pPr>
        <w:jc w:val="both"/>
        <w:ind w:right="20" w:firstLine="1428"/>
        <w:spacing w:after="0" w:line="261" w:lineRule="auto"/>
        <w:tabs>
          <w:tab w:leader="none" w:pos="1822"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79" w:lineRule="exact"/>
        <w:rPr>
          <w:rFonts w:ascii="Times New Roman" w:cs="Times New Roman" w:eastAsia="Times New Roman" w:hAnsi="Times New Roman"/>
          <w:sz w:val="18"/>
          <w:szCs w:val="18"/>
          <w:color w:val="auto"/>
        </w:rPr>
      </w:pPr>
    </w:p>
    <w:p>
      <w:pPr>
        <w:ind w:right="20" w:firstLine="1428"/>
        <w:spacing w:after="0" w:line="253" w:lineRule="auto"/>
        <w:tabs>
          <w:tab w:leader="none" w:pos="1872"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2"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62" w:lineRule="exact"/>
        <w:rPr>
          <w:sz w:val="20"/>
          <w:szCs w:val="20"/>
          <w:color w:val="auto"/>
        </w:rPr>
      </w:pPr>
    </w:p>
    <w:p>
      <w:pPr>
        <w:ind w:right="640" w:firstLine="991"/>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21" w:name="page422"/>
    <w:bookmarkEnd w:id="421"/>
    <w:p>
      <w:pPr>
        <w:ind w:left="-20" w:right="20" w:firstLine="987"/>
        <w:spacing w:after="0" w:line="266" w:lineRule="auto"/>
        <w:tabs>
          <w:tab w:leader="none" w:pos="1331"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75" w:lineRule="exact"/>
        <w:rPr>
          <w:rFonts w:ascii="Times New Roman" w:cs="Times New Roman" w:eastAsia="Times New Roman" w:hAnsi="Times New Roman"/>
          <w:sz w:val="18"/>
          <w:szCs w:val="18"/>
          <w:color w:val="auto"/>
        </w:rPr>
      </w:pPr>
    </w:p>
    <w:p>
      <w:pPr>
        <w:ind w:left="1360" w:hanging="393"/>
        <w:spacing w:after="0"/>
        <w:tabs>
          <w:tab w:leader="none" w:pos="13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the Board appointed in accordance with Section 14 hereof.</w:t>
      </w:r>
    </w:p>
    <w:p>
      <w:pPr>
        <w:spacing w:after="0" w:line="225" w:lineRule="exact"/>
        <w:rPr>
          <w:rFonts w:ascii="Times New Roman" w:cs="Times New Roman" w:eastAsia="Times New Roman" w:hAnsi="Times New Roman"/>
          <w:sz w:val="18"/>
          <w:szCs w:val="18"/>
          <w:color w:val="auto"/>
        </w:rPr>
      </w:pPr>
    </w:p>
    <w:p>
      <w:pPr>
        <w:ind w:left="1360" w:hanging="393"/>
        <w:spacing w:after="0"/>
        <w:tabs>
          <w:tab w:leader="none" w:pos="13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color w:val="auto"/>
        </w:rPr>
      </w:pPr>
    </w:p>
    <w:p>
      <w:pPr>
        <w:ind w:left="1320" w:hanging="353"/>
        <w:spacing w:after="0"/>
        <w:tabs>
          <w:tab w:leader="none" w:pos="132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PMV Pharmaceuticals, Inc., a Delaware corporation, or any successor thereto.</w:t>
      </w:r>
    </w:p>
    <w:p>
      <w:pPr>
        <w:spacing w:after="0" w:line="225" w:lineRule="exact"/>
        <w:rPr>
          <w:rFonts w:ascii="Times New Roman" w:cs="Times New Roman" w:eastAsia="Times New Roman" w:hAnsi="Times New Roman"/>
          <w:sz w:val="18"/>
          <w:szCs w:val="18"/>
          <w:color w:val="auto"/>
        </w:rPr>
      </w:pPr>
    </w:p>
    <w:p>
      <w:pPr>
        <w:ind w:left="-20" w:firstLine="987"/>
        <w:spacing w:after="0" w:line="261" w:lineRule="auto"/>
        <w:tabs>
          <w:tab w:leader="none" w:pos="1321"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includes an Eligible Employee’s base straight time gross earnings but excludes payments for commissions, incentive compensation, bonuses, payments for overtime and shift premium, equity compensation income and other similar compensation. The Administrator, in its discretion, may, on a uniform and nondiscriminatory basis, establish a different definition of Compensation for a subsequent Offering Period. Further, the Administrator shall have discretion to determine the application of this definition to Participants outside the United States.</w:t>
      </w:r>
    </w:p>
    <w:p>
      <w:pPr>
        <w:spacing w:after="0" w:line="179" w:lineRule="exact"/>
        <w:rPr>
          <w:rFonts w:ascii="Times New Roman" w:cs="Times New Roman" w:eastAsia="Times New Roman" w:hAnsi="Times New Roman"/>
          <w:sz w:val="18"/>
          <w:szCs w:val="18"/>
          <w:color w:val="auto"/>
        </w:rPr>
      </w:pPr>
    </w:p>
    <w:p>
      <w:pPr>
        <w:ind w:left="-20" w:right="700" w:firstLine="987"/>
        <w:spacing w:after="0" w:line="282" w:lineRule="auto"/>
        <w:tabs>
          <w:tab w:leader="none" w:pos="1361"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 means the payroll deductions and other additional payments that the Company may permit to be made by a Participant to fund the exercise of options granted pursuant to the Plan.</w:t>
      </w:r>
    </w:p>
    <w:p>
      <w:pPr>
        <w:spacing w:after="0" w:line="161" w:lineRule="exact"/>
        <w:rPr>
          <w:rFonts w:ascii="Times New Roman" w:cs="Times New Roman" w:eastAsia="Times New Roman" w:hAnsi="Times New Roman"/>
          <w:sz w:val="18"/>
          <w:szCs w:val="18"/>
          <w:color w:val="auto"/>
        </w:rPr>
      </w:pPr>
    </w:p>
    <w:p>
      <w:pPr>
        <w:ind w:left="-20" w:right="80" w:firstLine="987"/>
        <w:spacing w:after="0" w:line="261" w:lineRule="auto"/>
        <w:tabs>
          <w:tab w:leader="none" w:pos="1321"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Company</w:t>
      </w:r>
      <w:r>
        <w:rPr>
          <w:rFonts w:ascii="Times New Roman" w:cs="Times New Roman" w:eastAsia="Times New Roman" w:hAnsi="Times New Roman"/>
          <w:sz w:val="18"/>
          <w:szCs w:val="18"/>
          <w:color w:val="auto"/>
        </w:rPr>
        <w:t>” means any Subsidiary or Affiliate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Non-423 Component.</w:t>
      </w:r>
    </w:p>
    <w:p>
      <w:pPr>
        <w:spacing w:after="0" w:line="179" w:lineRule="exact"/>
        <w:rPr>
          <w:rFonts w:ascii="Times New Roman" w:cs="Times New Roman" w:eastAsia="Times New Roman" w:hAnsi="Times New Roman"/>
          <w:sz w:val="18"/>
          <w:szCs w:val="18"/>
          <w:color w:val="auto"/>
        </w:rPr>
      </w:pPr>
    </w:p>
    <w:p>
      <w:pPr>
        <w:ind w:left="1400" w:hanging="433"/>
        <w:spacing w:after="0"/>
        <w:tabs>
          <w:tab w:leader="none" w:pos="14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left="-20" w:right="120" w:firstLine="987"/>
        <w:spacing w:after="0" w:line="274" w:lineRule="auto"/>
        <w:tabs>
          <w:tab w:leader="none" w:pos="1361"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Employee</w:t>
      </w:r>
      <w:r>
        <w:rPr>
          <w:rFonts w:ascii="Times New Roman" w:cs="Times New Roman" w:eastAsia="Times New Roman" w:hAnsi="Times New Roman"/>
          <w:sz w:val="17"/>
          <w:szCs w:val="17"/>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422" w:name="page423"/>
    <w:bookmarkEnd w:id="42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 to reemployment is not guaranteed either by statute or by contract, the employment relationship will be deemed to have terminated three</w:t>
      </w:r>
    </w:p>
    <w:p>
      <w:pPr>
        <w:spacing w:after="0" w:line="27" w:lineRule="exact"/>
        <w:rPr>
          <w:sz w:val="20"/>
          <w:szCs w:val="20"/>
          <w:color w:val="auto"/>
        </w:rPr>
      </w:pPr>
    </w:p>
    <w:p>
      <w:pPr>
        <w:ind w:left="4" w:right="40" w:hanging="4"/>
        <w:spacing w:after="0" w:line="251" w:lineRule="auto"/>
        <w:tabs>
          <w:tab w:leader="none" w:pos="25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 Section 1.423-2)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 Section 1.423-2(e)(2)(ii). Such exclusions may be applied with respect to an Offering under the Non- 423 Component without regard to the limitations of U.S. Treasury Regulation Section 1.423-2.</w:t>
      </w:r>
    </w:p>
    <w:p>
      <w:pPr>
        <w:spacing w:after="0" w:line="191"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means the employer of the applicable Eligible Employee(s).</w:t>
      </w:r>
    </w:p>
    <w:p>
      <w:pPr>
        <w:spacing w:after="0" w:line="225"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Enrollment Date</w:t>
      </w:r>
      <w:r>
        <w:rPr>
          <w:rFonts w:ascii="Times New Roman" w:cs="Times New Roman" w:eastAsia="Times New Roman" w:hAnsi="Times New Roman"/>
          <w:sz w:val="18"/>
          <w:szCs w:val="18"/>
          <w:color w:val="auto"/>
        </w:rPr>
        <w:t>” means the first Trading Day of each Offering Period.</w:t>
      </w:r>
    </w:p>
    <w:p>
      <w:pPr>
        <w:spacing w:after="0" w:line="225"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including the rules and regulations promulgated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ind w:left="4" w:firstLine="987"/>
        <w:spacing w:after="0" w:line="258" w:lineRule="auto"/>
        <w:tabs>
          <w:tab w:leader="none" w:pos="1355"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means the first Trading Day on or after May 20 and November 20 of each Purchase Period. Notwithstanding the foregoing, the first Exercise Date under the Plan will be the first Trading Day on or after May 20, 2021. Notwithstanding the foregoing, in the event that an Offering Period is terminated prior to its expiration pursuant to Section 19, the Administrator, in its sole discretion, may determine that such Offering Period will terminate without options being exercised on the Exercise Date that otherwise would have occurred on the last Trading Day of such Purchase Period.</w:t>
      </w:r>
    </w:p>
    <w:p>
      <w:pPr>
        <w:spacing w:after="0" w:line="183"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365"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and unless the Administrator determines otherwise, the value of a share of Common Stock determined as follows:</w:t>
      </w:r>
    </w:p>
    <w:p>
      <w:pPr>
        <w:spacing w:after="0" w:line="161"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786"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Enrollment Date of the first Offering Period under the Plan, the Fair Market Value will be the initial price to the public as set forth in the final prospectus included within the Registration Statement.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423" w:name="page424"/>
    <w:bookmarkEnd w:id="423"/>
    <w:p>
      <w:pPr>
        <w:ind w:right="160" w:firstLine="1428"/>
        <w:spacing w:after="0" w:line="255" w:lineRule="auto"/>
        <w:tabs>
          <w:tab w:leader="none" w:pos="1832"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all other purposes, the Fair Market Value will be the closing sales price for Common Stock as quoted on any established stock exchange or national market system (including without limitation the New York Stock Exchange, Nasdaq Global Select Market, the Nasdaq Global Market or the Nasdaq Capital Market of The Nasdaq Stock Market) on which the Common Stock is listed on the date of determination (or the closing bid, if no sales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If the determination date for the Fair Market Value occurs on a non-trading day (i.e., a weekend or holiday), the Fair Market Value will be such price on the immediately preceding trading day, unless otherwise determined by the Administrator. In the absence of an established market for the Common Stock, the Fair Market Value thereof will be determined in good faith by the Administrator; or</w:t>
      </w:r>
    </w:p>
    <w:p>
      <w:pPr>
        <w:spacing w:after="0" w:line="188" w:lineRule="exact"/>
        <w:rPr>
          <w:rFonts w:ascii="Times New Roman" w:cs="Times New Roman" w:eastAsia="Times New Roman" w:hAnsi="Times New Roman"/>
          <w:sz w:val="18"/>
          <w:szCs w:val="18"/>
          <w:color w:val="auto"/>
        </w:rPr>
      </w:pPr>
    </w:p>
    <w:p>
      <w:pPr>
        <w:ind w:left="1880" w:hanging="452"/>
        <w:spacing w:after="0"/>
        <w:tabs>
          <w:tab w:leader="none" w:pos="1880" w:val="left"/>
        </w:tabs>
        <w:numPr>
          <w:ilvl w:val="0"/>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Common Stock, the Fair Market Value thereof will be determined in good faith</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by the Administrator.</w:t>
      </w:r>
    </w:p>
    <w:p>
      <w:pPr>
        <w:spacing w:after="0" w:line="20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62" w:lineRule="exact"/>
        <w:rPr>
          <w:sz w:val="20"/>
          <w:szCs w:val="20"/>
          <w:color w:val="auto"/>
        </w:rPr>
      </w:pPr>
    </w:p>
    <w:p>
      <w:pPr>
        <w:ind w:left="1340" w:hanging="353"/>
        <w:spacing w:after="0"/>
        <w:tabs>
          <w:tab w:leader="none" w:pos="134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Exercise Date</w:t>
      </w:r>
      <w:r>
        <w:rPr>
          <w:rFonts w:ascii="Times New Roman" w:cs="Times New Roman" w:eastAsia="Times New Roman" w:hAnsi="Times New Roman"/>
          <w:sz w:val="18"/>
          <w:szCs w:val="18"/>
          <w:color w:val="auto"/>
        </w:rPr>
        <w:t>” means a new Exercise Date if the Administrator shortens any Offering Period then in progress.</w:t>
      </w:r>
    </w:p>
    <w:p>
      <w:pPr>
        <w:spacing w:after="0" w:line="225" w:lineRule="exact"/>
        <w:rPr>
          <w:rFonts w:ascii="Times New Roman" w:cs="Times New Roman" w:eastAsia="Times New Roman" w:hAnsi="Times New Roman"/>
          <w:sz w:val="18"/>
          <w:szCs w:val="18"/>
          <w:color w:val="auto"/>
        </w:rPr>
      </w:pPr>
    </w:p>
    <w:p>
      <w:pPr>
        <w:ind w:right="340" w:firstLine="987"/>
        <w:spacing w:after="0" w:line="255" w:lineRule="auto"/>
        <w:tabs>
          <w:tab w:leader="none" w:pos="1381"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w:t>
      </w:r>
    </w:p>
    <w:p>
      <w:pPr>
        <w:spacing w:after="0" w:line="2"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1.423-2(a)(1), the terms of each Offering need not be identical provided that the terms of the Plan and an Offering together satisfy U.S. Treasury Regulation Section 1.423-2(a)(2) and (a)(3).</w:t>
      </w:r>
    </w:p>
    <w:p>
      <w:pPr>
        <w:spacing w:after="0" w:line="181" w:lineRule="exact"/>
        <w:rPr>
          <w:rFonts w:ascii="Times New Roman" w:cs="Times New Roman" w:eastAsia="Times New Roman" w:hAnsi="Times New Roman"/>
          <w:sz w:val="18"/>
          <w:szCs w:val="18"/>
          <w:color w:val="auto"/>
        </w:rPr>
      </w:pPr>
    </w:p>
    <w:p>
      <w:pPr>
        <w:ind w:firstLine="987"/>
        <w:spacing w:after="0" w:line="255" w:lineRule="auto"/>
        <w:tabs>
          <w:tab w:leader="none" w:pos="1421"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means the consecutive periods of approximately six (6) months during which an option granted pursuant to the Plan may be exercised, commencing on the first Trading Day on or after May 20 and November 20 of each year and terminating on the first Trading Day on or after November 20 and May 20, approximately six (6) months later; provided, however, that the first Offering Period under the Plan will commence with the first Trading Day on or after the date on which the Securities and Exchange Commission declares the Company’s Registration Statement effective and will end on the first Trading Day on or after May 20, 2021, and provided, further, that the second Offering Period under the Plan will commence on the first Trading Day on or after May 20, 2021. The duration and timing of Offering Periods may be changed pursuant to Sections 4, 20 and 30.</w:t>
      </w:r>
    </w:p>
    <w:p>
      <w:pPr>
        <w:spacing w:after="0" w:line="188"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424" w:name="page425"/>
    <w:bookmarkEnd w:id="424"/>
    <w:p>
      <w:pPr>
        <w:ind w:left="1380" w:hanging="393"/>
        <w:spacing w:after="0"/>
        <w:tabs>
          <w:tab w:leader="none" w:pos="138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Employee who participates in the Plan.</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PMV Pharmaceuticals, Inc. 2020 Employee Stock Purchase Plan.</w:t>
      </w:r>
    </w:p>
    <w:p>
      <w:pPr>
        <w:spacing w:after="0" w:line="225" w:lineRule="exact"/>
        <w:rPr>
          <w:sz w:val="20"/>
          <w:szCs w:val="20"/>
          <w:color w:val="auto"/>
        </w:rPr>
      </w:pPr>
    </w:p>
    <w:p>
      <w:pPr>
        <w:ind w:right="100" w:firstLine="987"/>
        <w:spacing w:after="0" w:line="258" w:lineRule="auto"/>
        <w:tabs>
          <w:tab w:leader="none" w:pos="149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Period</w:t>
      </w:r>
      <w:r>
        <w:rPr>
          <w:rFonts w:ascii="Times New Roman" w:cs="Times New Roman" w:eastAsia="Times New Roman" w:hAnsi="Times New Roman"/>
          <w:sz w:val="18"/>
          <w:szCs w:val="18"/>
          <w:color w:val="auto"/>
        </w:rPr>
        <w:t>” means the period during an Offering Period during which shares of Common Stock may be purchased on a Participant’s behalf in accordance with the terms of the Plan. For the first Offering Period, the Purchase Period will commence on the first Trading Day on or after the Registration Date and terminate on the first Trading Day on or after May 20, 2021. Unless the Administrator provides otherwise, Purchase Periods for all other Offering Periods will commence on the first Trading Day of the Offering Period and terminate on the last Trading Day of the Offering Period.</w:t>
      </w:r>
    </w:p>
    <w:p>
      <w:pPr>
        <w:spacing w:after="0" w:line="183" w:lineRule="exact"/>
        <w:rPr>
          <w:rFonts w:ascii="Times New Roman" w:cs="Times New Roman" w:eastAsia="Times New Roman" w:hAnsi="Times New Roman"/>
          <w:sz w:val="18"/>
          <w:szCs w:val="18"/>
          <w:color w:val="auto"/>
        </w:rPr>
      </w:pPr>
    </w:p>
    <w:p>
      <w:pPr>
        <w:ind w:right="60" w:firstLine="987"/>
        <w:spacing w:after="0" w:line="261" w:lineRule="auto"/>
        <w:tabs>
          <w:tab w:leader="none" w:pos="1471"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an amount equal to eighty-five percent (85%) of the Fair Market Value of a share of Common Stock on the Enrollment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20.</w:t>
      </w:r>
    </w:p>
    <w:p>
      <w:pPr>
        <w:spacing w:after="0" w:line="179" w:lineRule="exact"/>
        <w:rPr>
          <w:rFonts w:ascii="Times New Roman" w:cs="Times New Roman" w:eastAsia="Times New Roman" w:hAnsi="Times New Roman"/>
          <w:sz w:val="18"/>
          <w:szCs w:val="18"/>
          <w:color w:val="auto"/>
        </w:rPr>
      </w:pPr>
    </w:p>
    <w:p>
      <w:pPr>
        <w:ind w:right="240" w:firstLine="987"/>
        <w:spacing w:after="0" w:line="282" w:lineRule="auto"/>
        <w:tabs>
          <w:tab w:leader="none" w:pos="1451"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Date</w:t>
      </w:r>
      <w:r>
        <w:rPr>
          <w:rFonts w:ascii="Times New Roman" w:cs="Times New Roman" w:eastAsia="Times New Roman" w:hAnsi="Times New Roman"/>
          <w:sz w:val="18"/>
          <w:szCs w:val="18"/>
          <w:color w:val="auto"/>
        </w:rPr>
        <w:t>” means the effective date of the first registration statement that is filed by the Company and declared effective pursuant to Section 12(b) of the Exchange Act, with respect to any class of the Company’s securities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471"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of the Code and the regulations and guidance thereunder, and formal, effective guidance of either general applicability or direct applicability thereunder, and any applicable state law equivalent, as each may be promulgated, amended or modified from time to time.</w:t>
      </w:r>
    </w:p>
    <w:p>
      <w:pPr>
        <w:spacing w:after="0" w:line="175" w:lineRule="exact"/>
        <w:rPr>
          <w:rFonts w:ascii="Times New Roman" w:cs="Times New Roman" w:eastAsia="Times New Roman" w:hAnsi="Times New Roman"/>
          <w:sz w:val="18"/>
          <w:szCs w:val="18"/>
          <w:color w:val="auto"/>
        </w:rPr>
      </w:pPr>
    </w:p>
    <w:p>
      <w:pPr>
        <w:ind w:left="1440" w:hanging="453"/>
        <w:spacing w:after="0"/>
        <w:tabs>
          <w:tab w:leader="none" w:pos="14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225" w:lineRule="exact"/>
        <w:rPr>
          <w:rFonts w:ascii="Times New Roman" w:cs="Times New Roman" w:eastAsia="Times New Roman" w:hAnsi="Times New Roman"/>
          <w:sz w:val="18"/>
          <w:szCs w:val="18"/>
          <w:color w:val="auto"/>
        </w:rPr>
      </w:pPr>
    </w:p>
    <w:p>
      <w:pPr>
        <w:ind w:right="320" w:firstLine="987"/>
        <w:spacing w:after="0" w:line="282" w:lineRule="auto"/>
        <w:tabs>
          <w:tab w:leader="none" w:pos="1408"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that the primary stock exchange (or national market system, or other trading platform, as applicable) upon which the Common Stock is listed is open for trading.</w:t>
      </w:r>
    </w:p>
    <w:p>
      <w:pPr>
        <w:spacing w:after="0" w:line="161"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471"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284" w:lineRule="exact"/>
        <w:rPr>
          <w:sz w:val="20"/>
          <w:szCs w:val="20"/>
          <w:color w:val="auto"/>
        </w:rPr>
      </w:pPr>
    </w:p>
    <w:p>
      <w:pPr>
        <w:ind w:left="760" w:hanging="324"/>
        <w:spacing w:after="0"/>
        <w:tabs>
          <w:tab w:leader="none" w:pos="76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25" w:name="page426"/>
    <w:bookmarkEnd w:id="425"/>
    <w:p>
      <w:pPr>
        <w:ind w:left="-20" w:right="180" w:firstLine="987"/>
        <w:spacing w:after="0" w:line="282" w:lineRule="auto"/>
        <w:tabs>
          <w:tab w:leader="none" w:pos="1351"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Offering Period</w:t>
      </w:r>
      <w:r>
        <w:rPr>
          <w:rFonts w:ascii="Times New Roman" w:cs="Times New Roman" w:eastAsia="Times New Roman" w:hAnsi="Times New Roman"/>
          <w:sz w:val="18"/>
          <w:szCs w:val="18"/>
          <w:color w:val="auto"/>
        </w:rPr>
        <w:t>. Any individual who is an Eligible Employee immediately prior to the first Offering Period automatically will be enrolled in the first Offering Period, subject to the requirements of Section 5.</w:t>
      </w:r>
    </w:p>
    <w:p>
      <w:pPr>
        <w:spacing w:after="0" w:line="161" w:lineRule="exact"/>
        <w:rPr>
          <w:rFonts w:ascii="Times New Roman" w:cs="Times New Roman" w:eastAsia="Times New Roman" w:hAnsi="Times New Roman"/>
          <w:sz w:val="18"/>
          <w:szCs w:val="18"/>
          <w:color w:val="auto"/>
        </w:rPr>
      </w:pPr>
    </w:p>
    <w:p>
      <w:pPr>
        <w:ind w:left="-20" w:right="380" w:firstLine="987"/>
        <w:spacing w:after="0" w:line="282" w:lineRule="auto"/>
        <w:tabs>
          <w:tab w:leader="none" w:pos="1361"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Offering Periods</w:t>
      </w:r>
      <w:r>
        <w:rPr>
          <w:rFonts w:ascii="Times New Roman" w:cs="Times New Roman" w:eastAsia="Times New Roman" w:hAnsi="Times New Roman"/>
          <w:sz w:val="18"/>
          <w:szCs w:val="18"/>
          <w:color w:val="auto"/>
        </w:rPr>
        <w:t>. Any Eligible Employee on a given Enrollment Date subsequent to the first Offering Period will be eligible to participate in the Plan, subject to the requirements of Section 5.</w:t>
      </w:r>
    </w:p>
    <w:p>
      <w:pPr>
        <w:spacing w:after="0" w:line="161" w:lineRule="exact"/>
        <w:rPr>
          <w:rFonts w:ascii="Times New Roman" w:cs="Times New Roman" w:eastAsia="Times New Roman" w:hAnsi="Times New Roman"/>
          <w:sz w:val="18"/>
          <w:szCs w:val="18"/>
          <w:color w:val="auto"/>
        </w:rPr>
      </w:pPr>
    </w:p>
    <w:p>
      <w:pPr>
        <w:ind w:left="-20" w:right="220" w:firstLine="987"/>
        <w:spacing w:after="0" w:line="256" w:lineRule="auto"/>
        <w:tabs>
          <w:tab w:leader="none" w:pos="1351"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Non-U.S. Employees</w:t>
      </w:r>
      <w:r>
        <w:rPr>
          <w:rFonts w:ascii="Times New Roman" w:cs="Times New Roman" w:eastAsia="Times New Roman" w:hAnsi="Times New Roman"/>
          <w:sz w:val="18"/>
          <w:szCs w:val="18"/>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an Eligible Employee may be excluded from participation in the Plan or an Offering if the Administrator has determined that participation of such Eligible Employee is not advisable or practicable.</w:t>
      </w:r>
    </w:p>
    <w:p>
      <w:pPr>
        <w:spacing w:after="0" w:line="187" w:lineRule="exact"/>
        <w:rPr>
          <w:rFonts w:ascii="Times New Roman" w:cs="Times New Roman" w:eastAsia="Times New Roman" w:hAnsi="Times New Roman"/>
          <w:sz w:val="18"/>
          <w:szCs w:val="18"/>
          <w:color w:val="auto"/>
        </w:rPr>
      </w:pPr>
    </w:p>
    <w:p>
      <w:pPr>
        <w:ind w:left="-20" w:right="40" w:firstLine="987"/>
        <w:spacing w:after="0" w:line="254" w:lineRule="auto"/>
        <w:tabs>
          <w:tab w:leader="none" w:pos="1361"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296" w:lineRule="exact"/>
        <w:rPr>
          <w:rFonts w:ascii="Times New Roman" w:cs="Times New Roman" w:eastAsia="Times New Roman" w:hAnsi="Times New Roman"/>
          <w:sz w:val="18"/>
          <w:szCs w:val="18"/>
          <w:color w:val="auto"/>
        </w:rPr>
      </w:pPr>
    </w:p>
    <w:p>
      <w:pPr>
        <w:ind w:left="-20" w:firstLine="436"/>
        <w:spacing w:after="0" w:line="256" w:lineRule="auto"/>
        <w:tabs>
          <w:tab w:leader="none" w:pos="73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The Plan will be implemented by consecutive Offering Periods with a new Offering Period commencing on the first Trading Day on or after May 20 and November 20 each year, or on such other date(s) as the Administrator will determine; provided, however, that the first Offering Period under the Plan will commence with the first Trading Day on or after the Registration Date and end on the first Trading Day on or after May 20, 2021.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60" w:top="270" w:right="459" w:bottom="1440" w:gutter="0" w:footer="0" w:header="0"/>
        </w:sectPr>
      </w:pPr>
    </w:p>
    <w:bookmarkStart w:id="426" w:name="page427"/>
    <w:bookmarkEnd w:id="426"/>
    <w:p>
      <w:pPr>
        <w:ind w:left="764" w:hanging="324"/>
        <w:spacing w:after="0"/>
        <w:tabs>
          <w:tab w:leader="none" w:pos="764"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375" w:val="left"/>
        </w:tabs>
        <w:numPr>
          <w:ilvl w:val="2"/>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Offering Period</w:t>
      </w:r>
      <w:r>
        <w:rPr>
          <w:rFonts w:ascii="Times New Roman" w:cs="Times New Roman" w:eastAsia="Times New Roman" w:hAnsi="Times New Roman"/>
          <w:sz w:val="18"/>
          <w:szCs w:val="18"/>
          <w:color w:val="auto"/>
        </w:rPr>
        <w:t xml:space="preserve">. An Eligible Employee will be entitled to continue to participate in the first Offering Period pursuant to Section 3(a) only if such individual submits a subscription agreement authorizing Contributions in a form determined by the Administrator (which may be similar to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 the Company’s designated plan administrator (i) no earlier than the effective date of the Form S-8 registration statement with respect to the issuance of Common Stock under this Plan and (ii) with respect to the first Offering Period, no later than ten</w:t>
      </w:r>
    </w:p>
    <w:p>
      <w:pPr>
        <w:spacing w:after="0" w:line="2" w:lineRule="exact"/>
        <w:rPr>
          <w:rFonts w:ascii="Times New Roman" w:cs="Times New Roman" w:eastAsia="Times New Roman" w:hAnsi="Times New Roman"/>
          <w:sz w:val="18"/>
          <w:szCs w:val="18"/>
          <w:color w:val="auto"/>
        </w:rPr>
      </w:pPr>
    </w:p>
    <w:p>
      <w:pPr>
        <w:ind w:left="4" w:right="20" w:hanging="4"/>
        <w:spacing w:after="0" w:line="255" w:lineRule="auto"/>
        <w:tabs>
          <w:tab w:leader="none" w:pos="34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effective date of such Form S-8 registration statement or such other date as the Administrator may determine (the “Enrollment Window”). An Eligible Employee’s failure to submit the subscription agreement during the Enrollment Window will result in the automatic termination of such individual’s participation in the first Offering Period.</w:t>
      </w:r>
    </w:p>
    <w:p>
      <w:pPr>
        <w:spacing w:after="0" w:line="185"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385"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Offering Periods</w:t>
      </w:r>
      <w:r>
        <w:rPr>
          <w:rFonts w:ascii="Times New Roman" w:cs="Times New Roman" w:eastAsia="Times New Roman" w:hAnsi="Times New Roman"/>
          <w:sz w:val="18"/>
          <w:szCs w:val="18"/>
          <w:color w:val="auto"/>
        </w:rPr>
        <w:t>. An Eligible Employee may participate in the Plan pursuant to Section 3(b) by (i) submitting to the Company’s stock administration office (or its designee) a properly completed subscription agreement authorizing Contributions in the form provided by the Administrator for such purpose, or (ii) following an electronic or other enrollment procedure determined by the Administrator, in either case, on or before a date determined by the Administrator prior to an applicable Enrollment Date.</w:t>
      </w:r>
    </w:p>
    <w:p>
      <w:pPr>
        <w:spacing w:after="0" w:line="287"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987"/>
        <w:spacing w:after="0" w:line="254" w:lineRule="auto"/>
        <w:tabs>
          <w:tab w:leader="none" w:pos="1365" w:val="left"/>
        </w:tabs>
        <w:numPr>
          <w:ilvl w:val="2"/>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a Participant enrolls in the Plan pursuant to Section 5,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should a pay day occur on an Exercise Date, a Participant will have any Contributions made on such day applied to his or her account under the then-current Purchase Period or Offering Period with respect to which that Exercise Date relates.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spacing w:after="0" w:line="191" w:lineRule="exact"/>
        <w:rPr>
          <w:rFonts w:ascii="Times New Roman" w:cs="Times New Roman" w:eastAsia="Times New Roman" w:hAnsi="Times New Roman"/>
          <w:sz w:val="18"/>
          <w:szCs w:val="18"/>
          <w:color w:val="auto"/>
        </w:rPr>
      </w:pPr>
    </w:p>
    <w:p>
      <w:pPr>
        <w:jc w:val="both"/>
        <w:ind w:left="4" w:right="240" w:firstLine="987"/>
        <w:spacing w:after="0" w:line="261" w:lineRule="auto"/>
        <w:tabs>
          <w:tab w:leader="none" w:pos="1385" w:val="left"/>
        </w:tabs>
        <w:numPr>
          <w:ilvl w:val="2"/>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10 hereof; provided, however, that for the first Offering Period, payroll deductions will commence on the first pay day on or following the end of the Enrollment Window.</w:t>
      </w:r>
    </w:p>
    <w:p>
      <w:pPr>
        <w:spacing w:after="0" w:line="179" w:lineRule="exact"/>
        <w:rPr>
          <w:rFonts w:ascii="Times New Roman" w:cs="Times New Roman" w:eastAsia="Times New Roman" w:hAnsi="Times New Roman"/>
          <w:sz w:val="18"/>
          <w:szCs w:val="18"/>
          <w:color w:val="auto"/>
        </w:rPr>
      </w:pPr>
    </w:p>
    <w:p>
      <w:pPr>
        <w:ind w:left="4" w:firstLine="987"/>
        <w:spacing w:after="0" w:line="282" w:lineRule="auto"/>
        <w:tabs>
          <w:tab w:leader="none" w:pos="1365" w:val="left"/>
        </w:tabs>
        <w:numPr>
          <w:ilvl w:val="2"/>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427" w:name="page428"/>
    <w:bookmarkEnd w:id="427"/>
    <w:p>
      <w:pPr>
        <w:ind w:left="4" w:right="40" w:firstLine="987"/>
        <w:spacing w:after="0" w:line="272" w:lineRule="auto"/>
        <w:tabs>
          <w:tab w:leader="none" w:pos="1375" w:val="left"/>
        </w:tabs>
        <w:numPr>
          <w:ilvl w:val="1"/>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Participant may discontinue his or her participation in the Plan as provided under Section 10. Until and unless determined otherwise by the Administrator, in its sole discretion, during any Purchase Period, a Participant may not increase the rate of his or her Contributions and may only decrease the rate of his or her Contributions one (1) time. A Participant may make a Contribution rate adjustment pursuant to this subsection</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25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 properly completing and submitting to the Company’s stock administration office (or its designee), a new subscription agreement authorizing the change in Contribution rate in the form provided by the Administrator for such purpose, or (ii) following an electronic or other procedure prescribed by the Administrator, in either case, on or before a date determined by the Administrator prior to (x) the scheduled beginning of the first Offering Period to be affected or (y) an applicable Exercise Date, as applicable. If a Participant has not followed such procedures to change the rate of Contributions, the rate of his or her Contributions will continue at the originally elected rate throughout the Purchase Period and future Offering Periods and Purchase Periods (unless the Participant’s participation is terminated as provided in Sections 10 or 11). The Administrator may, in its sole discretion, limit or amend the nature and/or number of Contribution rate changes (including to permit, prohibit and/or limit increases and/or decreases to rate changes) that may be made by Participants during any Offering Period or Purchase Period, and may establish such other conditions or limitations as it deems appropriate for Plan administration. Any change in the rate of Contributions made pursuant to this Section 6(d) will be effective as of the first full payroll period following five (5) business days after the date on which the change is made by the Participant (unless the Administrator, in its sole discretion, elects to process a given change in payroll deduction rate more quickly).</w:t>
      </w:r>
    </w:p>
    <w:p>
      <w:pPr>
        <w:spacing w:after="0" w:line="192" w:lineRule="exact"/>
        <w:rPr>
          <w:rFonts w:ascii="Times New Roman" w:cs="Times New Roman" w:eastAsia="Times New Roman" w:hAnsi="Times New Roman"/>
          <w:sz w:val="18"/>
          <w:szCs w:val="18"/>
          <w:color w:val="auto"/>
        </w:rPr>
      </w:pPr>
    </w:p>
    <w:p>
      <w:pPr>
        <w:ind w:left="4" w:firstLine="987"/>
        <w:spacing w:after="0" w:line="261" w:lineRule="auto"/>
        <w:tabs>
          <w:tab w:leader="none" w:pos="1375"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necessary to comply with Section 423(b)(8) of the Code and Section 3(d), a Participant’s Contributions may be decreased to zero percent (0%) by the Administrator at any time during a Purchase Period. Subject to Section 423(b)(8) of the Code and Section 3(d)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79" w:lineRule="exact"/>
        <w:rPr>
          <w:rFonts w:ascii="Times New Roman" w:cs="Times New Roman" w:eastAsia="Times New Roman" w:hAnsi="Times New Roman"/>
          <w:sz w:val="18"/>
          <w:szCs w:val="18"/>
          <w:color w:val="auto"/>
        </w:rPr>
      </w:pPr>
    </w:p>
    <w:p>
      <w:pPr>
        <w:jc w:val="both"/>
        <w:ind w:left="4" w:right="140" w:firstLine="987"/>
        <w:spacing w:after="0" w:line="289" w:lineRule="auto"/>
        <w:tabs>
          <w:tab w:leader="none" w:pos="1400" w:val="left"/>
        </w:tabs>
        <w:numPr>
          <w:ilvl w:val="1"/>
          <w:numId w:val="3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provisions to the contrary in the Plan, the Administrator may allow Participants to participate in the Plan via cash contributions instead of payroll deductions if (i) payroll deductions are not permitted or advisable under Applicable Laws, (ii) the Administrator determines that cash contributions are permissible under Section 423 of the Code; or (iii) the Participants are participating in the Non-423 Component.</w:t>
      </w:r>
    </w:p>
    <w:p>
      <w:pPr>
        <w:spacing w:after="0" w:line="157" w:lineRule="exact"/>
        <w:rPr>
          <w:rFonts w:ascii="Times New Roman" w:cs="Times New Roman" w:eastAsia="Times New Roman" w:hAnsi="Times New Roman"/>
          <w:sz w:val="17"/>
          <w:szCs w:val="17"/>
          <w:color w:val="auto"/>
        </w:rPr>
      </w:pPr>
    </w:p>
    <w:p>
      <w:pPr>
        <w:ind w:left="4" w:firstLine="987"/>
        <w:spacing w:after="0" w:line="256" w:lineRule="auto"/>
        <w:tabs>
          <w:tab w:leader="none" w:pos="1375"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428" w:name="page429"/>
    <w:bookmarkEnd w:id="428"/>
    <w:p>
      <w:pPr>
        <w:ind w:right="3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w:t>
      </w:r>
    </w:p>
    <w:p>
      <w:pPr>
        <w:spacing w:after="0" w:line="288" w:lineRule="exact"/>
        <w:rPr>
          <w:sz w:val="20"/>
          <w:szCs w:val="20"/>
          <w:color w:val="auto"/>
        </w:rPr>
      </w:pPr>
    </w:p>
    <w:p>
      <w:pPr>
        <w:ind w:firstLine="436"/>
        <w:spacing w:after="0" w:line="253" w:lineRule="auto"/>
        <w:tabs>
          <w:tab w:leader="none" w:pos="75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Purchase Period more than 4,000 shares of Common Stock (subject to any adjustment pursuant to Section 18, but only with respect to adjustments occurring after the Registration Date) and provided further that such purchase will be subject to the limitations set forth in Sections 3(d) and 13 and in the subscription agreement. The Eligible Employee may accept the grant of such option (i) with respect to the first Offering Period by submitting a properly completed subscription agreement in accordance with the requirements of Section 5 on or before the last day of the Enrollment Window, and (ii) with respect to any subsequent Offering Period under the Plan,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and/or Offering Period, as applicable. Exercise of the option will occur as provided in Section 8, unless the Participant has withdrawn pursuant to Section 10 (or Participant’s participation is terminated as provided in Section 11). The option will expire on the last day of the Offering Period.</w:t>
      </w:r>
    </w:p>
    <w:p>
      <w:pPr>
        <w:spacing w:after="0" w:line="29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4" w:lineRule="auto"/>
        <w:tabs>
          <w:tab w:leader="none" w:pos="1371"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Participant withdraws from the Plan as provided in Section 10 (or Participant’s participation is terminated as provided in Section 11), his or her option for the purchase of shares of Common Stock will be exercised automatically on each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 10 (or the earlier termination of Participant’s participation as provided in Section 11).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70" w:right="519" w:bottom="1440" w:gutter="0" w:footer="0" w:header="0"/>
        </w:sectPr>
      </w:pPr>
    </w:p>
    <w:bookmarkStart w:id="429" w:name="page430"/>
    <w:bookmarkEnd w:id="429"/>
    <w:p>
      <w:pPr>
        <w:ind w:left="-20" w:firstLine="987"/>
        <w:spacing w:after="0" w:line="253" w:lineRule="auto"/>
        <w:tabs>
          <w:tab w:leader="none" w:pos="1361"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20.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89"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73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with a trustee or designated agent of the Company, and the Company may utilize electronic or automated methods of share transfer. The Company may require that shares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299" w:lineRule="exact"/>
        <w:rPr>
          <w:rFonts w:ascii="Times New Roman" w:cs="Times New Roman" w:eastAsia="Times New Roman" w:hAnsi="Times New Roman"/>
          <w:sz w:val="18"/>
          <w:szCs w:val="18"/>
          <w:color w:val="auto"/>
        </w:rPr>
      </w:pPr>
    </w:p>
    <w:p>
      <w:pPr>
        <w:ind w:left="820" w:hanging="404"/>
        <w:spacing w:after="0"/>
        <w:tabs>
          <w:tab w:leader="none" w:pos="8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firstLine="987"/>
        <w:spacing w:after="0" w:line="254" w:lineRule="auto"/>
        <w:tabs>
          <w:tab w:leader="none" w:pos="1341"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or (ii)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will be made for such Offering Period. If a Participant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60" w:top="270" w:right="479" w:bottom="1440" w:gutter="0" w:footer="0" w:header="0"/>
        </w:sectPr>
      </w:pPr>
    </w:p>
    <w:bookmarkStart w:id="430" w:name="page431"/>
    <w:bookmarkEnd w:id="43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withdraws from an Offering Period, Contributions will not resume at the beginning of the succeeding Offering Period, unless the Participant re-enrolls in the Plan in accordance with the provisions of Section 5.</w:t>
      </w:r>
    </w:p>
    <w:p>
      <w:pPr>
        <w:spacing w:after="0" w:line="162" w:lineRule="exact"/>
        <w:rPr>
          <w:sz w:val="20"/>
          <w:szCs w:val="20"/>
          <w:color w:val="auto"/>
        </w:rPr>
      </w:pPr>
    </w:p>
    <w:p>
      <w:pPr>
        <w:ind w:right="120" w:firstLine="987"/>
        <w:spacing w:after="0" w:line="266" w:lineRule="auto"/>
        <w:tabs>
          <w:tab w:leader="none" w:pos="1371"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283" w:lineRule="exact"/>
        <w:rPr>
          <w:rFonts w:ascii="Times New Roman" w:cs="Times New Roman" w:eastAsia="Times New Roman" w:hAnsi="Times New Roman"/>
          <w:sz w:val="18"/>
          <w:szCs w:val="18"/>
          <w:color w:val="auto"/>
        </w:rPr>
      </w:pPr>
    </w:p>
    <w:p>
      <w:pPr>
        <w:ind w:right="60" w:firstLine="436"/>
        <w:spacing w:after="0" w:line="253" w:lineRule="auto"/>
        <w:tabs>
          <w:tab w:leader="none" w:pos="83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otherwise provided by the Administrator, a Participant whose employment transfers between entities through a termination with an immediate rehire (with no break in service) by the Company or a Designated Company will not be treated as terminated under the Plan. The Administrator may establish rules to govern transfers of employment among the Company and any Designated Company, consistent with any applicable requirements of Section 423 of the Code and the terms of the Plan. In addition, the Administrator may establish rules to govern transfers of employment among the Company and any Designated Company where such companies are participating in separate Offerings under the Plan. However, if a Participant transfers from an Offering under the 423 Component to the Non-423 Component, the exercise of the option will be qualified under the 423 Component only to the extent it complies with Section 423 of the Code, unless otherwise provided by the Administrator.</w:t>
      </w:r>
    </w:p>
    <w:p>
      <w:pPr>
        <w:spacing w:after="0" w:line="299" w:lineRule="exact"/>
        <w:rPr>
          <w:rFonts w:ascii="Times New Roman" w:cs="Times New Roman" w:eastAsia="Times New Roman" w:hAnsi="Times New Roman"/>
          <w:sz w:val="18"/>
          <w:szCs w:val="18"/>
          <w:color w:val="auto"/>
        </w:rPr>
      </w:pPr>
    </w:p>
    <w:p>
      <w:pPr>
        <w:ind w:right="260" w:firstLine="436"/>
        <w:spacing w:after="0" w:line="266" w:lineRule="auto"/>
        <w:tabs>
          <w:tab w:leader="none" w:pos="84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No interest will accrue on the Contributions of a participant in the Plan, except as may be required by Applicable Law, as determined by the Company, and if so required by the laws of a particular jurisdiction, will apply to all Participants in the relevant Offering under the 423 Component, except to the extent otherwise permitted by U.S. Treasury Regulation Section 1.423-2(f).</w:t>
      </w:r>
    </w:p>
    <w:p>
      <w:pPr>
        <w:spacing w:after="0" w:line="283"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00" w:firstLine="987"/>
        <w:spacing w:after="0" w:line="261" w:lineRule="auto"/>
        <w:tabs>
          <w:tab w:leader="none" w:pos="1371"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upon changes in capitalization of the Company as provided in Section 19 hereof, the maximum number of shares of Common Stock that will be made available for sale under the Plan will be 400,752 shares of Common Stock. The number of shares of Common Stock available for issuance under the Plan will be increased on the first day of each Fiscal Year beginning with the 2021 Fiscal Year equal to the least of (i) 801,504 shares of Common Stock,</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31" w:name="page432"/>
    <w:bookmarkEnd w:id="431"/>
    <w:p>
      <w:pPr>
        <w:jc w:val="both"/>
        <w:ind w:left="4" w:hanging="4"/>
        <w:spacing w:after="0" w:line="266" w:lineRule="auto"/>
        <w:tabs>
          <w:tab w:leader="none" w:pos="26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one percent (1%) of the outstanding shares of Common Stock on the last day of the immediately preceding Fiscal Year, or (iii) an amount determined by the Administrator no later than the last day of the immediately preceding Fiscal Year. The shares of Common Stock may be authorized, but unissued, or reacquired Common Stock.</w:t>
      </w:r>
    </w:p>
    <w:p>
      <w:pPr>
        <w:spacing w:after="0" w:line="175" w:lineRule="exact"/>
        <w:rPr>
          <w:rFonts w:ascii="Times New Roman" w:cs="Times New Roman" w:eastAsia="Times New Roman" w:hAnsi="Times New Roman"/>
          <w:sz w:val="18"/>
          <w:szCs w:val="18"/>
          <w:color w:val="auto"/>
        </w:rPr>
      </w:pPr>
    </w:p>
    <w:p>
      <w:pPr>
        <w:ind w:left="4" w:right="260" w:firstLine="987"/>
        <w:spacing w:after="0" w:line="266" w:lineRule="auto"/>
        <w:tabs>
          <w:tab w:leader="none" w:pos="1385"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w:t>
      </w:r>
    </w:p>
    <w:p>
      <w:pPr>
        <w:spacing w:after="0" w:line="175" w:lineRule="exact"/>
        <w:rPr>
          <w:rFonts w:ascii="Times New Roman" w:cs="Times New Roman" w:eastAsia="Times New Roman" w:hAnsi="Times New Roman"/>
          <w:sz w:val="18"/>
          <w:szCs w:val="18"/>
          <w:color w:val="auto"/>
        </w:rPr>
      </w:pPr>
    </w:p>
    <w:p>
      <w:pPr>
        <w:ind w:left="4" w:right="400" w:firstLine="987"/>
        <w:spacing w:after="0" w:line="282" w:lineRule="auto"/>
        <w:tabs>
          <w:tab w:leader="none" w:pos="1375"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delivered to a Participant under the Plan will be registered in the name of the Participant or, if so required under Applicable Laws, in the name of the Participant and his or her spouse.</w:t>
      </w:r>
    </w:p>
    <w:p>
      <w:pPr>
        <w:spacing w:after="0" w:line="269" w:lineRule="exact"/>
        <w:rPr>
          <w:rFonts w:ascii="Times New Roman" w:cs="Times New Roman" w:eastAsia="Times New Roman" w:hAnsi="Times New Roman"/>
          <w:sz w:val="18"/>
          <w:szCs w:val="18"/>
          <w:color w:val="auto"/>
        </w:rPr>
      </w:pPr>
    </w:p>
    <w:p>
      <w:pPr>
        <w:ind w:left="4" w:firstLine="436"/>
        <w:spacing w:after="0" w:line="252" w:lineRule="auto"/>
        <w:tabs>
          <w:tab w:leader="none" w:pos="849"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delegate ministerial duties to any of the Company’s employees, to designate separate Offerings under the Plan, to designate Subsidiaries and Affiliates as participating in the 423 Component or Non-423 Component, to determine eligibility, to adjudicate all disputed claims filed under the Plan and to establish such procedures that it deems necessary or advisable for the administration of the Plan (including, without limitation, to adopt such procedures, sub-plans, and appendices to the enrollment agreement as are necessary or appropriate to permit the participation in the Plan by employees who are foreign nationals or employed outside the U.S., the terms of which rules, procedures, sub-plans and appendices may take precedence over other provisions of this Plan, with the exception of Section 13(a) hereof, but unless otherwise superseded by the terms of such rules, procedures, sub-plan or appendix, the provisions of this Plan will govern the operation of such rules, procedure, sub-plan or appendix). Unless otherwise determined by the Administrator,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Section 423 of the Code.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432" w:name="page433"/>
    <w:bookmarkEnd w:id="432"/>
    <w:p>
      <w:pPr>
        <w:ind w:left="-20" w:right="60" w:firstLine="436"/>
        <w:spacing w:after="0" w:line="261" w:lineRule="auto"/>
        <w:tabs>
          <w:tab w:leader="none" w:pos="863"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Transferability</w:t>
      </w:r>
      <w:r>
        <w:rPr>
          <w:rFonts w:ascii="Times New Roman" w:cs="Times New Roman" w:eastAsia="Times New Roman" w:hAnsi="Times New Roman"/>
          <w:sz w:val="18"/>
          <w:szCs w:val="18"/>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287" w:lineRule="exact"/>
        <w:rPr>
          <w:rFonts w:ascii="Times New Roman" w:cs="Times New Roman" w:eastAsia="Times New Roman" w:hAnsi="Times New Roman"/>
          <w:sz w:val="18"/>
          <w:szCs w:val="18"/>
          <w:color w:val="auto"/>
        </w:rPr>
      </w:pPr>
    </w:p>
    <w:p>
      <w:pPr>
        <w:ind w:left="-20" w:firstLine="436"/>
        <w:spacing w:after="0" w:line="256" w:lineRule="auto"/>
        <w:tabs>
          <w:tab w:leader="none" w:pos="82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Funds</w:t>
      </w:r>
      <w:r>
        <w:rPr>
          <w:rFonts w:ascii="Times New Roman" w:cs="Times New Roman" w:eastAsia="Times New Roman" w:hAnsi="Times New Roman"/>
          <w:sz w:val="18"/>
          <w:szCs w:val="18"/>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 Section 1.423-2(f). Until shares of Common Stock are issued, Participants will only have the rights of an unsecured creditor with respect to such shares.</w:t>
      </w:r>
    </w:p>
    <w:p>
      <w:pPr>
        <w:spacing w:after="0" w:line="295" w:lineRule="exact"/>
        <w:rPr>
          <w:rFonts w:ascii="Times New Roman" w:cs="Times New Roman" w:eastAsia="Times New Roman" w:hAnsi="Times New Roman"/>
          <w:sz w:val="18"/>
          <w:szCs w:val="18"/>
          <w:color w:val="auto"/>
        </w:rPr>
      </w:pPr>
    </w:p>
    <w:p>
      <w:pPr>
        <w:ind w:left="-20" w:right="20" w:firstLine="436"/>
        <w:spacing w:after="0" w:line="266" w:lineRule="auto"/>
        <w:tabs>
          <w:tab w:leader="none" w:pos="82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283" w:lineRule="exact"/>
        <w:rPr>
          <w:rFonts w:ascii="Times New Roman" w:cs="Times New Roman" w:eastAsia="Times New Roman" w:hAnsi="Times New Roman"/>
          <w:sz w:val="18"/>
          <w:szCs w:val="18"/>
          <w:color w:val="auto"/>
        </w:rPr>
      </w:pPr>
    </w:p>
    <w:p>
      <w:pPr>
        <w:ind w:left="820" w:hanging="404"/>
        <w:spacing w:after="0"/>
        <w:tabs>
          <w:tab w:leader="none" w:pos="82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Liquidation, Merger or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00" w:firstLine="987"/>
        <w:spacing w:after="0" w:line="255" w:lineRule="auto"/>
        <w:tabs>
          <w:tab w:leader="none" w:pos="1351"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Common Stock, other securities, or other property), recapitalization, stock split, reverse stock split, reorganization, merger, consolidation, split-up, spin-off,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in such manner as it may deem equitable, adjust the number and class of Common Stock that may be delivered under the Plan, the Purchase Price per share, the class and the number of shares of Common Stock covered by each option under the Plan that has not yet been exercised, and the numerical limits of Sections 7 and 13.</w:t>
      </w:r>
    </w:p>
    <w:p>
      <w:pPr>
        <w:spacing w:after="0" w:line="188" w:lineRule="exact"/>
        <w:rPr>
          <w:rFonts w:ascii="Times New Roman" w:cs="Times New Roman" w:eastAsia="Times New Roman" w:hAnsi="Times New Roman"/>
          <w:sz w:val="18"/>
          <w:szCs w:val="18"/>
          <w:color w:val="auto"/>
        </w:rPr>
      </w:pPr>
    </w:p>
    <w:p>
      <w:pPr>
        <w:ind w:left="-20" w:right="200" w:firstLine="987"/>
        <w:spacing w:after="0" w:line="281" w:lineRule="auto"/>
        <w:tabs>
          <w:tab w:leader="none" w:pos="1361" w:val="left"/>
        </w:tabs>
        <w:numPr>
          <w:ilvl w:val="1"/>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Dissolution or Liquidation</w:t>
      </w:r>
      <w:r>
        <w:rPr>
          <w:rFonts w:ascii="Times New Roman" w:cs="Times New Roman" w:eastAsia="Times New Roman" w:hAnsi="Times New Roman"/>
          <w:sz w:val="17"/>
          <w:szCs w:val="17"/>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-4246880</wp:posOffset>
            </wp:positionV>
            <wp:extent cx="2413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9">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60" w:top="270" w:right="459" w:bottom="1440" w:gutter="0" w:footer="0" w:header="0"/>
        </w:sectPr>
      </w:pPr>
    </w:p>
    <w:bookmarkStart w:id="433" w:name="page434"/>
    <w:bookmarkEnd w:id="433"/>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62" w:lineRule="exact"/>
        <w:rPr>
          <w:sz w:val="20"/>
          <w:szCs w:val="20"/>
          <w:color w:val="auto"/>
        </w:rPr>
      </w:pPr>
    </w:p>
    <w:p>
      <w:pPr>
        <w:ind w:right="60" w:firstLine="987"/>
        <w:spacing w:after="0" w:line="255" w:lineRule="auto"/>
        <w:tabs>
          <w:tab w:leader="none" w:pos="1371"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Change in Control</w:t>
      </w:r>
      <w:r>
        <w:rPr>
          <w:rFonts w:ascii="Times New Roman" w:cs="Times New Roman" w:eastAsia="Times New Roman" w:hAnsi="Times New Roman"/>
          <w:sz w:val="18"/>
          <w:szCs w:val="18"/>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296"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987"/>
        <w:spacing w:after="0" w:line="255" w:lineRule="auto"/>
        <w:tabs>
          <w:tab w:leader="none" w:pos="1368"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18).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spacing w:after="0" w:line="188" w:lineRule="exact"/>
        <w:rPr>
          <w:rFonts w:ascii="Times New Roman" w:cs="Times New Roman" w:eastAsia="Times New Roman" w:hAnsi="Times New Roman"/>
          <w:sz w:val="18"/>
          <w:szCs w:val="18"/>
          <w:color w:val="auto"/>
        </w:rPr>
      </w:pPr>
    </w:p>
    <w:p>
      <w:pPr>
        <w:ind w:firstLine="987"/>
        <w:spacing w:after="0" w:line="255" w:lineRule="auto"/>
        <w:tabs>
          <w:tab w:leader="none" w:pos="1378"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stockholder consent and without limiting Section 19(a), the Administrator will be entitled to change the Offering Periods or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88" w:lineRule="exact"/>
        <w:rPr>
          <w:rFonts w:ascii="Times New Roman" w:cs="Times New Roman" w:eastAsia="Times New Roman" w:hAnsi="Times New Roman"/>
          <w:sz w:val="18"/>
          <w:szCs w:val="18"/>
          <w:color w:val="auto"/>
        </w:rPr>
      </w:pPr>
    </w:p>
    <w:p>
      <w:pPr>
        <w:ind w:right="440" w:firstLine="987"/>
        <w:spacing w:after="0" w:line="266" w:lineRule="auto"/>
        <w:tabs>
          <w:tab w:leader="none" w:pos="1371"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434" w:name="page435"/>
    <w:bookmarkEnd w:id="434"/>
    <w:p>
      <w:pPr>
        <w:ind w:right="380" w:firstLine="1428"/>
        <w:spacing w:after="0" w:line="282" w:lineRule="auto"/>
        <w:tabs>
          <w:tab w:leader="none" w:pos="1782"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61" w:lineRule="exact"/>
        <w:rPr>
          <w:rFonts w:ascii="Times New Roman" w:cs="Times New Roman" w:eastAsia="Times New Roman" w:hAnsi="Times New Roman"/>
          <w:sz w:val="18"/>
          <w:szCs w:val="18"/>
          <w:color w:val="auto"/>
        </w:rPr>
      </w:pPr>
    </w:p>
    <w:p>
      <w:pPr>
        <w:ind w:right="580" w:firstLine="1428"/>
        <w:spacing w:after="0" w:line="282" w:lineRule="auto"/>
        <w:tabs>
          <w:tab w:leader="none" w:pos="1832"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Purchase Price for any Offering Period or Purchase Period including an Offering Period or Purchase Period underway at the time of the change in Purchase Price;</w:t>
      </w:r>
    </w:p>
    <w:p>
      <w:pPr>
        <w:spacing w:after="0" w:line="161" w:lineRule="exact"/>
        <w:rPr>
          <w:rFonts w:ascii="Times New Roman" w:cs="Times New Roman" w:eastAsia="Times New Roman" w:hAnsi="Times New Roman"/>
          <w:sz w:val="18"/>
          <w:szCs w:val="18"/>
          <w:color w:val="auto"/>
        </w:rPr>
      </w:pPr>
    </w:p>
    <w:p>
      <w:pPr>
        <w:ind w:right="120" w:firstLine="1428"/>
        <w:spacing w:after="0" w:line="282" w:lineRule="auto"/>
        <w:tabs>
          <w:tab w:leader="none" w:pos="1882"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Offering Period or Purchase Period by setting a New Exercise Date, including an Offering Period or Purchase Period underway at the time of the Administrator action;</w:t>
      </w:r>
    </w:p>
    <w:p>
      <w:pPr>
        <w:spacing w:after="0" w:line="161"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maximum percentage of Compensation a Participant may elect to set aside as Contributions; and</w:t>
      </w:r>
    </w:p>
    <w:p>
      <w:pPr>
        <w:spacing w:after="0" w:line="225"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0"/>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the maximum number of shares of Common Stock a Participant may purchase during any Offering Period or Purchase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modifications or amendments will not require stockholder approval or the consent of any Participants.</w:t>
      </w:r>
    </w:p>
    <w:p>
      <w:pPr>
        <w:spacing w:after="0" w:line="225" w:lineRule="exact"/>
        <w:rPr>
          <w:sz w:val="20"/>
          <w:szCs w:val="20"/>
          <w:color w:val="auto"/>
        </w:rPr>
      </w:pPr>
    </w:p>
    <w:p>
      <w:pPr>
        <w:jc w:val="both"/>
        <w:ind w:right="140" w:firstLine="436"/>
        <w:spacing w:after="0" w:line="266" w:lineRule="auto"/>
        <w:tabs>
          <w:tab w:leader="none" w:pos="84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84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83"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76" w:lineRule="exact"/>
        <w:rPr>
          <w:sz w:val="20"/>
          <w:szCs w:val="20"/>
          <w:color w:val="auto"/>
        </w:rPr>
      </w:pPr>
    </w:p>
    <w:p>
      <w:pPr>
        <w:ind w:firstLine="436"/>
        <w:spacing w:after="0" w:line="261" w:lineRule="auto"/>
        <w:tabs>
          <w:tab w:leader="none" w:pos="89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The 423 Component of 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35" w:name="page436"/>
    <w:bookmarkEnd w:id="435"/>
    <w:p>
      <w:pPr>
        <w:ind w:right="2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shall have no obligation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89" w:lineRule="exact"/>
        <w:rPr>
          <w:sz w:val="20"/>
          <w:szCs w:val="20"/>
          <w:color w:val="auto"/>
        </w:rPr>
      </w:pPr>
    </w:p>
    <w:p>
      <w:pPr>
        <w:ind w:right="280" w:firstLine="436"/>
        <w:spacing w:after="0" w:line="282" w:lineRule="auto"/>
        <w:tabs>
          <w:tab w:leader="none" w:pos="84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The Plan will become effective upon the later to occur of (a) its adoption by the Board or (b) the business day immediately prior to the Registration Date. It will continue in effect for a term of twenty (20) years, unless sooner terminated under Section 19.</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84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61"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will be governed by, and construed in accordance with, the laws of the State of New Jersey (except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choice-of-law provisions).</w:t>
      </w:r>
    </w:p>
    <w:p>
      <w:pPr>
        <w:spacing w:after="0" w:line="207" w:lineRule="exact"/>
        <w:rPr>
          <w:sz w:val="20"/>
          <w:szCs w:val="20"/>
          <w:color w:val="auto"/>
        </w:rPr>
      </w:pPr>
    </w:p>
    <w:p>
      <w:pPr>
        <w:ind w:right="20" w:firstLine="436"/>
        <w:spacing w:after="0" w:line="266" w:lineRule="auto"/>
        <w:tabs>
          <w:tab w:leader="none" w:pos="84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w:t>
      </w:r>
      <w:r>
        <w:rPr>
          <w:rFonts w:ascii="Times New Roman" w:cs="Times New Roman" w:eastAsia="Times New Roman" w:hAnsi="Times New Roman"/>
          <w:sz w:val="18"/>
          <w:szCs w:val="18"/>
          <w:color w:val="auto"/>
        </w:rPr>
        <w:t>. Participation in the Plan by a Participant will not be construed as giving a Participant the right to be retained as an employee of the Company or a Subsidiary or Affiliate, as applicable. Furthermore, the Company or a Subsidiary or Affiliate may dismiss a Participant from employment at any time, free from any liability or any claim under the Plan.</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84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75" w:lineRule="exact"/>
        <w:rPr>
          <w:rFonts w:ascii="Times New Roman" w:cs="Times New Roman" w:eastAsia="Times New Roman" w:hAnsi="Times New Roman"/>
          <w:sz w:val="18"/>
          <w:szCs w:val="18"/>
          <w:color w:val="auto"/>
        </w:rPr>
      </w:pPr>
    </w:p>
    <w:p>
      <w:pPr>
        <w:ind w:right="800" w:firstLine="436"/>
        <w:spacing w:after="0" w:line="282" w:lineRule="auto"/>
        <w:tabs>
          <w:tab w:leader="none" w:pos="84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Laws</w:t>
      </w:r>
      <w:r>
        <w:rPr>
          <w:rFonts w:ascii="Times New Roman" w:cs="Times New Roman" w:eastAsia="Times New Roman" w:hAnsi="Times New Roman"/>
          <w:sz w:val="18"/>
          <w:szCs w:val="18"/>
          <w:color w:val="auto"/>
        </w:rPr>
        <w:t>. The terms of this Plan are intended to comply with all Applicable Laws and will be construed accordingly.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436" w:name="page437"/>
    <w:bookmarkEnd w:id="436"/>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200" w:type="dxa"/>
            <w:vAlign w:val="bottom"/>
            <w:gridSpan w:val="6"/>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7"/>
              </w:rPr>
              <w:t>EXHIBIT A</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80" w:type="dxa"/>
            <w:vAlign w:val="bottom"/>
            <w:gridSpan w:val="7"/>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PMV PHARMACEUTICALS, INC.</w:t>
            </w:r>
          </w:p>
        </w:tc>
      </w:tr>
      <w:tr>
        <w:trPr>
          <w:trHeight w:val="43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80" w:type="dxa"/>
            <w:vAlign w:val="bottom"/>
            <w:gridSpan w:val="7"/>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9"/>
              </w:rPr>
              <w:t>2020 EMPLOYEE STOCK PURCHASE PLAN</w:t>
            </w:r>
          </w:p>
        </w:tc>
      </w:tr>
      <w:tr>
        <w:trPr>
          <w:trHeight w:val="43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80" w:type="dxa"/>
            <w:vAlign w:val="bottom"/>
            <w:gridSpan w:val="7"/>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rPr>
              <w:t>SUBSCRIPTION AGREEMENT</w:t>
            </w:r>
          </w:p>
        </w:tc>
      </w:tr>
      <w:tr>
        <w:trPr>
          <w:trHeight w:val="418"/>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Original Application</w:t>
            </w:r>
          </w:p>
        </w:tc>
        <w:tc>
          <w:tcPr>
            <w:tcW w:w="1680" w:type="dxa"/>
            <w:vAlign w:val="bottom"/>
          </w:tcPr>
          <w:p>
            <w:pPr>
              <w:spacing w:after="0"/>
              <w:rPr>
                <w:sz w:val="24"/>
                <w:szCs w:val="24"/>
                <w:color w:val="auto"/>
              </w:rPr>
            </w:pPr>
          </w:p>
        </w:tc>
        <w:tc>
          <w:tcPr>
            <w:tcW w:w="520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Offering Date:</w:t>
            </w:r>
          </w:p>
        </w:tc>
      </w:tr>
      <w:tr>
        <w:trPr>
          <w:trHeight w:val="412"/>
        </w:trPr>
        <w:tc>
          <w:tcPr>
            <w:tcW w:w="54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Payroll Deduction Rate</w:t>
            </w: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w w:val="99"/>
              </w:rPr>
              <w:t>hereby elects to participate in the PMV Pharmaceuticals, Inc. 2020 Employee Stock Purchase Plan (the “Plan”) and</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subscribes to purchase shares of the Company’s Common Stock in accordance with this Subscription Agreement and the Plan. Unless otherwise defined herein, the terms defined in the 2020 Employee Stock Purchase Plan (the “Plan”) shall have the same defined meanings in this Subscription Agreement.</w:t>
      </w:r>
    </w:p>
    <w:p>
      <w:pPr>
        <w:spacing w:after="0" w:line="140"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2. I hereby authorize and consent to payroll deductions from each paycheck in the amount of % (from 0 to fifteen percent (15%)) of my Compensation on each payday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4629785</wp:posOffset>
            </wp:positionH>
            <wp:positionV relativeFrom="paragraph">
              <wp:posOffset>-582930</wp:posOffset>
            </wp:positionV>
            <wp:extent cx="11430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3" w:lineRule="exact"/>
        <w:rPr>
          <w:sz w:val="20"/>
          <w:szCs w:val="20"/>
          <w:color w:val="auto"/>
        </w:rPr>
      </w:pPr>
    </w:p>
    <w:p>
      <w:pPr>
        <w:ind w:firstLine="436"/>
        <w:spacing w:after="0" w:line="261" w:lineRule="auto"/>
        <w:tabs>
          <w:tab w:leader="none" w:pos="75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79" w:lineRule="exact"/>
        <w:rPr>
          <w:rFonts w:ascii="Times New Roman" w:cs="Times New Roman" w:eastAsia="Times New Roman" w:hAnsi="Times New Roman"/>
          <w:sz w:val="18"/>
          <w:szCs w:val="18"/>
          <w:color w:val="auto"/>
        </w:rPr>
      </w:pPr>
    </w:p>
    <w:p>
      <w:pPr>
        <w:ind w:right="140" w:firstLine="436"/>
        <w:spacing w:after="0" w:line="282" w:lineRule="auto"/>
        <w:tabs>
          <w:tab w:leader="none" w:pos="75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received a copy of the complete Plan and its accompanying prospectus. I understand that my participation in the Plan is in all respects subject to the terms of the Plan.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  Shares of Common Stock purchased for me under the Plan should be issued in the name(s) of</w:t>
            </w:r>
          </w:p>
        </w:tc>
        <w:tc>
          <w:tcPr>
            <w:tcW w:w="900" w:type="dxa"/>
            <w:vAlign w:val="bottom"/>
            <w:tcBorders>
              <w:bottom w:val="single" w:sz="8" w:color="auto"/>
            </w:tcBorders>
          </w:tcPr>
          <w:p>
            <w:pPr>
              <w:spacing w:after="0"/>
              <w:rPr>
                <w:sz w:val="18"/>
                <w:szCs w:val="18"/>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(Eligible Employee or Eligible</w:t>
            </w:r>
          </w:p>
        </w:tc>
      </w:tr>
      <w:tr>
        <w:trPr>
          <w:trHeight w:val="237"/>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Employee and spouse only).</w:t>
            </w:r>
          </w:p>
        </w:tc>
        <w:tc>
          <w:tcPr>
            <w:tcW w:w="90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spacing w:after="0" w:line="198" w:lineRule="exact"/>
        <w:rPr>
          <w:sz w:val="20"/>
          <w:szCs w:val="20"/>
          <w:color w:val="auto"/>
        </w:rPr>
      </w:pPr>
    </w:p>
    <w:p>
      <w:pPr>
        <w:ind w:right="140" w:firstLine="436"/>
        <w:spacing w:after="0" w:line="266" w:lineRule="auto"/>
        <w:tabs>
          <w:tab w:leader="none" w:pos="75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am a U.S. taxpayer, I understand that if I dispose of any shares received by me pursuant to the Plan within two (2) years after the Enrollment Date (the first day of the Offering Period during which I purchased such shares) or one (1) year after the applicable Exercise Date, I will be treated for federal income tax purposes as having received ordinary income at the time of such</w:t>
      </w:r>
    </w:p>
    <w:p>
      <w:pPr>
        <w:sectPr>
          <w:pgSz w:w="11900" w:h="16838" w:orient="portrait"/>
          <w:cols w:equalWidth="0" w:num="1">
            <w:col w:w="11000"/>
          </w:cols>
          <w:pgMar w:left="440" w:top="256" w:right="459" w:bottom="1440" w:gutter="0" w:footer="0" w:header="0"/>
        </w:sectPr>
      </w:pPr>
    </w:p>
    <w:bookmarkStart w:id="437" w:name="page438"/>
    <w:bookmarkEnd w:id="43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disposition in an amount equal to the excess of the fair market value of the shares at the time such shares were purchased by me over the price that I paid for the shares. </w:t>
      </w:r>
      <w:r>
        <w:rPr>
          <w:rFonts w:ascii="Times New Roman" w:cs="Times New Roman" w:eastAsia="Times New Roman" w:hAnsi="Times New Roman"/>
          <w:sz w:val="18"/>
          <w:szCs w:val="18"/>
          <w:u w:val="single" w:color="auto"/>
          <w:color w:val="auto"/>
        </w:rPr>
        <w:t>I hereby agree to notify the Company in writing within thirty (30) days after the date of any disposition of my shares and I will make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adequate provision for federal, state or other tax withholding obligations, if any, which arise upon the disposition of such shares</w:t>
      </w:r>
      <w:r>
        <w:rPr>
          <w:rFonts w:ascii="Times New Roman" w:cs="Times New Roman" w:eastAsia="Times New Roman" w:hAnsi="Times New Roman"/>
          <w:sz w:val="18"/>
          <w:szCs w:val="18"/>
          <w:color w:val="auto"/>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(2)-year and one (1)-year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w:t>
      </w:r>
    </w:p>
    <w:p>
      <w:pPr>
        <w:spacing w:after="0" w:line="194" w:lineRule="exact"/>
        <w:rPr>
          <w:sz w:val="20"/>
          <w:szCs w:val="20"/>
          <w:color w:val="auto"/>
        </w:rPr>
      </w:pPr>
    </w:p>
    <w:p>
      <w:pPr>
        <w:ind w:right="360" w:firstLine="436"/>
        <w:spacing w:after="0" w:line="282" w:lineRule="auto"/>
        <w:tabs>
          <w:tab w:leader="none" w:pos="75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agree to be bound by the terms of the Plan. The effectiveness of this Subscription Agreement is dependent upon my eligibility to participate in the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17145</wp:posOffset>
            </wp:positionV>
            <wp:extent cx="28200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17145</wp:posOffset>
            </wp:positionV>
            <wp:extent cx="282003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I UNDERSTAND THAT THIS SUBSCRIPTION AGREEMENT WILL REMAIN IN EFFECT THROUGHOUT SUCCESSIVE OFFERING PERIODS UNLESS TERMINATED BY 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0</wp:posOffset>
            </wp:positionV>
            <wp:extent cx="656653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8">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Signature of Employee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38" w:name="page439"/>
    <w:bookmarkEnd w:id="438"/>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WITHDRAWAL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the terms defined in the 2020 Employee Stock Purchase Plan (the “Plan”) shall have the same defined meanings in this Notice of Withdrawal.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Participant in the Offering Period of the PMV Pharmaceuticals, Inc. 2020 Employee Stock Purchase Plan that began on</w:t>
      </w:r>
    </w:p>
    <w:p>
      <w:pPr>
        <w:spacing w:after="0" w:line="27" w:lineRule="exact"/>
        <w:rPr>
          <w:sz w:val="20"/>
          <w:szCs w:val="20"/>
          <w:color w:val="auto"/>
        </w:rPr>
      </w:pPr>
    </w:p>
    <w:p>
      <w:pPr>
        <w:ind w:right="40" w:firstLine="896"/>
        <w:spacing w:after="0" w:line="253" w:lineRule="auto"/>
        <w:tabs>
          <w:tab w:leader="none" w:pos="1574"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“Enrollment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-580390</wp:posOffset>
            </wp:positionV>
            <wp:extent cx="97091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0">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279463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445770</wp:posOffset>
            </wp:positionV>
            <wp:extent cx="279463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737235</wp:posOffset>
            </wp:positionV>
            <wp:extent cx="279463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279463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17145</wp:posOffset>
            </wp:positionV>
            <wp:extent cx="245173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5">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ectPr>
          <w:pgSz w:w="11900" w:h="16838" w:orient="portrait"/>
          <w:cols w:equalWidth="0" w:num="1">
            <w:col w:w="10960"/>
          </w:cols>
          <w:pgMar w:left="440" w:top="266" w:right="499" w:bottom="1440" w:gutter="0" w:footer="0" w:header="0"/>
        </w:sectPr>
      </w:pPr>
    </w:p>
    <w:bookmarkStart w:id="439" w:name="page440"/>
    <w:bookmarkEnd w:id="439"/>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OUTSIDE DIRECTOR COMPENSATION POLICY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and approved by the Board of Directors on August 5, 2020</w:t>
      </w:r>
    </w:p>
    <w:p>
      <w:pPr>
        <w:spacing w:after="0" w:line="2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PMV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believes that providing cash and equity compensation to its members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members of the Board,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represents an effective tool to attract, retain and reward Directors who are not employees of the Company (the “</w:t>
      </w:r>
      <w:r>
        <w:rPr>
          <w:rFonts w:ascii="Times New Roman" w:cs="Times New Roman" w:eastAsia="Times New Roman" w:hAnsi="Times New Roman"/>
          <w:sz w:val="18"/>
          <w:szCs w:val="18"/>
          <w:b w:val="1"/>
          <w:bCs w:val="1"/>
          <w:color w:val="auto"/>
        </w:rPr>
        <w:t>Outside Directors</w:t>
      </w:r>
      <w:r>
        <w:rPr>
          <w:rFonts w:ascii="Times New Roman" w:cs="Times New Roman" w:eastAsia="Times New Roman" w:hAnsi="Times New Roman"/>
          <w:sz w:val="18"/>
          <w:szCs w:val="18"/>
          <w:color w:val="auto"/>
        </w:rPr>
        <w:t>”). This Outside Director Compensation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is intended to formalize the Company’s policy regarding the compensation to its Outside Directors. Unless otherwise defined herein, capitalized terms used in this Policy will have the meaning given to such terms in the Company’s 2020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Subject to Section 8 of this Policy, this Policy will be effective as of the effective date of the first registration statement that is filed by the Company and declared effective pursuant to Section 12(b) of the Exchange Act, with respect to any class of the Company’s securities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(such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960" w:hanging="532"/>
        <w:spacing w:after="0"/>
        <w:tabs>
          <w:tab w:leader="none" w:pos="960"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ASH</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Cash Retainer</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Outside Director will be paid an annual cash retainer of $40,000. There are no per-meeting attendance fees for attending Board meetings.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cash compensation will be paid quarterly in arrears on a prorated basis.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 Annual Cash Retainer</w:t>
      </w:r>
    </w:p>
    <w:p>
      <w:pPr>
        <w:spacing w:after="0" w:line="119"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Effective as of the Effective Date, each Outside Director who serves as the chair of the Board, the lead Outside Director, or the chair or a member of a committee of the Board listed below will be eligible to earn additional annual cash fees (paid quarterly in arrears on a prorated basis) as follows:</w:t>
      </w:r>
    </w:p>
    <w:p>
      <w:pPr>
        <w:spacing w:after="0" w:line="185"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 of the Board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35,000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Chair of Audit Committee: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15,000</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of Audit Committee: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Chair of Compensation Committee: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10,000</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of Compensation Committee: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Chair of Nominating and Governance Committee: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of Nominating and Governance Committee: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bl>
    <w:p>
      <w:pPr>
        <w:sectPr>
          <w:pgSz w:w="11900" w:h="16838" w:orient="portrait"/>
          <w:cols w:equalWidth="0" w:num="1">
            <w:col w:w="11020"/>
          </w:cols>
          <w:pgMar w:left="440" w:top="117" w:right="439" w:bottom="1440" w:gutter="0" w:footer="0" w:header="0"/>
        </w:sectPr>
      </w:pPr>
    </w:p>
    <w:bookmarkStart w:id="440" w:name="page441"/>
    <w:bookmarkEnd w:id="440"/>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clarity, each Outside Director who serves as the chair of a committee shall receive only the additional annual cash fee as the chair of the committee, and not the additional annual cash fee as a member of the committee.</w:t>
      </w:r>
    </w:p>
    <w:p>
      <w:pPr>
        <w:spacing w:after="0" w:line="306" w:lineRule="exact"/>
        <w:rPr>
          <w:sz w:val="20"/>
          <w:szCs w:val="20"/>
          <w:color w:val="auto"/>
        </w:rPr>
      </w:pPr>
    </w:p>
    <w:p>
      <w:pPr>
        <w:ind w:left="960" w:hanging="532"/>
        <w:spacing w:after="0"/>
        <w:tabs>
          <w:tab w:leader="none" w:pos="960" w:val="left"/>
        </w:tabs>
        <w:numPr>
          <w:ilvl w:val="0"/>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QUITY</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Outside Directors will be eligible to receive all types of Awards (except Incentive Stock Options) under the Plan (or the applicable equity plan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at the time of grant), including discretionary Awards not covered under this Policy. All grants of Awards to Outside Directors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 of this Policy will be automatic and nondiscretionary, except as otherwise provided herein, and will be made in accordance with the following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w:t>
      </w:r>
    </w:p>
    <w:p>
      <w:pPr>
        <w:spacing w:after="0" w:line="207" w:lineRule="exact"/>
        <w:rPr>
          <w:sz w:val="20"/>
          <w:szCs w:val="20"/>
          <w:color w:val="auto"/>
        </w:rPr>
      </w:pPr>
    </w:p>
    <w:p>
      <w:pPr>
        <w:ind w:right="400" w:firstLine="436"/>
        <w:spacing w:after="0" w:line="282" w:lineRule="auto"/>
        <w:tabs>
          <w:tab w:leader="none" w:pos="82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Discretion</w:t>
      </w:r>
      <w:r>
        <w:rPr>
          <w:rFonts w:ascii="Times New Roman" w:cs="Times New Roman" w:eastAsia="Times New Roman" w:hAnsi="Times New Roman"/>
          <w:sz w:val="18"/>
          <w:szCs w:val="18"/>
          <w:color w:val="auto"/>
        </w:rPr>
        <w:t>. No person will have any discretion to select which Outside Directors will be granted any Awards under this Policy or to determine the number of Shares to be covered by such Awards.</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83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Award</w:t>
      </w:r>
      <w:r>
        <w:rPr>
          <w:rFonts w:ascii="Times New Roman" w:cs="Times New Roman" w:eastAsia="Times New Roman" w:hAnsi="Times New Roman"/>
          <w:sz w:val="18"/>
          <w:szCs w:val="18"/>
          <w:color w:val="auto"/>
        </w:rPr>
        <w:t>. Each individual who first becomes an Outside Director following the Effective Date will be granted an award of stock options (an “</w:t>
      </w:r>
      <w:r>
        <w:rPr>
          <w:rFonts w:ascii="Times New Roman" w:cs="Times New Roman" w:eastAsia="Times New Roman" w:hAnsi="Times New Roman"/>
          <w:sz w:val="18"/>
          <w:szCs w:val="18"/>
          <w:b w:val="1"/>
          <w:bCs w:val="1"/>
          <w:color w:val="auto"/>
        </w:rPr>
        <w:t>Initial Award</w:t>
      </w:r>
      <w:r>
        <w:rPr>
          <w:rFonts w:ascii="Times New Roman" w:cs="Times New Roman" w:eastAsia="Times New Roman" w:hAnsi="Times New Roman"/>
          <w:sz w:val="18"/>
          <w:szCs w:val="18"/>
          <w:color w:val="auto"/>
        </w:rPr>
        <w:t>”) covering 32,667 Shares (subject to adjustment for changes in capitalization under the Plan). The Initial Award will be made on the first trading date on or after the date on which such individual first becomes an Outside Director, whether through election by the stockholders of the Company or appointment by the Board to fill a vacancy. If an individual was a member of the Board and also an employee, becoming an Outside Director due to termination of employment will not entitle the Outside Director to an Initial Award.</w:t>
      </w:r>
    </w:p>
    <w:p>
      <w:pPr>
        <w:spacing w:after="0" w:line="183"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Subject to Section 3 of this Policy, each Initial Award will vest in equal amounts on the same day of the month as the date the individual first becomes an Outside Director over the 36 months following the month during which the individual first becomes an Outside Director, subject to the Outside Director continuing to be a Service Provider through the applicable vesting date.</w:t>
      </w:r>
    </w:p>
    <w:p>
      <w:pPr>
        <w:spacing w:after="0" w:line="172" w:lineRule="exact"/>
        <w:rPr>
          <w:sz w:val="20"/>
          <w:szCs w:val="20"/>
          <w:color w:val="auto"/>
        </w:rPr>
      </w:pPr>
    </w:p>
    <w:p>
      <w:pPr>
        <w:ind w:right="260" w:firstLine="436"/>
        <w:spacing w:after="0" w:line="268" w:lineRule="auto"/>
        <w:tabs>
          <w:tab w:leader="none" w:pos="82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Award</w:t>
      </w:r>
      <w:r>
        <w:rPr>
          <w:rFonts w:ascii="Times New Roman" w:cs="Times New Roman" w:eastAsia="Times New Roman" w:hAnsi="Times New Roman"/>
          <w:sz w:val="18"/>
          <w:szCs w:val="18"/>
          <w:color w:val="auto"/>
        </w:rPr>
        <w:t>. On the date of each annual meeting of the Company’s stockholders following the Effective Date (each, an “</w:t>
      </w: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each Outside Director will be automatically granted an award of stock options (an “</w:t>
      </w:r>
      <w:r>
        <w:rPr>
          <w:rFonts w:ascii="Times New Roman" w:cs="Times New Roman" w:eastAsia="Times New Roman" w:hAnsi="Times New Roman"/>
          <w:sz w:val="18"/>
          <w:szCs w:val="18"/>
          <w:b w:val="1"/>
          <w:bCs w:val="1"/>
          <w:color w:val="auto"/>
        </w:rPr>
        <w:t>Annual Award</w:t>
      </w:r>
      <w:r>
        <w:rPr>
          <w:rFonts w:ascii="Times New Roman" w:cs="Times New Roman" w:eastAsia="Times New Roman" w:hAnsi="Times New Roman"/>
          <w:sz w:val="18"/>
          <w:szCs w:val="18"/>
          <w:color w:val="auto"/>
        </w:rPr>
        <w:t>”) covering 16,333 Shares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for changes in capitalization under the Plan).</w:t>
      </w:r>
    </w:p>
    <w:p>
      <w:pPr>
        <w:spacing w:after="0" w:line="17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Section 3 of this Policy, each Annual Award will vest on the earlier of (i) the one-year anniversary of the date the Annual Award is granted or (ii) the day prior to the date of the Annual Meeting next following the date the Annual Award is granted, in each case, subject to the Outside Director continuing to be a Service Provider through the applicable vesting date.</w:t>
      </w:r>
    </w:p>
    <w:p>
      <w:pPr>
        <w:spacing w:after="0" w:line="320" w:lineRule="exact"/>
        <w:rPr>
          <w:sz w:val="20"/>
          <w:szCs w:val="20"/>
          <w:color w:val="auto"/>
        </w:rPr>
      </w:pPr>
    </w:p>
    <w:p>
      <w:pPr>
        <w:ind w:left="960" w:hanging="532"/>
        <w:spacing w:after="0"/>
        <w:tabs>
          <w:tab w:leader="none" w:pos="96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HANGE IN</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ONTROL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event of a Change in Control, each Outside Director outstanding Company equity awards will accelerate and vest.</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441" w:name="page442"/>
    <w:bookmarkEnd w:id="441"/>
    <w:p>
      <w:pPr>
        <w:ind w:left="960" w:hanging="532"/>
        <w:spacing w:after="0"/>
        <w:tabs>
          <w:tab w:leader="none" w:pos="960" w:val="left"/>
        </w:tabs>
        <w:numPr>
          <w:ilvl w:val="0"/>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Times New Roman" w:cs="Times New Roman" w:eastAsia="Times New Roman" w:hAnsi="Times New Roman"/>
          <w:sz w:val="14"/>
          <w:szCs w:val="14"/>
          <w:b w:val="1"/>
          <w:bCs w:val="1"/>
          <w:u w:val="single" w:color="auto"/>
          <w:color w:val="auto"/>
        </w:rPr>
        <w:t>RAVEL</w:t>
      </w:r>
      <w:r>
        <w:rPr>
          <w:rFonts w:ascii="Times New Roman" w:cs="Times New Roman" w:eastAsia="Times New Roman" w:hAnsi="Times New Roman"/>
          <w:sz w:val="18"/>
          <w:szCs w:val="18"/>
          <w:b w:val="1"/>
          <w:bCs w:val="1"/>
          <w:u w:val="single" w:color="auto"/>
          <w:color w:val="auto"/>
        </w:rPr>
        <w:t xml:space="preserve"> E</w:t>
      </w:r>
      <w:r>
        <w:rPr>
          <w:rFonts w:ascii="Times New Roman" w:cs="Times New Roman" w:eastAsia="Times New Roman" w:hAnsi="Times New Roman"/>
          <w:sz w:val="14"/>
          <w:szCs w:val="14"/>
          <w:b w:val="1"/>
          <w:bCs w:val="1"/>
          <w:u w:val="single" w:color="auto"/>
          <w:color w:val="auto"/>
        </w:rPr>
        <w:t>XPENSES</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Each Outside Director’s reasonable, customary and documented travel expenses to Board or Board committee meetings will be reimbursed by the Company.</w:t>
      </w:r>
    </w:p>
    <w:p>
      <w:pPr>
        <w:spacing w:after="0" w:line="306" w:lineRule="exact"/>
        <w:rPr>
          <w:sz w:val="20"/>
          <w:szCs w:val="20"/>
          <w:color w:val="auto"/>
        </w:rPr>
      </w:pPr>
    </w:p>
    <w:p>
      <w:pPr>
        <w:ind w:left="960" w:hanging="532"/>
        <w:spacing w:after="0"/>
        <w:tabs>
          <w:tab w:leader="none" w:pos="960" w:val="left"/>
        </w:tabs>
        <w:numPr>
          <w:ilvl w:val="0"/>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4"/>
          <w:szCs w:val="14"/>
          <w:b w:val="1"/>
          <w:bCs w:val="1"/>
          <w:u w:val="single" w:color="auto"/>
          <w:color w:val="auto"/>
        </w:rPr>
        <w:t>DDITIONAL</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ROVISIONS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provisions of the Plan not inconsistent with this Policy will apply to Awards granted to Outside Directors.</w:t>
      </w:r>
    </w:p>
    <w:p>
      <w:pPr>
        <w:spacing w:after="0" w:line="370" w:lineRule="exact"/>
        <w:rPr>
          <w:sz w:val="20"/>
          <w:szCs w:val="20"/>
          <w:color w:val="auto"/>
        </w:rPr>
      </w:pPr>
    </w:p>
    <w:p>
      <w:pPr>
        <w:ind w:left="960" w:hanging="532"/>
        <w:spacing w:after="0"/>
        <w:tabs>
          <w:tab w:leader="none" w:pos="960"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4"/>
          <w:szCs w:val="14"/>
          <w:b w:val="1"/>
          <w:bCs w:val="1"/>
          <w:u w:val="single" w:color="auto"/>
          <w:color w:val="auto"/>
        </w:rPr>
        <w:t>ECTION</w:t>
      </w:r>
      <w:r>
        <w:rPr>
          <w:rFonts w:ascii="Times New Roman" w:cs="Times New Roman" w:eastAsia="Times New Roman" w:hAnsi="Times New Roman"/>
          <w:sz w:val="18"/>
          <w:szCs w:val="18"/>
          <w:b w:val="1"/>
          <w:bCs w:val="1"/>
          <w:u w:val="single" w:color="auto"/>
          <w:color w:val="auto"/>
        </w:rPr>
        <w:t xml:space="preserve"> 409A</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no event will cash compensation or expense reimbursement payments under this Policy be paid after the later of (i) 15th day of the 3rd month following the end of the Company’s fiscal year in which the compensation is earned or expenses are incurred, as applicable, or (ii)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spacing w:after="0" w:line="336" w:lineRule="exact"/>
        <w:rPr>
          <w:sz w:val="20"/>
          <w:szCs w:val="20"/>
          <w:color w:val="auto"/>
        </w:rPr>
      </w:pPr>
    </w:p>
    <w:p>
      <w:pPr>
        <w:ind w:left="960" w:hanging="532"/>
        <w:spacing w:after="0"/>
        <w:tabs>
          <w:tab w:leader="none" w:pos="960" w:val="left"/>
        </w:tabs>
        <w:numPr>
          <w:ilvl w:val="0"/>
          <w:numId w:val="3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4"/>
          <w:szCs w:val="14"/>
          <w:b w:val="1"/>
          <w:bCs w:val="1"/>
          <w:u w:val="single" w:color="auto"/>
          <w:color w:val="auto"/>
        </w:rPr>
        <w:t>EVISIONS</w:t>
      </w:r>
    </w:p>
    <w:p>
      <w:pPr>
        <w:spacing w:after="0" w:line="121"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442" w:name="page443"/>
    <w:bookmarkEnd w:id="44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June 26, 2020 (except for the reverse stock split discussed in Note 2, as to which the date is September 21, 2020) in Amendment No. 1 to the Registration Statement (Form S-1 No. 333-248627) and related Prospectus of PMV Pharmaceuticals, Inc. for the registration of shares of its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21,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E3413A"/>
    <w:multiLevelType w:val="hybridMultilevel"/>
    <w:lvl w:ilvl="0">
      <w:lvlJc w:val="left"/>
      <w:lvlText w:val="(%1)"/>
      <w:numFmt w:val="decimal"/>
      <w:start w:val="1"/>
    </w:lvl>
  </w:abstractNum>
  <w:abstractNum w:abstractNumId="1">
    <w:nsid w:val="116AE494"/>
    <w:multiLevelType w:val="hybridMultilevel"/>
    <w:lvl w:ilvl="0">
      <w:lvlJc w:val="left"/>
      <w:lvlText w:val="(%1)"/>
      <w:numFmt w:val="decimal"/>
      <w:start w:val="1"/>
    </w:lvl>
  </w:abstractNum>
  <w:abstractNum w:abstractNumId="2">
    <w:nsid w:val="3494B2FB"/>
    <w:multiLevelType w:val="hybridMultilevel"/>
    <w:lvl w:ilvl="0">
      <w:lvlJc w:val="left"/>
      <w:lvlText w:val="(%1)"/>
      <w:numFmt w:val="decimal"/>
      <w:start w:val="1"/>
    </w:lvl>
  </w:abstractNum>
  <w:abstractNum w:abstractNumId="3">
    <w:nsid w:val="B13A31"/>
    <w:multiLevelType w:val="hybridMultilevel"/>
    <w:lvl w:ilvl="0">
      <w:lvlJc w:val="left"/>
      <w:lvlText w:val="•"/>
      <w:numFmt w:val="bullet"/>
      <w:start w:val="1"/>
    </w:lvl>
  </w:abstractNum>
  <w:abstractNum w:abstractNumId="4">
    <w:nsid w:val="64429599"/>
    <w:multiLevelType w:val="hybridMultilevel"/>
    <w:lvl w:ilvl="0">
      <w:lvlJc w:val="left"/>
      <w:lvlText w:val="•"/>
      <w:numFmt w:val="bullet"/>
      <w:start w:val="1"/>
    </w:lvl>
  </w:abstractNum>
  <w:abstractNum w:abstractNumId="5">
    <w:nsid w:val="631F1690"/>
    <w:multiLevelType w:val="hybridMultilevel"/>
    <w:lvl w:ilvl="0">
      <w:lvlJc w:val="left"/>
      <w:lvlText w:val="•"/>
      <w:numFmt w:val="bullet"/>
      <w:start w:val="1"/>
    </w:lvl>
  </w:abstractNum>
  <w:abstractNum w:abstractNumId="6">
    <w:nsid w:val="25973E32"/>
    <w:multiLevelType w:val="hybridMultilevel"/>
    <w:lvl w:ilvl="0">
      <w:lvlJc w:val="left"/>
      <w:lvlText w:val="•"/>
      <w:numFmt w:val="bullet"/>
      <w:start w:val="1"/>
    </w:lvl>
  </w:abstractNum>
  <w:abstractNum w:abstractNumId="7">
    <w:nsid w:val="EAD6F57"/>
    <w:multiLevelType w:val="hybridMultilevel"/>
    <w:lvl w:ilvl="0">
      <w:lvlJc w:val="left"/>
      <w:lvlText w:val="•"/>
      <w:numFmt w:val="bullet"/>
      <w:start w:val="1"/>
    </w:lvl>
  </w:abstractNum>
  <w:abstractNum w:abstractNumId="8">
    <w:nsid w:val="6EC9D844"/>
    <w:multiLevelType w:val="hybridMultilevel"/>
    <w:lvl w:ilvl="0">
      <w:lvlJc w:val="left"/>
      <w:lvlText w:val="•"/>
      <w:numFmt w:val="bullet"/>
      <w:start w:val="1"/>
    </w:lvl>
  </w:abstractNum>
  <w:abstractNum w:abstractNumId="9">
    <w:nsid w:val="5C49EAEE"/>
    <w:multiLevelType w:val="hybridMultilevel"/>
    <w:lvl w:ilvl="0">
      <w:lvlJc w:val="left"/>
      <w:lvlText w:val="•"/>
      <w:numFmt w:val="bullet"/>
      <w:start w:val="1"/>
    </w:lvl>
  </w:abstractNum>
  <w:abstractNum w:abstractNumId="10">
    <w:nsid w:val="64AF49B"/>
    <w:multiLevelType w:val="hybridMultilevel"/>
    <w:lvl w:ilvl="0">
      <w:lvlJc w:val="left"/>
      <w:lvlText w:val="(%1)"/>
      <w:numFmt w:val="decimal"/>
      <w:start w:val="1"/>
    </w:lvl>
  </w:abstractNum>
  <w:abstractNum w:abstractNumId="11">
    <w:nsid w:val="397C46BC"/>
    <w:multiLevelType w:val="hybridMultilevel"/>
    <w:lvl w:ilvl="0">
      <w:lvlJc w:val="left"/>
      <w:lvlText w:val="(%1)"/>
      <w:numFmt w:val="decimal"/>
      <w:start w:val="1"/>
    </w:lvl>
  </w:abstractNum>
  <w:abstractNum w:abstractNumId="12">
    <w:nsid w:val="7E448DE9"/>
    <w:multiLevelType w:val="hybridMultilevel"/>
    <w:lvl w:ilvl="0">
      <w:lvlJc w:val="left"/>
      <w:lvlText w:val="•"/>
      <w:numFmt w:val="bullet"/>
      <w:start w:val="1"/>
    </w:lvl>
  </w:abstractNum>
  <w:abstractNum w:abstractNumId="13">
    <w:nsid w:val="5A9CC3E5"/>
    <w:multiLevelType w:val="hybridMultilevel"/>
    <w:lvl w:ilvl="0">
      <w:lvlJc w:val="left"/>
      <w:lvlText w:val="•"/>
      <w:numFmt w:val="bullet"/>
      <w:start w:val="1"/>
    </w:lvl>
  </w:abstractNum>
  <w:abstractNum w:abstractNumId="14">
    <w:nsid w:val="1AFE3625"/>
    <w:multiLevelType w:val="hybridMultilevel"/>
    <w:lvl w:ilvl="0">
      <w:lvlJc w:val="left"/>
      <w:lvlText w:val="•"/>
      <w:numFmt w:val="bullet"/>
      <w:start w:val="1"/>
    </w:lvl>
  </w:abstractNum>
  <w:abstractNum w:abstractNumId="15">
    <w:nsid w:val="3CA88ECF"/>
    <w:multiLevelType w:val="hybridMultilevel"/>
    <w:lvl w:ilvl="0">
      <w:lvlJc w:val="left"/>
      <w:lvlText w:val="•"/>
      <w:numFmt w:val="bullet"/>
      <w:start w:val="1"/>
    </w:lvl>
  </w:abstractNum>
  <w:abstractNum w:abstractNumId="16">
    <w:nsid w:val="6EBE4208"/>
    <w:multiLevelType w:val="hybridMultilevel"/>
    <w:lvl w:ilvl="0">
      <w:lvlJc w:val="left"/>
      <w:lvlText w:val="•"/>
      <w:numFmt w:val="bullet"/>
      <w:start w:val="1"/>
    </w:lvl>
  </w:abstractNum>
  <w:abstractNum w:abstractNumId="17">
    <w:nsid w:val="C058DF5"/>
    <w:multiLevelType w:val="hybridMultilevel"/>
    <w:lvl w:ilvl="0">
      <w:lvlJc w:val="left"/>
      <w:lvlText w:val="•"/>
      <w:numFmt w:val="bullet"/>
      <w:start w:val="1"/>
    </w:lvl>
  </w:abstractNum>
  <w:abstractNum w:abstractNumId="18">
    <w:nsid w:val="CBE5BE9"/>
    <w:multiLevelType w:val="hybridMultilevel"/>
    <w:lvl w:ilvl="0">
      <w:lvlJc w:val="left"/>
      <w:lvlText w:val="•"/>
      <w:numFmt w:val="bullet"/>
      <w:start w:val="1"/>
    </w:lvl>
  </w:abstractNum>
  <w:abstractNum w:abstractNumId="19">
    <w:nsid w:val="3102BBE2"/>
    <w:multiLevelType w:val="hybridMultilevel"/>
    <w:lvl w:ilvl="0">
      <w:lvlJc w:val="left"/>
      <w:lvlText w:val="•"/>
      <w:numFmt w:val="bullet"/>
      <w:start w:val="1"/>
    </w:lvl>
  </w:abstractNum>
  <w:abstractNum w:abstractNumId="20">
    <w:nsid w:val="26A02C5E"/>
    <w:multiLevelType w:val="hybridMultilevel"/>
    <w:lvl w:ilvl="0">
      <w:lvlJc w:val="left"/>
      <w:lvlText w:val="•"/>
      <w:numFmt w:val="bullet"/>
      <w:start w:val="1"/>
    </w:lvl>
  </w:abstractNum>
  <w:abstractNum w:abstractNumId="21">
    <w:nsid w:val="541C8153"/>
    <w:multiLevelType w:val="hybridMultilevel"/>
    <w:lvl w:ilvl="0">
      <w:lvlJc w:val="left"/>
      <w:lvlText w:val="•"/>
      <w:numFmt w:val="bullet"/>
      <w:start w:val="1"/>
    </w:lvl>
  </w:abstractNum>
  <w:abstractNum w:abstractNumId="22">
    <w:nsid w:val="67906F60"/>
    <w:multiLevelType w:val="hybridMultilevel"/>
    <w:lvl w:ilvl="0">
      <w:lvlJc w:val="left"/>
      <w:lvlText w:val="•"/>
      <w:numFmt w:val="bullet"/>
      <w:start w:val="1"/>
    </w:lvl>
  </w:abstractNum>
  <w:abstractNum w:abstractNumId="23">
    <w:nsid w:val="10DB9DAA"/>
    <w:multiLevelType w:val="hybridMultilevel"/>
    <w:lvl w:ilvl="0">
      <w:lvlJc w:val="left"/>
      <w:lvlText w:val="•"/>
      <w:numFmt w:val="bullet"/>
      <w:start w:val="1"/>
    </w:lvl>
  </w:abstractNum>
  <w:abstractNum w:abstractNumId="24">
    <w:nsid w:val="697D2D2"/>
    <w:multiLevelType w:val="hybridMultilevel"/>
    <w:lvl w:ilvl="0">
      <w:lvlJc w:val="left"/>
      <w:lvlText w:val="•"/>
      <w:numFmt w:val="bullet"/>
      <w:start w:val="1"/>
    </w:lvl>
  </w:abstractNum>
  <w:abstractNum w:abstractNumId="25">
    <w:nsid w:val="6D68AB2"/>
    <w:multiLevelType w:val="hybridMultilevel"/>
    <w:lvl w:ilvl="0">
      <w:lvlJc w:val="left"/>
      <w:lvlText w:val="•"/>
      <w:numFmt w:val="bullet"/>
      <w:start w:val="1"/>
    </w:lvl>
  </w:abstractNum>
  <w:abstractNum w:abstractNumId="26">
    <w:nsid w:val="3A966CD0"/>
    <w:multiLevelType w:val="hybridMultilevel"/>
    <w:lvl w:ilvl="0">
      <w:lvlJc w:val="left"/>
      <w:lvlText w:val="•"/>
      <w:numFmt w:val="bullet"/>
      <w:start w:val="1"/>
    </w:lvl>
  </w:abstractNum>
  <w:abstractNum w:abstractNumId="27">
    <w:nsid w:val="63F37E85"/>
    <w:multiLevelType w:val="hybridMultilevel"/>
    <w:lvl w:ilvl="0">
      <w:lvlJc w:val="left"/>
      <w:lvlText w:val="•"/>
      <w:numFmt w:val="bullet"/>
      <w:start w:val="1"/>
    </w:lvl>
  </w:abstractNum>
  <w:abstractNum w:abstractNumId="28">
    <w:nsid w:val="5895F5FA"/>
    <w:multiLevelType w:val="hybridMultilevel"/>
    <w:lvl w:ilvl="0">
      <w:lvlJc w:val="left"/>
      <w:lvlText w:val="•"/>
      <w:numFmt w:val="bullet"/>
      <w:start w:val="1"/>
    </w:lvl>
  </w:abstractNum>
  <w:abstractNum w:abstractNumId="29">
    <w:nsid w:val="38A5D054"/>
    <w:multiLevelType w:val="hybridMultilevel"/>
    <w:lvl w:ilvl="0">
      <w:lvlJc w:val="left"/>
      <w:lvlText w:val="•"/>
      <w:numFmt w:val="bullet"/>
      <w:start w:val="1"/>
    </w:lvl>
  </w:abstractNum>
  <w:abstractNum w:abstractNumId="30">
    <w:nsid w:val="F3F09D8"/>
    <w:multiLevelType w:val="hybridMultilevel"/>
    <w:lvl w:ilvl="0">
      <w:lvlJc w:val="left"/>
      <w:lvlText w:val="•"/>
      <w:numFmt w:val="bullet"/>
      <w:start w:val="1"/>
    </w:lvl>
  </w:abstractNum>
  <w:abstractNum w:abstractNumId="31">
    <w:nsid w:val="4B793735"/>
    <w:multiLevelType w:val="hybridMultilevel"/>
    <w:lvl w:ilvl="0">
      <w:lvlJc w:val="left"/>
      <w:lvlText w:val="•"/>
      <w:numFmt w:val="bullet"/>
      <w:start w:val="1"/>
    </w:lvl>
  </w:abstractNum>
  <w:abstractNum w:abstractNumId="32">
    <w:nsid w:val="4A10B4E8"/>
    <w:multiLevelType w:val="hybridMultilevel"/>
    <w:lvl w:ilvl="0">
      <w:lvlJc w:val="left"/>
      <w:lvlText w:val="•"/>
      <w:numFmt w:val="bullet"/>
      <w:start w:val="1"/>
    </w:lvl>
  </w:abstractNum>
  <w:abstractNum w:abstractNumId="33">
    <w:nsid w:val="43D3BCD4"/>
    <w:multiLevelType w:val="hybridMultilevel"/>
    <w:lvl w:ilvl="0">
      <w:lvlJc w:val="left"/>
      <w:lvlText w:val="(%1)"/>
      <w:numFmt w:val="lowerRoman"/>
      <w:start w:val="1"/>
    </w:lvl>
  </w:abstractNum>
  <w:abstractNum w:abstractNumId="34">
    <w:nsid w:val="4C2A7166"/>
    <w:multiLevelType w:val="hybridMultilevel"/>
    <w:lvl w:ilvl="0">
      <w:lvlJc w:val="left"/>
      <w:lvlText w:val="•"/>
      <w:numFmt w:val="bullet"/>
      <w:start w:val="1"/>
    </w:lvl>
  </w:abstractNum>
  <w:abstractNum w:abstractNumId="35">
    <w:nsid w:val="2E534A82"/>
    <w:multiLevelType w:val="hybridMultilevel"/>
    <w:lvl w:ilvl="0">
      <w:lvlJc w:val="left"/>
      <w:lvlText w:val="•"/>
      <w:numFmt w:val="bullet"/>
      <w:start w:val="1"/>
    </w:lvl>
  </w:abstractNum>
  <w:abstractNum w:abstractNumId="36">
    <w:nsid w:val="26F2D364"/>
    <w:multiLevelType w:val="hybridMultilevel"/>
    <w:lvl w:ilvl="0">
      <w:lvlJc w:val="left"/>
      <w:lvlText w:val="•"/>
      <w:numFmt w:val="bullet"/>
      <w:start w:val="1"/>
    </w:lvl>
  </w:abstractNum>
  <w:abstractNum w:abstractNumId="37">
    <w:nsid w:val="71C1AF98"/>
    <w:multiLevelType w:val="hybridMultilevel"/>
    <w:lvl w:ilvl="0">
      <w:lvlJc w:val="left"/>
      <w:lvlText w:val="•"/>
      <w:numFmt w:val="bullet"/>
      <w:start w:val="1"/>
    </w:lvl>
  </w:abstractNum>
  <w:abstractNum w:abstractNumId="38">
    <w:nsid w:val="3D00B9D9"/>
    <w:multiLevelType w:val="hybridMultilevel"/>
    <w:lvl w:ilvl="0">
      <w:lvlJc w:val="left"/>
      <w:lvlText w:val="•"/>
      <w:numFmt w:val="bullet"/>
      <w:start w:val="1"/>
    </w:lvl>
  </w:abstractNum>
  <w:abstractNum w:abstractNumId="39">
    <w:nsid w:val="15BCABA8"/>
    <w:multiLevelType w:val="hybridMultilevel"/>
    <w:lvl w:ilvl="0">
      <w:lvlJc w:val="left"/>
      <w:lvlText w:val="•"/>
      <w:numFmt w:val="bullet"/>
      <w:start w:val="1"/>
    </w:lvl>
  </w:abstractNum>
  <w:abstractNum w:abstractNumId="40">
    <w:nsid w:val="4E0B9A87"/>
    <w:multiLevelType w:val="hybridMultilevel"/>
    <w:lvl w:ilvl="0">
      <w:lvlJc w:val="left"/>
      <w:lvlText w:val="•"/>
      <w:numFmt w:val="bullet"/>
      <w:start w:val="1"/>
    </w:lvl>
  </w:abstractNum>
  <w:abstractNum w:abstractNumId="41">
    <w:nsid w:val="434BAE75"/>
    <w:multiLevelType w:val="hybridMultilevel"/>
    <w:lvl w:ilvl="0">
      <w:lvlJc w:val="left"/>
      <w:lvlText w:val="•"/>
      <w:numFmt w:val="bullet"/>
      <w:start w:val="1"/>
    </w:lvl>
  </w:abstractNum>
  <w:abstractNum w:abstractNumId="42">
    <w:nsid w:val="4F38F265"/>
    <w:multiLevelType w:val="hybridMultilevel"/>
    <w:lvl w:ilvl="0">
      <w:lvlJc w:val="left"/>
      <w:lvlText w:val="•"/>
      <w:numFmt w:val="bullet"/>
      <w:start w:val="1"/>
    </w:lvl>
  </w:abstractNum>
  <w:abstractNum w:abstractNumId="43">
    <w:nsid w:val="4C502870"/>
    <w:multiLevelType w:val="hybridMultilevel"/>
    <w:lvl w:ilvl="0">
      <w:lvlJc w:val="left"/>
      <w:lvlText w:val="•"/>
      <w:numFmt w:val="bullet"/>
      <w:start w:val="1"/>
    </w:lvl>
  </w:abstractNum>
  <w:abstractNum w:abstractNumId="44">
    <w:nsid w:val="1DE8725A"/>
    <w:multiLevelType w:val="hybridMultilevel"/>
    <w:lvl w:ilvl="0">
      <w:lvlJc w:val="left"/>
      <w:lvlText w:val="•"/>
      <w:numFmt w:val="bullet"/>
      <w:start w:val="1"/>
    </w:lvl>
  </w:abstractNum>
  <w:abstractNum w:abstractNumId="45">
    <w:nsid w:val="6A37288A"/>
    <w:multiLevelType w:val="hybridMultilevel"/>
    <w:lvl w:ilvl="0">
      <w:lvlJc w:val="left"/>
      <w:lvlText w:val="•"/>
      <w:numFmt w:val="bullet"/>
      <w:start w:val="1"/>
    </w:lvl>
  </w:abstractNum>
  <w:abstractNum w:abstractNumId="46">
    <w:nsid w:val="8F8B73F"/>
    <w:multiLevelType w:val="hybridMultilevel"/>
    <w:lvl w:ilvl="0">
      <w:lvlJc w:val="left"/>
      <w:lvlText w:val="•"/>
      <w:numFmt w:val="bullet"/>
      <w:start w:val="1"/>
    </w:lvl>
  </w:abstractNum>
  <w:abstractNum w:abstractNumId="47">
    <w:nsid w:val="CA6B462"/>
    <w:multiLevelType w:val="hybridMultilevel"/>
    <w:lvl w:ilvl="0">
      <w:lvlJc w:val="left"/>
      <w:lvlText w:val="•"/>
      <w:numFmt w:val="bullet"/>
      <w:start w:val="1"/>
    </w:lvl>
  </w:abstractNum>
  <w:abstractNum w:abstractNumId="48">
    <w:nsid w:val="763CB680"/>
    <w:multiLevelType w:val="hybridMultilevel"/>
    <w:lvl w:ilvl="0">
      <w:lvlJc w:val="left"/>
      <w:lvlText w:val="•"/>
      <w:numFmt w:val="bullet"/>
      <w:start w:val="1"/>
    </w:lvl>
  </w:abstractNum>
  <w:abstractNum w:abstractNumId="49">
    <w:nsid w:val="15B71329"/>
    <w:multiLevelType w:val="hybridMultilevel"/>
    <w:lvl w:ilvl="0">
      <w:lvlJc w:val="left"/>
      <w:lvlText w:val="•"/>
      <w:numFmt w:val="bullet"/>
      <w:start w:val="1"/>
    </w:lvl>
  </w:abstractNum>
  <w:abstractNum w:abstractNumId="50">
    <w:nsid w:val="3DA97044"/>
    <w:multiLevelType w:val="hybridMultilevel"/>
    <w:lvl w:ilvl="0">
      <w:lvlJc w:val="left"/>
      <w:lvlText w:val="•"/>
      <w:numFmt w:val="bullet"/>
      <w:start w:val="1"/>
    </w:lvl>
  </w:abstractNum>
  <w:abstractNum w:abstractNumId="51">
    <w:nsid w:val="1CDCE2DE"/>
    <w:multiLevelType w:val="hybridMultilevel"/>
    <w:lvl w:ilvl="0">
      <w:lvlJc w:val="left"/>
      <w:lvlText w:val="•"/>
      <w:numFmt w:val="bullet"/>
      <w:start w:val="1"/>
    </w:lvl>
  </w:abstractNum>
  <w:abstractNum w:abstractNumId="52">
    <w:nsid w:val="69D3947C"/>
    <w:multiLevelType w:val="hybridMultilevel"/>
    <w:lvl w:ilvl="0">
      <w:lvlJc w:val="left"/>
      <w:lvlText w:val="•"/>
      <w:numFmt w:val="bullet"/>
      <w:start w:val="1"/>
    </w:lvl>
  </w:abstractNum>
  <w:abstractNum w:abstractNumId="53">
    <w:nsid w:val="2539DFA5"/>
    <w:multiLevelType w:val="hybridMultilevel"/>
    <w:lvl w:ilvl="0">
      <w:lvlJc w:val="left"/>
      <w:lvlText w:val="•"/>
      <w:numFmt w:val="bullet"/>
      <w:start w:val="1"/>
    </w:lvl>
  </w:abstractNum>
  <w:abstractNum w:abstractNumId="54">
    <w:nsid w:val="2DB88089"/>
    <w:multiLevelType w:val="hybridMultilevel"/>
    <w:lvl w:ilvl="0">
      <w:lvlJc w:val="left"/>
      <w:lvlText w:val="•"/>
      <w:numFmt w:val="bullet"/>
      <w:start w:val="1"/>
    </w:lvl>
  </w:abstractNum>
  <w:abstractNum w:abstractNumId="55">
    <w:nsid w:val="706B674E"/>
    <w:multiLevelType w:val="hybridMultilevel"/>
    <w:lvl w:ilvl="0">
      <w:lvlJc w:val="left"/>
      <w:lvlText w:val="(%1)"/>
      <w:numFmt w:val="decimal"/>
      <w:start w:val="1"/>
    </w:lvl>
  </w:abstractNum>
  <w:abstractNum w:abstractNumId="56">
    <w:nsid w:val="2C106A57"/>
    <w:multiLevelType w:val="hybridMultilevel"/>
    <w:lvl w:ilvl="0">
      <w:lvlJc w:val="left"/>
      <w:lvlText w:val="•"/>
      <w:numFmt w:val="bullet"/>
      <w:start w:val="1"/>
    </w:lvl>
  </w:abstractNum>
  <w:abstractNum w:abstractNumId="57">
    <w:nsid w:val="684EED59"/>
    <w:multiLevelType w:val="hybridMultilevel"/>
    <w:lvl w:ilvl="0">
      <w:lvlJc w:val="left"/>
      <w:lvlText w:val="$"/>
      <w:numFmt w:val="bullet"/>
      <w:start w:val="1"/>
    </w:lvl>
  </w:abstractNum>
  <w:abstractNum w:abstractNumId="58">
    <w:nsid w:val="545EE5D3"/>
    <w:multiLevelType w:val="hybridMultilevel"/>
    <w:lvl w:ilvl="0">
      <w:lvlJc w:val="left"/>
      <w:lvlText w:val="•"/>
      <w:numFmt w:val="bullet"/>
      <w:start w:val="1"/>
    </w:lvl>
  </w:abstractNum>
  <w:abstractNum w:abstractNumId="59">
    <w:nsid w:val="4A66051"/>
    <w:multiLevelType w:val="hybridMultilevel"/>
    <w:lvl w:ilvl="0">
      <w:lvlJc w:val="left"/>
      <w:lvlText w:val="(%1)"/>
      <w:numFmt w:val="decimal"/>
      <w:start w:val="1"/>
    </w:lvl>
  </w:abstractNum>
  <w:abstractNum w:abstractNumId="60">
    <w:nsid w:val="20F4BDAD"/>
    <w:multiLevelType w:val="hybridMultilevel"/>
    <w:lvl w:ilvl="0">
      <w:lvlJc w:val="left"/>
      <w:lvlText w:val="(%1)"/>
      <w:numFmt w:val="decimal"/>
      <w:start w:val="1"/>
    </w:lvl>
  </w:abstractNum>
  <w:abstractNum w:abstractNumId="61">
    <w:nsid w:val="639DEFAC"/>
    <w:multiLevelType w:val="hybridMultilevel"/>
    <w:lvl w:ilvl="0">
      <w:lvlJc w:val="left"/>
      <w:lvlText w:val="•"/>
      <w:numFmt w:val="bullet"/>
      <w:start w:val="1"/>
    </w:lvl>
  </w:abstractNum>
  <w:abstractNum w:abstractNumId="62">
    <w:nsid w:val="501F9786"/>
    <w:multiLevelType w:val="hybridMultilevel"/>
    <w:lvl w:ilvl="0">
      <w:lvlJc w:val="left"/>
      <w:lvlText w:val="•"/>
      <w:numFmt w:val="bullet"/>
      <w:start w:val="1"/>
    </w:lvl>
  </w:abstractNum>
  <w:abstractNum w:abstractNumId="63">
    <w:nsid w:val="6B057295"/>
    <w:multiLevelType w:val="hybridMultilevel"/>
    <w:lvl w:ilvl="0">
      <w:lvlJc w:val="left"/>
      <w:lvlText w:val="•"/>
      <w:numFmt w:val="bullet"/>
      <w:start w:val="1"/>
    </w:lvl>
  </w:abstractNum>
  <w:abstractNum w:abstractNumId="64">
    <w:nsid w:val="2771AC80"/>
    <w:multiLevelType w:val="hybridMultilevel"/>
    <w:lvl w:ilvl="0">
      <w:lvlJc w:val="left"/>
      <w:lvlText w:val="•"/>
      <w:numFmt w:val="bullet"/>
      <w:start w:val="1"/>
    </w:lvl>
  </w:abstractNum>
  <w:abstractNum w:abstractNumId="65">
    <w:nsid w:val="1C4A08EC"/>
    <w:multiLevelType w:val="hybridMultilevel"/>
    <w:lvl w:ilvl="0">
      <w:lvlJc w:val="left"/>
      <w:lvlText w:val="•"/>
      <w:numFmt w:val="bullet"/>
      <w:start w:val="1"/>
    </w:lvl>
  </w:abstractNum>
  <w:abstractNum w:abstractNumId="66">
    <w:nsid w:val="1958BD17"/>
    <w:multiLevelType w:val="hybridMultilevel"/>
    <w:lvl w:ilvl="0">
      <w:lvlJc w:val="left"/>
      <w:lvlText w:val="•"/>
      <w:numFmt w:val="bullet"/>
      <w:start w:val="1"/>
    </w:lvl>
  </w:abstractNum>
  <w:abstractNum w:abstractNumId="67">
    <w:nsid w:val="4E647FE4"/>
    <w:multiLevelType w:val="hybridMultilevel"/>
    <w:lvl w:ilvl="0">
      <w:lvlJc w:val="left"/>
      <w:lvlText w:val="•"/>
      <w:numFmt w:val="bullet"/>
      <w:start w:val="1"/>
    </w:lvl>
  </w:abstractNum>
  <w:abstractNum w:abstractNumId="68">
    <w:nsid w:val="E0BB885"/>
    <w:multiLevelType w:val="hybridMultilevel"/>
    <w:lvl w:ilvl="0">
      <w:lvlJc w:val="left"/>
      <w:lvlText w:val="•"/>
      <w:numFmt w:val="bullet"/>
      <w:start w:val="1"/>
    </w:lvl>
  </w:abstractNum>
  <w:abstractNum w:abstractNumId="69">
    <w:nsid w:val="565976F1"/>
    <w:multiLevelType w:val="hybridMultilevel"/>
    <w:lvl w:ilvl="0">
      <w:lvlJc w:val="left"/>
      <w:lvlText w:val="•"/>
      <w:numFmt w:val="bullet"/>
      <w:start w:val="1"/>
    </w:lvl>
  </w:abstractNum>
  <w:abstractNum w:abstractNumId="70">
    <w:nsid w:val="64212B8C"/>
    <w:multiLevelType w:val="hybridMultilevel"/>
    <w:lvl w:ilvl="0">
      <w:lvlJc w:val="left"/>
      <w:lvlText w:val="•"/>
      <w:numFmt w:val="bullet"/>
      <w:start w:val="1"/>
    </w:lvl>
  </w:abstractNum>
  <w:abstractNum w:abstractNumId="71">
    <w:nsid w:val="5C17530C"/>
    <w:multiLevelType w:val="hybridMultilevel"/>
    <w:lvl w:ilvl="0">
      <w:lvlJc w:val="left"/>
      <w:lvlText w:val="(%1)"/>
      <w:numFmt w:val="decimal"/>
      <w:start w:val="1"/>
    </w:lvl>
  </w:abstractNum>
  <w:abstractNum w:abstractNumId="72">
    <w:nsid w:val="19A52566"/>
    <w:multiLevelType w:val="hybridMultilevel"/>
    <w:lvl w:ilvl="0">
      <w:lvlJc w:val="left"/>
      <w:lvlText w:val="•"/>
      <w:numFmt w:val="bullet"/>
      <w:start w:val="1"/>
    </w:lvl>
  </w:abstractNum>
  <w:abstractNum w:abstractNumId="73">
    <w:nsid w:val="335A1DF1"/>
    <w:multiLevelType w:val="hybridMultilevel"/>
    <w:lvl w:ilvl="0">
      <w:lvlJc w:val="left"/>
      <w:lvlText w:val="•"/>
      <w:numFmt w:val="bullet"/>
      <w:start w:val="1"/>
    </w:lvl>
  </w:abstractNum>
  <w:abstractNum w:abstractNumId="74">
    <w:nsid w:val="28677B7C"/>
    <w:multiLevelType w:val="hybridMultilevel"/>
    <w:lvl w:ilvl="0">
      <w:lvlJc w:val="left"/>
      <w:lvlText w:val="•"/>
      <w:numFmt w:val="bullet"/>
      <w:start w:val="1"/>
    </w:lvl>
  </w:abstractNum>
  <w:abstractNum w:abstractNumId="75">
    <w:nsid w:val="378D97C0"/>
    <w:multiLevelType w:val="hybridMultilevel"/>
    <w:lvl w:ilvl="0">
      <w:lvlJc w:val="left"/>
      <w:lvlText w:val="•"/>
      <w:numFmt w:val="bullet"/>
      <w:start w:val="1"/>
    </w:lvl>
  </w:abstractNum>
  <w:abstractNum w:abstractNumId="76">
    <w:nsid w:val="1D91467C"/>
    <w:multiLevelType w:val="hybridMultilevel"/>
    <w:lvl w:ilvl="0">
      <w:lvlJc w:val="left"/>
      <w:lvlText w:val="•"/>
      <w:numFmt w:val="bullet"/>
      <w:start w:val="1"/>
    </w:lvl>
  </w:abstractNum>
  <w:abstractNum w:abstractNumId="77">
    <w:nsid w:val="316032BB"/>
    <w:multiLevelType w:val="hybridMultilevel"/>
    <w:lvl w:ilvl="0">
      <w:lvlJc w:val="left"/>
      <w:lvlText w:val="•"/>
      <w:numFmt w:val="bullet"/>
      <w:start w:val="1"/>
    </w:lvl>
  </w:abstractNum>
  <w:abstractNum w:abstractNumId="78">
    <w:nsid w:val="44344C22"/>
    <w:multiLevelType w:val="hybridMultilevel"/>
    <w:lvl w:ilvl="0">
      <w:lvlJc w:val="left"/>
      <w:lvlText w:val="(%1)"/>
      <w:numFmt w:val="decimal"/>
      <w:start w:val="1"/>
    </w:lvl>
  </w:abstractNum>
  <w:abstractNum w:abstractNumId="79">
    <w:nsid w:val="13CDFCFC"/>
    <w:multiLevelType w:val="hybridMultilevel"/>
    <w:lvl w:ilvl="0">
      <w:lvlJc w:val="left"/>
      <w:lvlText w:val="•"/>
      <w:numFmt w:val="bullet"/>
      <w:start w:val="1"/>
    </w:lvl>
  </w:abstractNum>
  <w:abstractNum w:abstractNumId="80">
    <w:nsid w:val="471745E4"/>
    <w:multiLevelType w:val="hybridMultilevel"/>
    <w:lvl w:ilvl="0">
      <w:lvlJc w:val="left"/>
      <w:lvlText w:val="•"/>
      <w:numFmt w:val="bullet"/>
      <w:start w:val="1"/>
    </w:lvl>
  </w:abstractNum>
  <w:abstractNum w:abstractNumId="81">
    <w:nsid w:val="1DDBC66"/>
    <w:multiLevelType w:val="hybridMultilevel"/>
    <w:lvl w:ilvl="0">
      <w:lvlJc w:val="left"/>
      <w:lvlText w:val="•"/>
      <w:numFmt w:val="bullet"/>
      <w:start w:val="1"/>
    </w:lvl>
  </w:abstractNum>
  <w:abstractNum w:abstractNumId="82">
    <w:nsid w:val="30AADFDA"/>
    <w:multiLevelType w:val="hybridMultilevel"/>
    <w:lvl w:ilvl="0">
      <w:lvlJc w:val="left"/>
      <w:lvlText w:val="•"/>
      <w:numFmt w:val="bullet"/>
      <w:start w:val="1"/>
    </w:lvl>
  </w:abstractNum>
  <w:abstractNum w:abstractNumId="83">
    <w:nsid w:val="30EADA61"/>
    <w:multiLevelType w:val="hybridMultilevel"/>
    <w:lvl w:ilvl="0">
      <w:lvlJc w:val="left"/>
      <w:lvlText w:val="•"/>
      <w:numFmt w:val="bullet"/>
      <w:start w:val="1"/>
    </w:lvl>
  </w:abstractNum>
  <w:abstractNum w:abstractNumId="84">
    <w:nsid w:val="27179C0B"/>
    <w:multiLevelType w:val="hybridMultilevel"/>
    <w:lvl w:ilvl="0">
      <w:lvlJc w:val="left"/>
      <w:lvlText w:val="(%1)"/>
      <w:numFmt w:val="decimal"/>
      <w:start w:val="1"/>
    </w:lvl>
  </w:abstractNum>
  <w:abstractNum w:abstractNumId="85">
    <w:nsid w:val="5E636063"/>
    <w:multiLevelType w:val="hybridMultilevel"/>
    <w:lvl w:ilvl="0">
      <w:lvlJc w:val="left"/>
      <w:lvlText w:val="•"/>
      <w:numFmt w:val="bullet"/>
      <w:start w:val="1"/>
    </w:lvl>
  </w:abstractNum>
  <w:abstractNum w:abstractNumId="86">
    <w:nsid w:val="215641AF"/>
    <w:multiLevelType w:val="hybridMultilevel"/>
    <w:lvl w:ilvl="0">
      <w:lvlJc w:val="left"/>
      <w:lvlText w:val="•"/>
      <w:numFmt w:val="bullet"/>
      <w:start w:val="1"/>
    </w:lvl>
  </w:abstractNum>
  <w:abstractNum w:abstractNumId="87">
    <w:nsid w:val="53280662"/>
    <w:multiLevelType w:val="hybridMultilevel"/>
    <w:lvl w:ilvl="0">
      <w:lvlJc w:val="left"/>
      <w:lvlText w:val="•"/>
      <w:numFmt w:val="bullet"/>
      <w:start w:val="1"/>
    </w:lvl>
  </w:abstractNum>
  <w:abstractNum w:abstractNumId="88">
    <w:nsid w:val="46B24DBC"/>
    <w:multiLevelType w:val="hybridMultilevel"/>
    <w:lvl w:ilvl="0">
      <w:lvlJc w:val="left"/>
      <w:lvlText w:val="•"/>
      <w:numFmt w:val="bullet"/>
      <w:start w:val="1"/>
    </w:lvl>
  </w:abstractNum>
  <w:abstractNum w:abstractNumId="89">
    <w:nsid w:val="75B52783"/>
    <w:multiLevelType w:val="hybridMultilevel"/>
    <w:lvl w:ilvl="0">
      <w:lvlJc w:val="left"/>
      <w:lvlText w:val="•"/>
      <w:numFmt w:val="bullet"/>
      <w:start w:val="1"/>
    </w:lvl>
  </w:abstractNum>
  <w:abstractNum w:abstractNumId="90">
    <w:nsid w:val="57CE66B4"/>
    <w:multiLevelType w:val="hybridMultilevel"/>
    <w:lvl w:ilvl="0">
      <w:lvlJc w:val="left"/>
      <w:lvlText w:val="•"/>
      <w:numFmt w:val="bullet"/>
      <w:start w:val="1"/>
    </w:lvl>
  </w:abstractNum>
  <w:abstractNum w:abstractNumId="91">
    <w:nsid w:val="67A70B69"/>
    <w:multiLevelType w:val="hybridMultilevel"/>
    <w:lvl w:ilvl="0">
      <w:lvlJc w:val="left"/>
      <w:lvlText w:val="(%1)"/>
      <w:numFmt w:val="decimal"/>
      <w:start w:val="1"/>
    </w:lvl>
  </w:abstractNum>
  <w:abstractNum w:abstractNumId="92">
    <w:nsid w:val="5953172F"/>
    <w:multiLevelType w:val="hybridMultilevel"/>
    <w:lvl w:ilvl="0">
      <w:lvlJc w:val="left"/>
      <w:lvlText w:val="•"/>
      <w:numFmt w:val="bullet"/>
      <w:start w:val="1"/>
    </w:lvl>
  </w:abstractNum>
  <w:abstractNum w:abstractNumId="93">
    <w:nsid w:val="27EDFE3A"/>
    <w:multiLevelType w:val="hybridMultilevel"/>
    <w:lvl w:ilvl="0">
      <w:lvlJc w:val="left"/>
      <w:lvlText w:val="(%1)"/>
      <w:numFmt w:val="decimal"/>
      <w:start w:val="1"/>
    </w:lvl>
  </w:abstractNum>
  <w:abstractNum w:abstractNumId="94">
    <w:nsid w:val="52AC7DFF"/>
    <w:multiLevelType w:val="hybridMultilevel"/>
    <w:lvl w:ilvl="0">
      <w:lvlJc w:val="left"/>
      <w:lvlText w:val="(%1)"/>
      <w:numFmt w:val="decimal"/>
      <w:start w:val="1"/>
    </w:lvl>
  </w:abstractNum>
  <w:abstractNum w:abstractNumId="95">
    <w:nsid w:val="C4C3AF"/>
    <w:multiLevelType w:val="hybridMultilevel"/>
    <w:lvl w:ilvl="0">
      <w:lvlJc w:val="left"/>
      <w:lvlText w:val="•"/>
      <w:numFmt w:val="bullet"/>
      <w:start w:val="1"/>
    </w:lvl>
  </w:abstractNum>
  <w:abstractNum w:abstractNumId="96">
    <w:nsid w:val="44380727"/>
    <w:multiLevelType w:val="hybridMultilevel"/>
    <w:lvl w:ilvl="0">
      <w:lvlJc w:val="left"/>
      <w:lvlText w:val="•"/>
      <w:numFmt w:val="bullet"/>
      <w:start w:val="1"/>
    </w:lvl>
  </w:abstractNum>
  <w:abstractNum w:abstractNumId="97">
    <w:nsid w:val="6C053B16"/>
    <w:multiLevelType w:val="hybridMultilevel"/>
    <w:lvl w:ilvl="0">
      <w:lvlJc w:val="left"/>
      <w:lvlText w:val="•"/>
      <w:numFmt w:val="bullet"/>
      <w:start w:val="1"/>
    </w:lvl>
  </w:abstractNum>
  <w:abstractNum w:abstractNumId="98">
    <w:nsid w:val="4F294393"/>
    <w:multiLevelType w:val="hybridMultilevel"/>
    <w:lvl w:ilvl="0">
      <w:lvlJc w:val="left"/>
      <w:lvlText w:val="•"/>
      <w:numFmt w:val="bullet"/>
      <w:start w:val="1"/>
    </w:lvl>
  </w:abstractNum>
  <w:abstractNum w:abstractNumId="99">
    <w:nsid w:val="5243BFAC"/>
    <w:multiLevelType w:val="hybridMultilevel"/>
    <w:lvl w:ilvl="0">
      <w:lvlJc w:val="left"/>
      <w:lvlText w:val="•"/>
      <w:numFmt w:val="bullet"/>
      <w:start w:val="1"/>
    </w:lvl>
  </w:abstractNum>
  <w:abstractNum w:abstractNumId="100">
    <w:nsid w:val="425EB207"/>
    <w:multiLevelType w:val="hybridMultilevel"/>
    <w:lvl w:ilvl="0">
      <w:lvlJc w:val="left"/>
      <w:lvlText w:val="(%1)"/>
      <w:numFmt w:val="lowerRoman"/>
      <w:start w:val="1"/>
    </w:lvl>
  </w:abstractNum>
  <w:abstractNum w:abstractNumId="101">
    <w:nsid w:val="334A6F1F"/>
    <w:multiLevelType w:val="hybridMultilevel"/>
    <w:lvl w:ilvl="0">
      <w:lvlJc w:val="left"/>
      <w:lvlText w:val="•"/>
      <w:numFmt w:val="bullet"/>
      <w:start w:val="1"/>
    </w:lvl>
  </w:abstractNum>
  <w:abstractNum w:abstractNumId="102">
    <w:nsid w:val="2E5B12B8"/>
    <w:multiLevelType w:val="hybridMultilevel"/>
    <w:lvl w:ilvl="0">
      <w:lvlJc w:val="left"/>
      <w:lvlText w:val="•"/>
      <w:numFmt w:val="bullet"/>
      <w:start w:val="1"/>
    </w:lvl>
  </w:abstractNum>
  <w:abstractNum w:abstractNumId="103">
    <w:nsid w:val="5C03D76D"/>
    <w:multiLevelType w:val="hybridMultilevel"/>
    <w:lvl w:ilvl="0">
      <w:lvlJc w:val="left"/>
      <w:lvlText w:val="(%1)"/>
      <w:numFmt w:val="decimal"/>
      <w:start w:val="1"/>
    </w:lvl>
  </w:abstractNum>
  <w:abstractNum w:abstractNumId="104">
    <w:nsid w:val="66A48D11"/>
    <w:multiLevelType w:val="hybridMultilevel"/>
    <w:lvl w:ilvl="0">
      <w:lvlJc w:val="left"/>
      <w:lvlText w:val="•"/>
      <w:numFmt w:val="bullet"/>
      <w:start w:val="1"/>
    </w:lvl>
  </w:abstractNum>
  <w:abstractNum w:abstractNumId="105">
    <w:nsid w:val="56C28E34"/>
    <w:multiLevelType w:val="hybridMultilevel"/>
    <w:lvl w:ilvl="0">
      <w:lvlJc w:val="left"/>
      <w:lvlText w:val="*"/>
      <w:numFmt w:val="bullet"/>
      <w:start w:val="1"/>
    </w:lvl>
  </w:abstractNum>
  <w:abstractNum w:abstractNumId="106">
    <w:nsid w:val="13916F2D"/>
    <w:multiLevelType w:val="hybridMultilevel"/>
    <w:lvl w:ilvl="0">
      <w:lvlJc w:val="left"/>
      <w:lvlText w:val="(%1)"/>
      <w:numFmt w:val="decimal"/>
      <w:start w:val="1"/>
    </w:lvl>
  </w:abstractNum>
  <w:abstractNum w:abstractNumId="107">
    <w:nsid w:val="435D38D"/>
    <w:multiLevelType w:val="hybridMultilevel"/>
    <w:lvl w:ilvl="0">
      <w:lvlJc w:val="left"/>
      <w:lvlText w:val="(%1)"/>
      <w:numFmt w:val="decimal"/>
      <w:start w:val="5"/>
    </w:lvl>
  </w:abstractNum>
  <w:abstractNum w:abstractNumId="108">
    <w:nsid w:val="822C0EF"/>
    <w:multiLevelType w:val="hybridMultilevel"/>
    <w:lvl w:ilvl="0">
      <w:lvlJc w:val="left"/>
      <w:lvlText w:val="(%1)"/>
      <w:numFmt w:val="lowerRoman"/>
      <w:start w:val="2"/>
    </w:lvl>
  </w:abstractNum>
  <w:abstractNum w:abstractNumId="109">
    <w:nsid w:val="57C5BB4F"/>
    <w:multiLevelType w:val="hybridMultilevel"/>
    <w:lvl w:ilvl="0">
      <w:lvlJc w:val="left"/>
      <w:lvlText w:val="•"/>
      <w:numFmt w:val="bullet"/>
      <w:start w:val="1"/>
    </w:lvl>
  </w:abstractNum>
  <w:abstractNum w:abstractNumId="110">
    <w:nsid w:val="1803D089"/>
    <w:multiLevelType w:val="hybridMultilevel"/>
    <w:lvl w:ilvl="0">
      <w:lvlJc w:val="left"/>
      <w:lvlText w:val="•"/>
      <w:numFmt w:val="bullet"/>
      <w:start w:val="1"/>
    </w:lvl>
  </w:abstractNum>
  <w:abstractNum w:abstractNumId="111">
    <w:nsid w:val="4F3A06D4"/>
    <w:multiLevelType w:val="hybridMultilevel"/>
    <w:lvl w:ilvl="0">
      <w:lvlJc w:val="left"/>
      <w:lvlText w:val="•"/>
      <w:numFmt w:val="bullet"/>
      <w:start w:val="1"/>
    </w:lvl>
  </w:abstractNum>
  <w:abstractNum w:abstractNumId="112">
    <w:nsid w:val="59A377B6"/>
    <w:multiLevelType w:val="hybridMultilevel"/>
    <w:lvl w:ilvl="0">
      <w:lvlJc w:val="left"/>
      <w:lvlText w:val="•"/>
      <w:numFmt w:val="bullet"/>
      <w:start w:val="1"/>
    </w:lvl>
  </w:abstractNum>
  <w:abstractNum w:abstractNumId="113">
    <w:nsid w:val="48AEB063"/>
    <w:multiLevelType w:val="hybridMultilevel"/>
    <w:lvl w:ilvl="0">
      <w:lvlJc w:val="left"/>
      <w:lvlText w:val="•"/>
      <w:numFmt w:val="bullet"/>
      <w:start w:val="1"/>
    </w:lvl>
  </w:abstractNum>
  <w:abstractNum w:abstractNumId="114">
    <w:nsid w:val="24E135"/>
    <w:multiLevelType w:val="hybridMultilevel"/>
    <w:lvl w:ilvl="0">
      <w:lvlJc w:val="left"/>
      <w:lvlText w:val="•"/>
      <w:numFmt w:val="bullet"/>
      <w:start w:val="1"/>
    </w:lvl>
  </w:abstractNum>
  <w:abstractNum w:abstractNumId="115">
    <w:nsid w:val="BB13C1"/>
    <w:multiLevelType w:val="hybridMultilevel"/>
    <w:lvl w:ilvl="0">
      <w:lvlJc w:val="left"/>
      <w:lvlText w:val="%1."/>
      <w:numFmt w:val="decimal"/>
      <w:start w:val="2"/>
    </w:lvl>
  </w:abstractNum>
  <w:abstractNum w:abstractNumId="116">
    <w:nsid w:val="271210C7"/>
    <w:multiLevelType w:val="hybridMultilevel"/>
    <w:lvl w:ilvl="0">
      <w:lvlJc w:val="left"/>
      <w:lvlText w:val="•"/>
      <w:numFmt w:val="bullet"/>
      <w:start w:val="1"/>
    </w:lvl>
  </w:abstractNum>
  <w:abstractNum w:abstractNumId="117">
    <w:nsid w:val="217B22E4"/>
    <w:multiLevelType w:val="hybridMultilevel"/>
    <w:lvl w:ilvl="0">
      <w:lvlJc w:val="left"/>
      <w:lvlText w:val="(%1)"/>
      <w:numFmt w:val="lowerRoman"/>
      <w:start w:val="2"/>
    </w:lvl>
  </w:abstractNum>
  <w:abstractNum w:abstractNumId="118">
    <w:nsid w:val="53E31A24"/>
    <w:multiLevelType w:val="hybridMultilevel"/>
    <w:lvl w:ilvl="0">
      <w:lvlJc w:val="left"/>
      <w:lvlText w:val="(%1)"/>
      <w:numFmt w:val="lowerRoman"/>
      <w:start w:val="2"/>
    </w:lvl>
  </w:abstractNum>
  <w:abstractNum w:abstractNumId="119">
    <w:nsid w:val="6DC45E83"/>
    <w:multiLevelType w:val="hybridMultilevel"/>
    <w:lvl w:ilvl="0">
      <w:lvlJc w:val="left"/>
      <w:lvlText w:val="(%1)"/>
      <w:numFmt w:val="lowerRoman"/>
      <w:start w:val="1"/>
    </w:lvl>
  </w:abstractNum>
  <w:abstractNum w:abstractNumId="120">
    <w:nsid w:val="17304A67"/>
    <w:multiLevelType w:val="hybridMultilevel"/>
    <w:lvl w:ilvl="0">
      <w:lvlJc w:val="left"/>
      <w:lvlText w:val="(%1)"/>
      <w:numFmt w:val="lowerLetter"/>
      <w:start w:val="1"/>
    </w:lvl>
  </w:abstractNum>
  <w:abstractNum w:abstractNumId="121">
    <w:nsid w:val="2BB180D8"/>
    <w:multiLevelType w:val="hybridMultilevel"/>
    <w:lvl w:ilvl="0">
      <w:lvlJc w:val="left"/>
      <w:lvlText w:val="(%1)"/>
      <w:numFmt w:val="lowerLetter"/>
      <w:start w:val="4"/>
    </w:lvl>
  </w:abstractNum>
  <w:abstractNum w:abstractNumId="122">
    <w:nsid w:val="556B69ED"/>
    <w:multiLevelType w:val="hybridMultilevel"/>
    <w:lvl w:ilvl="0">
      <w:lvlJc w:val="left"/>
      <w:lvlText w:val="(%1)"/>
      <w:numFmt w:val="decimal"/>
      <w:start w:val="1"/>
    </w:lvl>
  </w:abstractNum>
  <w:abstractNum w:abstractNumId="123">
    <w:nsid w:val="70836196"/>
    <w:multiLevelType w:val="hybridMultilevel"/>
    <w:lvl w:ilvl="0">
      <w:lvlJc w:val="left"/>
      <w:lvlText w:val="^"/>
      <w:numFmt w:val="bullet"/>
      <w:start w:val="1"/>
    </w:lvl>
  </w:abstractNum>
  <w:abstractNum w:abstractNumId="124">
    <w:nsid w:val="539F7F12"/>
    <w:multiLevelType w:val="hybridMultilevel"/>
    <w:lvl w:ilvl="0">
      <w:lvlJc w:val="left"/>
      <w:lvlText w:val="+"/>
      <w:numFmt w:val="bullet"/>
      <w:start w:val="1"/>
    </w:lvl>
  </w:abstractNum>
  <w:abstractNum w:abstractNumId="125">
    <w:nsid w:val="2817E7EC"/>
    <w:multiLevelType w:val="hybridMultilevel"/>
    <w:lvl w:ilvl="0">
      <w:lvlJc w:val="left"/>
      <w:lvlText w:val="(%1)"/>
      <w:numFmt w:val="lowerLetter"/>
      <w:start w:val="1"/>
    </w:lvl>
  </w:abstractNum>
  <w:abstractNum w:abstractNumId="126">
    <w:nsid w:val="71482545"/>
    <w:multiLevelType w:val="hybridMultilevel"/>
    <w:lvl w:ilvl="0">
      <w:lvlJc w:val="left"/>
      <w:lvlText w:val="(%1)"/>
      <w:numFmt w:val="lowerLetter"/>
      <w:start w:val="3"/>
    </w:lvl>
  </w:abstractNum>
  <w:abstractNum w:abstractNumId="127">
    <w:nsid w:val="17D78639"/>
    <w:multiLevelType w:val="hybridMultilevel"/>
    <w:lvl w:ilvl="0">
      <w:lvlJc w:val="left"/>
      <w:lvlText w:val="(%1)"/>
      <w:numFmt w:val="lowerLetter"/>
      <w:start w:val="6"/>
    </w:lvl>
  </w:abstractNum>
  <w:abstractNum w:abstractNumId="128">
    <w:nsid w:val="141D2302"/>
    <w:multiLevelType w:val="hybridMultilevel"/>
    <w:lvl w:ilvl="0">
      <w:lvlJc w:val="left"/>
      <w:lvlText w:val="(%1)"/>
      <w:numFmt w:val="lowerLetter"/>
      <w:start w:val="12"/>
    </w:lvl>
  </w:abstractNum>
  <w:abstractNum w:abstractNumId="129">
    <w:nsid w:val="407168D8"/>
    <w:multiLevelType w:val="hybridMultilevel"/>
    <w:lvl w:ilvl="0">
      <w:lvlJc w:val="left"/>
      <w:lvlText w:val="(%1)"/>
      <w:numFmt w:val="lowerLetter"/>
      <w:start w:val="17"/>
    </w:lvl>
  </w:abstractNum>
  <w:abstractNum w:abstractNumId="130">
    <w:nsid w:val="6A1B45E5"/>
    <w:multiLevelType w:val="hybridMultilevel"/>
    <w:lvl w:ilvl="0">
      <w:lvlJc w:val="left"/>
      <w:lvlText w:val="(%1)"/>
      <w:numFmt w:val="lowerLetter"/>
      <w:start w:val="24"/>
    </w:lvl>
  </w:abstractNum>
  <w:abstractNum w:abstractNumId="131">
    <w:nsid w:val="567BD50A"/>
    <w:multiLevelType w:val="hybridMultilevel"/>
    <w:lvl w:ilvl="0">
      <w:lvlJc w:val="left"/>
      <w:lvlText w:val="(%1)"/>
      <w:numFmt w:val="lowerLetter"/>
      <w:start w:val="27"/>
    </w:lvl>
  </w:abstractNum>
  <w:abstractNum w:abstractNumId="132">
    <w:nsid w:val="73BBD7F8"/>
    <w:multiLevelType w:val="hybridMultilevel"/>
    <w:lvl w:ilvl="0">
      <w:lvlJc w:val="left"/>
      <w:lvlText w:val="(%1)"/>
      <w:numFmt w:val="lowerLetter"/>
      <w:start w:val="35"/>
    </w:lvl>
    <w:lvl w:ilvl="1">
      <w:lvlJc w:val="left"/>
      <w:lvlText w:val="(%2)"/>
      <w:numFmt w:val="lowerLetter"/>
      <w:start w:val="28"/>
    </w:lvl>
  </w:abstractNum>
  <w:abstractNum w:abstractNumId="133">
    <w:nsid w:val="1876589D"/>
    <w:multiLevelType w:val="hybridMultilevel"/>
    <w:lvl w:ilvl="0">
      <w:lvlJc w:val="left"/>
      <w:lvlText w:val="(%1)"/>
      <w:numFmt w:val="lowerLetter"/>
      <w:start w:val="29"/>
    </w:lvl>
  </w:abstractNum>
  <w:abstractNum w:abstractNumId="134">
    <w:nsid w:val="327FAC77"/>
    <w:multiLevelType w:val="hybridMultilevel"/>
    <w:lvl w:ilvl="0">
      <w:lvlJc w:val="left"/>
      <w:lvlText w:val="(%1)"/>
      <w:numFmt w:val="lowerLetter"/>
      <w:start w:val="30"/>
    </w:lvl>
  </w:abstractNum>
  <w:abstractNum w:abstractNumId="135">
    <w:nsid w:val="5A606509"/>
    <w:multiLevelType w:val="hybridMultilevel"/>
    <w:lvl w:ilvl="0">
      <w:lvlJc w:val="left"/>
      <w:lvlText w:val="%1"/>
      <w:numFmt w:val="lowerLetter"/>
      <w:start w:val="1"/>
    </w:lvl>
    <w:lvl w:ilvl="1">
      <w:lvlJc w:val="left"/>
      <w:lvlText w:val="(%2)"/>
      <w:numFmt w:val="lowerLetter"/>
      <w:start w:val="33"/>
    </w:lvl>
  </w:abstractNum>
  <w:abstractNum w:abstractNumId="136">
    <w:nsid w:val="6F38E6D1"/>
    <w:multiLevelType w:val="hybridMultilevel"/>
    <w:lvl w:ilvl="0">
      <w:lvlJc w:val="left"/>
      <w:lvlText w:val="(%1)"/>
      <w:numFmt w:val="lowerLetter"/>
      <w:start w:val="61"/>
    </w:lvl>
    <w:lvl w:ilvl="1">
      <w:lvlJc w:val="left"/>
      <w:lvlText w:val="(%2)"/>
      <w:numFmt w:val="lowerLetter"/>
      <w:start w:val="34"/>
    </w:lvl>
  </w:abstractNum>
  <w:abstractNum w:abstractNumId="137">
    <w:nsid w:val="46111BA5"/>
    <w:multiLevelType w:val="hybridMultilevel"/>
    <w:lvl w:ilvl="0">
      <w:lvlJc w:val="left"/>
      <w:lvlText w:val="(%1)"/>
      <w:numFmt w:val="lowerRoman"/>
      <w:start w:val="2"/>
    </w:lvl>
  </w:abstractNum>
  <w:abstractNum w:abstractNumId="138">
    <w:nsid w:val="5E963896"/>
    <w:multiLevelType w:val="hybridMultilevel"/>
    <w:lvl w:ilvl="0">
      <w:lvlJc w:val="left"/>
      <w:lvlText w:val="%1"/>
      <w:numFmt w:val="lowerRoman"/>
      <w:start w:val="1"/>
    </w:lvl>
    <w:lvl w:ilvl="1">
      <w:lvlJc w:val="left"/>
      <w:lvlText w:val="(%2)"/>
      <w:numFmt w:val="lowerLetter"/>
      <w:start w:val="36"/>
    </w:lvl>
  </w:abstractNum>
  <w:abstractNum w:abstractNumId="139">
    <w:nsid w:val="775BA7C1"/>
    <w:multiLevelType w:val="hybridMultilevel"/>
    <w:lvl w:ilvl="0">
      <w:lvlJc w:val="left"/>
      <w:lvlText w:val="(%1)"/>
      <w:numFmt w:val="lowerRoman"/>
      <w:start w:val="4"/>
    </w:lvl>
    <w:lvl w:ilvl="1">
      <w:lvlJc w:val="left"/>
      <w:lvlText w:val="%2"/>
      <w:numFmt w:val="lowerLetter"/>
      <w:start w:val="1"/>
    </w:lvl>
  </w:abstractNum>
  <w:abstractNum w:abstractNumId="140">
    <w:nsid w:val="1DD6D6F4"/>
    <w:multiLevelType w:val="hybridMultilevel"/>
    <w:lvl w:ilvl="0">
      <w:lvlJc w:val="left"/>
      <w:lvlText w:val="(%1)"/>
      <w:numFmt w:val="lowerLetter"/>
      <w:start w:val="42"/>
    </w:lvl>
  </w:abstractNum>
  <w:abstractNum w:abstractNumId="141">
    <w:nsid w:val="769A091F"/>
    <w:multiLevelType w:val="hybridMultilevel"/>
    <w:lvl w:ilvl="0">
      <w:lvlJc w:val="left"/>
      <w:lvlText w:val="%1."/>
      <w:numFmt w:val="decimal"/>
      <w:start w:val="2"/>
    </w:lvl>
  </w:abstractNum>
  <w:abstractNum w:abstractNumId="142">
    <w:nsid w:val="4695AE95"/>
    <w:multiLevelType w:val="hybridMultilevel"/>
    <w:lvl w:ilvl="0">
      <w:lvlJc w:val="left"/>
      <w:lvlText w:val="%1."/>
      <w:numFmt w:val="decimal"/>
      <w:start w:val="3"/>
    </w:lvl>
  </w:abstractNum>
  <w:abstractNum w:abstractNumId="143">
    <w:nsid w:val="777A4EAA"/>
    <w:multiLevelType w:val="hybridMultilevel"/>
    <w:lvl w:ilvl="0">
      <w:lvlJc w:val="left"/>
      <w:lvlText w:val="(%1)"/>
      <w:numFmt w:val="lowerLetter"/>
      <w:start w:val="2"/>
    </w:lvl>
  </w:abstractNum>
  <w:abstractNum w:abstractNumId="144">
    <w:nsid w:val="3F48B982"/>
    <w:multiLevelType w:val="hybridMultilevel"/>
    <w:lvl w:ilvl="0">
      <w:lvlJc w:val="left"/>
      <w:lvlText w:val="(%1)"/>
      <w:numFmt w:val="lowerLetter"/>
      <w:start w:val="1"/>
    </w:lvl>
  </w:abstractNum>
  <w:abstractNum w:abstractNumId="145">
    <w:nsid w:val="46BA8FCA"/>
    <w:multiLevelType w:val="hybridMultilevel"/>
    <w:lvl w:ilvl="0">
      <w:lvlJc w:val="left"/>
      <w:lvlText w:val="(%1)"/>
      <w:numFmt w:val="lowerLetter"/>
      <w:start w:val="4"/>
    </w:lvl>
  </w:abstractNum>
  <w:abstractNum w:abstractNumId="146">
    <w:nsid w:val="7835626C"/>
    <w:multiLevelType w:val="hybridMultilevel"/>
    <w:lvl w:ilvl="0">
      <w:lvlJc w:val="left"/>
      <w:lvlText w:val="(%1)"/>
      <w:numFmt w:val="decimal"/>
      <w:start w:val="3"/>
    </w:lvl>
  </w:abstractNum>
  <w:abstractNum w:abstractNumId="147">
    <w:nsid w:val="665ACA49"/>
    <w:multiLevelType w:val="hybridMultilevel"/>
    <w:lvl w:ilvl="0">
      <w:lvlJc w:val="left"/>
      <w:lvlText w:val="%1"/>
      <w:numFmt w:val="lowerLetter"/>
      <w:start w:val="1"/>
    </w:lvl>
    <w:lvl w:ilvl="1">
      <w:lvlJc w:val="left"/>
      <w:lvlText w:val="(%2)"/>
      <w:numFmt w:val="lowerLetter"/>
      <w:start w:val="6"/>
    </w:lvl>
  </w:abstractNum>
  <w:abstractNum w:abstractNumId="148">
    <w:nsid w:val="6835B2AE"/>
    <w:multiLevelType w:val="hybridMultilevel"/>
    <w:lvl w:ilvl="0">
      <w:lvlJc w:val="left"/>
      <w:lvlText w:val="(%1)"/>
      <w:numFmt w:val="lowerLetter"/>
      <w:start w:val="35"/>
    </w:lvl>
    <w:lvl w:ilvl="1">
      <w:lvlJc w:val="left"/>
      <w:lvlText w:val="(%2)"/>
      <w:numFmt w:val="lowerLetter"/>
      <w:start w:val="8"/>
    </w:lvl>
  </w:abstractNum>
  <w:abstractNum w:abstractNumId="149">
    <w:nsid w:val="4C187C90"/>
    <w:multiLevelType w:val="hybridMultilevel"/>
    <w:lvl w:ilvl="0">
      <w:lvlJc w:val="left"/>
      <w:lvlText w:val="(%1)"/>
      <w:numFmt w:val="lowerLetter"/>
      <w:start w:val="9"/>
    </w:lvl>
  </w:abstractNum>
  <w:abstractNum w:abstractNumId="150">
    <w:nsid w:val="541F28CD"/>
    <w:multiLevelType w:val="hybridMultilevel"/>
    <w:lvl w:ilvl="0">
      <w:lvlJc w:val="left"/>
      <w:lvlText w:val="%1."/>
      <w:numFmt w:val="decimal"/>
      <w:start w:val="6"/>
    </w:lvl>
  </w:abstractNum>
  <w:abstractNum w:abstractNumId="151">
    <w:nsid w:val="7F65FD16"/>
    <w:multiLevelType w:val="hybridMultilevel"/>
    <w:lvl w:ilvl="0">
      <w:lvlJc w:val="left"/>
      <w:lvlText w:val="(%1)"/>
      <w:numFmt w:val="lowerLetter"/>
      <w:start w:val="2"/>
    </w:lvl>
  </w:abstractNum>
  <w:abstractNum w:abstractNumId="152">
    <w:nsid w:val="77C9FD68"/>
    <w:multiLevelType w:val="hybridMultilevel"/>
    <w:lvl w:ilvl="0">
      <w:lvlJc w:val="left"/>
      <w:lvlText w:val="(%1)"/>
      <w:numFmt w:val="lowerLetter"/>
      <w:start w:val="4"/>
    </w:lvl>
  </w:abstractNum>
  <w:abstractNum w:abstractNumId="153">
    <w:nsid w:val="298A92BA"/>
    <w:multiLevelType w:val="hybridMultilevel"/>
    <w:lvl w:ilvl="0">
      <w:lvlJc w:val="left"/>
      <w:lvlText w:val="%1."/>
      <w:numFmt w:val="decimal"/>
      <w:start w:val="7"/>
    </w:lvl>
  </w:abstractNum>
  <w:abstractNum w:abstractNumId="154">
    <w:nsid w:val="6FE95EAC"/>
    <w:multiLevelType w:val="hybridMultilevel"/>
    <w:lvl w:ilvl="0">
      <w:lvlJc w:val="left"/>
      <w:lvlText w:val="(%1)"/>
      <w:numFmt w:val="lowerLetter"/>
      <w:start w:val="61"/>
    </w:lvl>
    <w:lvl w:ilvl="1">
      <w:lvlJc w:val="left"/>
      <w:lvlText w:val="%2."/>
      <w:numFmt w:val="decimal"/>
      <w:start w:val="8"/>
    </w:lvl>
    <w:lvl w:ilvl="2">
      <w:lvlJc w:val="left"/>
      <w:lvlText w:val="(%3)"/>
      <w:numFmt w:val="lowerLetter"/>
      <w:start w:val="1"/>
    </w:lvl>
  </w:abstractNum>
  <w:abstractNum w:abstractNumId="155">
    <w:nsid w:val="4B697C7A"/>
    <w:multiLevelType w:val="hybridMultilevel"/>
    <w:lvl w:ilvl="0">
      <w:lvlJc w:val="left"/>
      <w:lvlText w:val="(%1)"/>
      <w:numFmt w:val="lowerLetter"/>
      <w:start w:val="3"/>
    </w:lvl>
  </w:abstractNum>
  <w:abstractNum w:abstractNumId="156">
    <w:nsid w:val="51A27AA6"/>
    <w:multiLevelType w:val="hybridMultilevel"/>
    <w:lvl w:ilvl="0">
      <w:lvlJc w:val="left"/>
      <w:lvlText w:val="%1"/>
      <w:numFmt w:val="decimal"/>
      <w:start w:val="1"/>
    </w:lvl>
    <w:lvl w:ilvl="1">
      <w:lvlJc w:val="left"/>
      <w:lvlText w:val="(%2)"/>
      <w:numFmt w:val="lowerLetter"/>
      <w:start w:val="7"/>
    </w:lvl>
  </w:abstractNum>
  <w:abstractNum w:abstractNumId="157">
    <w:nsid w:val="613183F2"/>
    <w:multiLevelType w:val="hybridMultilevel"/>
    <w:lvl w:ilvl="0">
      <w:lvlJc w:val="left"/>
      <w:lvlText w:val="%1."/>
      <w:numFmt w:val="decimal"/>
      <w:start w:val="9"/>
    </w:lvl>
    <w:lvl w:ilvl="1">
      <w:lvlJc w:val="left"/>
      <w:lvlText w:val="%2"/>
      <w:numFmt w:val="lowerLetter"/>
      <w:start w:val="1"/>
    </w:lvl>
  </w:abstractNum>
  <w:abstractNum w:abstractNumId="158">
    <w:nsid w:val="634102B4"/>
    <w:multiLevelType w:val="hybridMultilevel"/>
    <w:lvl w:ilvl="0">
      <w:lvlJc w:val="left"/>
      <w:lvlText w:val="(%1)"/>
      <w:numFmt w:val="lowerLetter"/>
      <w:start w:val="2"/>
    </w:lvl>
  </w:abstractNum>
  <w:abstractNum w:abstractNumId="159">
    <w:nsid w:val="65BF9DA8"/>
    <w:multiLevelType w:val="hybridMultilevel"/>
    <w:lvl w:ilvl="0">
      <w:lvlJc w:val="left"/>
      <w:lvlText w:val="%1"/>
      <w:numFmt w:val="lowerLetter"/>
      <w:start w:val="1"/>
    </w:lvl>
    <w:lvl w:ilvl="1">
      <w:lvlJc w:val="left"/>
      <w:lvlText w:val="(%2)"/>
      <w:numFmt w:val="lowerLetter"/>
      <w:start w:val="4"/>
    </w:lvl>
  </w:abstractNum>
  <w:abstractNum w:abstractNumId="160">
    <w:nsid w:val="21A2ECCA"/>
    <w:multiLevelType w:val="hybridMultilevel"/>
    <w:lvl w:ilvl="0">
      <w:lvlJc w:val="left"/>
      <w:lvlText w:val="(%1)"/>
      <w:numFmt w:val="lowerLetter"/>
      <w:start w:val="1"/>
    </w:lvl>
    <w:lvl w:ilvl="1">
      <w:lvlJc w:val="left"/>
      <w:lvlText w:val="%2"/>
      <w:numFmt w:val="lowerLetter"/>
      <w:start w:val="1"/>
    </w:lvl>
  </w:abstractNum>
  <w:abstractNum w:abstractNumId="161">
    <w:nsid w:val="4D5C4899"/>
    <w:multiLevelType w:val="hybridMultilevel"/>
    <w:lvl w:ilvl="0">
      <w:lvlJc w:val="left"/>
      <w:lvlText w:val="(%1)"/>
      <w:numFmt w:val="lowerLetter"/>
      <w:start w:val="5"/>
    </w:lvl>
  </w:abstractNum>
  <w:abstractNum w:abstractNumId="162">
    <w:nsid w:val="3C3B72B2"/>
    <w:multiLevelType w:val="hybridMultilevel"/>
    <w:lvl w:ilvl="0">
      <w:lvlJc w:val="left"/>
      <w:lvlText w:val="%1."/>
      <w:numFmt w:val="decimal"/>
      <w:start w:val="10"/>
    </w:lvl>
  </w:abstractNum>
  <w:abstractNum w:abstractNumId="163">
    <w:nsid w:val="155EC4C2"/>
    <w:multiLevelType w:val="hybridMultilevel"/>
    <w:lvl w:ilvl="0">
      <w:lvlJc w:val="left"/>
      <w:lvlText w:val="(%1)"/>
      <w:numFmt w:val="lowerLetter"/>
      <w:start w:val="2"/>
    </w:lvl>
  </w:abstractNum>
  <w:abstractNum w:abstractNumId="164">
    <w:nsid w:val="65D2A137"/>
    <w:multiLevelType w:val="hybridMultilevel"/>
    <w:lvl w:ilvl="0">
      <w:lvlJc w:val="left"/>
      <w:lvlText w:val="%1."/>
      <w:numFmt w:val="decimal"/>
      <w:start w:val="11"/>
    </w:lvl>
  </w:abstractNum>
  <w:abstractNum w:abstractNumId="165">
    <w:nsid w:val="6EBB1F2A"/>
    <w:multiLevelType w:val="hybridMultilevel"/>
    <w:lvl w:ilvl="0">
      <w:lvlJc w:val="left"/>
      <w:lvlText w:val="%1."/>
      <w:numFmt w:val="decimal"/>
      <w:start w:val="14"/>
    </w:lvl>
  </w:abstractNum>
  <w:abstractNum w:abstractNumId="166">
    <w:nsid w:val="6FBF29CB"/>
    <w:multiLevelType w:val="hybridMultilevel"/>
    <w:lvl w:ilvl="0">
      <w:lvlJc w:val="left"/>
      <w:lvlText w:val="%1."/>
      <w:numFmt w:val="decimal"/>
      <w:start w:val="17"/>
    </w:lvl>
  </w:abstractNum>
  <w:abstractNum w:abstractNumId="167">
    <w:nsid w:val="550B8808"/>
    <w:multiLevelType w:val="hybridMultilevel"/>
    <w:lvl w:ilvl="0">
      <w:lvlJc w:val="left"/>
      <w:lvlText w:val="%1."/>
      <w:numFmt w:val="decimal"/>
      <w:start w:val="21"/>
    </w:lvl>
  </w:abstractNum>
  <w:abstractNum w:abstractNumId="168">
    <w:nsid w:val="34CC3ACF"/>
    <w:multiLevelType w:val="hybridMultilevel"/>
    <w:lvl w:ilvl="0">
      <w:lvlJc w:val="left"/>
      <w:lvlText w:val="(%1)"/>
      <w:numFmt w:val="lowerLetter"/>
      <w:start w:val="1"/>
    </w:lvl>
  </w:abstractNum>
  <w:abstractNum w:abstractNumId="169">
    <w:nsid w:val="4E556261"/>
    <w:multiLevelType w:val="hybridMultilevel"/>
    <w:lvl w:ilvl="0">
      <w:lvlJc w:val="left"/>
      <w:lvlText w:val="(%1)"/>
      <w:numFmt w:val="lowerRoman"/>
      <w:start w:val="1"/>
    </w:lvl>
  </w:abstractNum>
  <w:abstractNum w:abstractNumId="170">
    <w:nsid w:val="4C672FC9"/>
    <w:multiLevelType w:val="hybridMultilevel"/>
    <w:lvl w:ilvl="0">
      <w:lvlJc w:val="left"/>
      <w:lvlText w:val="(%1)"/>
      <w:numFmt w:val="lowerLetter"/>
      <w:start w:val="1"/>
    </w:lvl>
  </w:abstractNum>
  <w:abstractNum w:abstractNumId="171">
    <w:nsid w:val="52A311C3"/>
    <w:multiLevelType w:val="hybridMultilevel"/>
    <w:lvl w:ilvl="0">
      <w:lvlJc w:val="left"/>
      <w:lvlText w:val="(%1)"/>
      <w:numFmt w:val="lowerLetter"/>
      <w:start w:val="4"/>
    </w:lvl>
  </w:abstractNum>
  <w:abstractNum w:abstractNumId="172">
    <w:nsid w:val="44EF6B80"/>
    <w:multiLevelType w:val="hybridMultilevel"/>
    <w:lvl w:ilvl="0">
      <w:lvlJc w:val="left"/>
      <w:lvlText w:val="(%1)"/>
      <w:numFmt w:val="lowerRoman"/>
      <w:start w:val="1"/>
    </w:lvl>
  </w:abstractNum>
  <w:abstractNum w:abstractNumId="173">
    <w:nsid w:val="12FCDE5E"/>
    <w:multiLevelType w:val="hybridMultilevel"/>
    <w:lvl w:ilvl="0">
      <w:lvlJc w:val="left"/>
      <w:lvlText w:val="(%1)"/>
      <w:numFmt w:val="lowerRoman"/>
      <w:start w:val="3"/>
    </w:lvl>
  </w:abstractNum>
  <w:abstractNum w:abstractNumId="174">
    <w:nsid w:val="4A1D606E"/>
    <w:multiLevelType w:val="hybridMultilevel"/>
    <w:lvl w:ilvl="0">
      <w:lvlJc w:val="left"/>
      <w:lvlText w:val="%1."/>
      <w:numFmt w:val="decimal"/>
      <w:start w:val="1"/>
    </w:lvl>
  </w:abstractNum>
  <w:abstractNum w:abstractNumId="175">
    <w:nsid w:val="4382503"/>
    <w:multiLevelType w:val="hybridMultilevel"/>
    <w:lvl w:ilvl="0">
      <w:lvlJc w:val="left"/>
      <w:lvlText w:val="%1."/>
      <w:numFmt w:val="decimal"/>
      <w:start w:val="1"/>
    </w:lvl>
    <w:lvl w:ilvl="1">
      <w:lvlJc w:val="left"/>
      <w:lvlText w:val="(%2)"/>
      <w:numFmt w:val="lowerLetter"/>
      <w:start w:val="1"/>
    </w:lvl>
  </w:abstractNum>
  <w:abstractNum w:abstractNumId="176">
    <w:nsid w:val="59B76E28"/>
    <w:multiLevelType w:val="hybridMultilevel"/>
    <w:lvl w:ilvl="0">
      <w:lvlJc w:val="left"/>
      <w:lvlText w:val="%1"/>
      <w:numFmt w:val="lowerLetter"/>
      <w:start w:val="1"/>
    </w:lvl>
    <w:lvl w:ilvl="1">
      <w:lvlJc w:val="left"/>
      <w:lvlText w:val="(%2)"/>
      <w:numFmt w:val="lowerLetter"/>
      <w:start w:val="4"/>
    </w:lvl>
  </w:abstractNum>
  <w:abstractNum w:abstractNumId="177">
    <w:nsid w:val="4252C2DA"/>
    <w:multiLevelType w:val="hybridMultilevel"/>
    <w:lvl w:ilvl="0">
      <w:lvlJc w:val="left"/>
      <w:lvlText w:val="(%1)"/>
      <w:numFmt w:val="lowerLetter"/>
      <w:start w:val="35"/>
    </w:lvl>
    <w:lvl w:ilvl="1">
      <w:lvlJc w:val="left"/>
      <w:lvlText w:val="(%2)"/>
      <w:numFmt w:val="lowerLetter"/>
      <w:start w:val="5"/>
    </w:lvl>
  </w:abstractNum>
  <w:abstractNum w:abstractNumId="178">
    <w:nsid w:val="6A92EF4C"/>
    <w:multiLevelType w:val="hybridMultilevel"/>
    <w:lvl w:ilvl="0">
      <w:lvlJc w:val="left"/>
      <w:lvlText w:val="%1"/>
      <w:numFmt w:val="decimal"/>
      <w:start w:val="1"/>
    </w:lvl>
    <w:lvl w:ilvl="1">
      <w:lvlJc w:val="left"/>
      <w:lvlText w:val="(%2)"/>
      <w:numFmt w:val="lowerLetter"/>
      <w:start w:val="13"/>
    </w:lvl>
  </w:abstractNum>
  <w:abstractNum w:abstractNumId="179">
    <w:nsid w:val="41ED20D7"/>
    <w:multiLevelType w:val="hybridMultilevel"/>
    <w:lvl w:ilvl="0">
      <w:lvlJc w:val="left"/>
      <w:lvlText w:val="%1."/>
      <w:numFmt w:val="decimal"/>
      <w:start w:val="2"/>
    </w:lvl>
    <w:lvl w:ilvl="1">
      <w:lvlJc w:val="left"/>
      <w:lvlText w:val="(%2)"/>
      <w:numFmt w:val="lowerLetter"/>
      <w:start w:val="1"/>
    </w:lvl>
  </w:abstractNum>
  <w:abstractNum w:abstractNumId="180">
    <w:nsid w:val="E6B3F6A"/>
    <w:multiLevelType w:val="hybridMultilevel"/>
    <w:lvl w:ilvl="0">
      <w:lvlJc w:val="left"/>
      <w:lvlText w:val="%1"/>
      <w:numFmt w:val="decimal"/>
      <w:start w:val="1"/>
    </w:lvl>
    <w:lvl w:ilvl="1">
      <w:lvlJc w:val="left"/>
      <w:lvlText w:val="(%2)"/>
      <w:numFmt w:val="lowerLetter"/>
      <w:start w:val="5"/>
    </w:lvl>
  </w:abstractNum>
  <w:abstractNum w:abstractNumId="181">
    <w:nsid w:val="3EB21819"/>
    <w:multiLevelType w:val="hybridMultilevel"/>
    <w:lvl w:ilvl="0">
      <w:lvlJc w:val="left"/>
      <w:lvlText w:val="%1."/>
      <w:numFmt w:val="decimal"/>
      <w:start w:val="3"/>
    </w:lvl>
    <w:lvl w:ilvl="1">
      <w:lvlJc w:val="left"/>
      <w:lvlText w:val="(%2)"/>
      <w:numFmt w:val="lowerLetter"/>
      <w:start w:val="1"/>
    </w:lvl>
  </w:abstractNum>
  <w:abstractNum w:abstractNumId="182">
    <w:nsid w:val="41531DED"/>
    <w:multiLevelType w:val="hybridMultilevel"/>
    <w:lvl w:ilvl="0">
      <w:lvlJc w:val="left"/>
      <w:lvlText w:val="(%1)"/>
      <w:numFmt w:val="lowerLetter"/>
      <w:start w:val="4"/>
    </w:lvl>
  </w:abstractNum>
  <w:abstractNum w:abstractNumId="183">
    <w:nsid w:val="6353CD2"/>
    <w:multiLevelType w:val="hybridMultilevel"/>
    <w:lvl w:ilvl="0">
      <w:lvlJc w:val="left"/>
      <w:lvlText w:val="(%1)"/>
      <w:numFmt w:val="lowerLetter"/>
      <w:start w:val="6"/>
    </w:lvl>
    <w:lvl w:ilvl="1">
      <w:lvlJc w:val="left"/>
      <w:lvlText w:val="(%2)"/>
      <w:numFmt w:val="lowerRoman"/>
      <w:start w:val="1"/>
    </w:lvl>
  </w:abstractNum>
  <w:abstractNum w:abstractNumId="184">
    <w:nsid w:val="683CAAD3"/>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185">
    <w:nsid w:val="313C7C99"/>
    <w:multiLevelType w:val="hybridMultilevel"/>
    <w:lvl w:ilvl="0">
      <w:lvlJc w:val="left"/>
      <w:lvlText w:val="(%1)"/>
      <w:numFmt w:val="lowerLetter"/>
      <w:start w:val="2"/>
    </w:lvl>
  </w:abstractNum>
  <w:abstractNum w:abstractNumId="186">
    <w:nsid w:val="519EB94C"/>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87">
    <w:nsid w:val="39DF2579"/>
    <w:multiLevelType w:val="hybridMultilevel"/>
    <w:lvl w:ilvl="0">
      <w:lvlJc w:val="left"/>
      <w:lvlText w:val="%1"/>
      <w:numFmt w:val="lowerRoman"/>
      <w:start w:val="1"/>
    </w:lvl>
    <w:lvl w:ilvl="1">
      <w:lvlJc w:val="left"/>
      <w:lvlText w:val="(%2)"/>
      <w:numFmt w:val="decimal"/>
      <w:start w:val="5"/>
    </w:lvl>
  </w:abstractNum>
  <w:abstractNum w:abstractNumId="188">
    <w:nsid w:val="126E008B"/>
    <w:multiLevelType w:val="hybridMultilevel"/>
    <w:lvl w:ilvl="0">
      <w:lvlJc w:val="left"/>
      <w:lvlText w:val="(%1)"/>
      <w:numFmt w:val="lowerRoman"/>
      <w:start w:val="2"/>
    </w:lvl>
    <w:lvl w:ilvl="1">
      <w:lvlJc w:val="left"/>
      <w:lvlText w:val="(%2)"/>
      <w:numFmt w:val="decimal"/>
      <w:start w:val="1"/>
    </w:lvl>
  </w:abstractNum>
  <w:abstractNum w:abstractNumId="189">
    <w:nsid w:val="34DFBC00"/>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190">
    <w:nsid w:val="1F9EC322"/>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91">
    <w:nsid w:val="3410ED56"/>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lvl w:ilvl="3">
      <w:lvlJc w:val="left"/>
      <w:lvlText w:val="(%4)"/>
      <w:numFmt w:val="lowerLetter"/>
      <w:start w:val="1"/>
    </w:lvl>
  </w:abstractNum>
  <w:abstractNum w:abstractNumId="192">
    <w:nsid w:val="23C049A"/>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2"/>
    </w:lvl>
    <w:lvl w:ilvl="3">
      <w:lvlJc w:val="left"/>
      <w:lvlText w:val="(%4)"/>
      <w:numFmt w:val="lowerLetter"/>
      <w:start w:val="24"/>
    </w:lvl>
  </w:abstractNum>
  <w:abstractNum w:abstractNumId="193">
    <w:nsid w:val="5BDA35D4"/>
    <w:multiLevelType w:val="hybridMultilevel"/>
    <w:lvl w:ilvl="0">
      <w:lvlJc w:val="left"/>
      <w:lvlText w:val="%1"/>
      <w:numFmt w:val="lowerLetter"/>
      <w:start w:val="1"/>
    </w:lvl>
    <w:lvl w:ilvl="1">
      <w:lvlJc w:val="left"/>
      <w:lvlText w:val="(%2)"/>
      <w:numFmt w:val="lowerLetter"/>
      <w:start w:val="25"/>
    </w:lvl>
  </w:abstractNum>
  <w:abstractNum w:abstractNumId="194">
    <w:nsid w:val="496FB218"/>
    <w:multiLevelType w:val="hybridMultilevel"/>
    <w:lvl w:ilvl="0">
      <w:lvlJc w:val="left"/>
      <w:lvlText w:val="(%1)"/>
      <w:numFmt w:val="lowerLetter"/>
      <w:start w:val="5"/>
    </w:lvl>
    <w:lvl w:ilvl="1">
      <w:lvlJc w:val="left"/>
      <w:lvlText w:val="%2"/>
      <w:numFmt w:val="lowerLetter"/>
      <w:start w:val="1"/>
    </w:lvl>
  </w:abstractNum>
  <w:abstractNum w:abstractNumId="195">
    <w:nsid w:val="680EA5D1"/>
    <w:multiLevelType w:val="hybridMultilevel"/>
    <w:lvl w:ilvl="0">
      <w:lvlJc w:val="left"/>
      <w:lvlText w:val="(%1)"/>
      <w:numFmt w:val="lowerLetter"/>
      <w:start w:val="9"/>
    </w:lvl>
    <w:lvl w:ilvl="1">
      <w:lvlJc w:val="left"/>
      <w:lvlText w:val="(%2)"/>
      <w:numFmt w:val="lowerRoman"/>
      <w:start w:val="1"/>
    </w:lvl>
  </w:abstractNum>
  <w:abstractNum w:abstractNumId="196">
    <w:nsid w:val="4A9554FE"/>
    <w:multiLevelType w:val="hybridMultilevel"/>
    <w:lvl w:ilvl="0">
      <w:lvlJc w:val="left"/>
      <w:lvlText w:val="(%1)"/>
      <w:numFmt w:val="lowerLetter"/>
      <w:start w:val="11"/>
    </w:lvl>
  </w:abstractNum>
  <w:abstractNum w:abstractNumId="197">
    <w:nsid w:val="392EDBE4"/>
    <w:multiLevelType w:val="hybridMultilevel"/>
    <w:lvl w:ilvl="0">
      <w:lvlJc w:val="left"/>
      <w:lvlText w:val="%1."/>
      <w:numFmt w:val="decimal"/>
      <w:start w:val="5"/>
    </w:lvl>
    <w:lvl w:ilvl="1">
      <w:lvlJc w:val="left"/>
      <w:lvlText w:val="(%2)"/>
      <w:numFmt w:val="lowerLetter"/>
      <w:start w:val="1"/>
    </w:lvl>
  </w:abstractNum>
  <w:abstractNum w:abstractNumId="198">
    <w:nsid w:val="3D1A2DD9"/>
    <w:multiLevelType w:val="hybridMultilevel"/>
    <w:lvl w:ilvl="0">
      <w:lvlJc w:val="left"/>
      <w:lvlText w:val="(%1)"/>
      <w:numFmt w:val="lowerLetter"/>
      <w:start w:val="2"/>
    </w:lvl>
  </w:abstractNum>
  <w:abstractNum w:abstractNumId="199">
    <w:nsid w:val="7F618FCD"/>
    <w:multiLevelType w:val="hybridMultilevel"/>
    <w:lvl w:ilvl="0">
      <w:lvlJc w:val="left"/>
      <w:lvlText w:val="%1"/>
      <w:numFmt w:val="decimal"/>
      <w:start w:val="1"/>
    </w:lvl>
    <w:lvl w:ilvl="1">
      <w:lvlJc w:val="left"/>
      <w:lvlText w:val="(%2)"/>
      <w:numFmt w:val="lowerLetter"/>
      <w:start w:val="13"/>
    </w:lvl>
  </w:abstractNum>
  <w:abstractNum w:abstractNumId="200">
    <w:nsid w:val="7843E45"/>
    <w:multiLevelType w:val="hybridMultilevel"/>
    <w:lvl w:ilvl="0">
      <w:lvlJc w:val="left"/>
      <w:lvlText w:val="%1."/>
      <w:numFmt w:val="decimal"/>
      <w:start w:val="7"/>
    </w:lvl>
    <w:lvl w:ilvl="1">
      <w:lvlJc w:val="left"/>
      <w:lvlText w:val="(%2)"/>
      <w:numFmt w:val="lowerLetter"/>
      <w:start w:val="1"/>
    </w:lvl>
  </w:abstractNum>
  <w:abstractNum w:abstractNumId="201">
    <w:nsid w:val="9815DA3"/>
    <w:multiLevelType w:val="hybridMultilevel"/>
    <w:lvl w:ilvl="0">
      <w:lvlJc w:val="left"/>
      <w:lvlText w:val="%1."/>
      <w:numFmt w:val="decimal"/>
      <w:start w:val="10"/>
    </w:lvl>
    <w:lvl w:ilvl="1">
      <w:lvlJc w:val="left"/>
      <w:lvlText w:val="(%2)"/>
      <w:numFmt w:val="lowerLetter"/>
      <w:start w:val="1"/>
    </w:lvl>
  </w:abstractNum>
  <w:abstractNum w:abstractNumId="202">
    <w:nsid w:val="5204A191"/>
    <w:multiLevelType w:val="hybridMultilevel"/>
    <w:lvl w:ilvl="0">
      <w:lvlJc w:val="left"/>
      <w:lvlText w:val="%1."/>
      <w:numFmt w:val="decimal"/>
      <w:start w:val="1"/>
    </w:lvl>
  </w:abstractNum>
  <w:abstractNum w:abstractNumId="203">
    <w:nsid w:val="4C73A9C6"/>
    <w:multiLevelType w:val="hybridMultilevel"/>
    <w:lvl w:ilvl="0">
      <w:lvlJc w:val="left"/>
      <w:lvlText w:val="%1."/>
      <w:numFmt w:val="decimal"/>
      <w:start w:val="1"/>
    </w:lvl>
  </w:abstractNum>
  <w:abstractNum w:abstractNumId="204">
    <w:nsid w:val="1C7E3C01"/>
    <w:multiLevelType w:val="hybridMultilevel"/>
    <w:lvl w:ilvl="0">
      <w:lvlJc w:val="left"/>
      <w:lvlText w:val="(%1)"/>
      <w:numFmt w:val="decimal"/>
      <w:start w:val="1"/>
    </w:lvl>
  </w:abstractNum>
  <w:abstractNum w:abstractNumId="205">
    <w:nsid w:val="1C2201FF"/>
    <w:multiLevelType w:val="hybridMultilevel"/>
    <w:lvl w:ilvl="0">
      <w:lvlJc w:val="left"/>
      <w:lvlText w:val="%1."/>
      <w:numFmt w:val="decimal"/>
      <w:start w:val="1"/>
    </w:lvl>
    <w:lvl w:ilvl="1">
      <w:lvlJc w:val="left"/>
      <w:lvlText w:val="•"/>
      <w:numFmt w:val="bullet"/>
      <w:start w:val="1"/>
    </w:lvl>
  </w:abstractNum>
  <w:abstractNum w:abstractNumId="206">
    <w:nsid w:val="50ABCEC9"/>
    <w:multiLevelType w:val="hybridMultilevel"/>
    <w:lvl w:ilvl="0">
      <w:lvlJc w:val="left"/>
      <w:lvlText w:val="%1."/>
      <w:numFmt w:val="decimal"/>
      <w:start w:val="2"/>
    </w:lvl>
    <w:lvl w:ilvl="1">
      <w:lvlJc w:val="left"/>
      <w:lvlText w:val="(%2)"/>
      <w:numFmt w:val="lowerLetter"/>
      <w:start w:val="1"/>
    </w:lvl>
  </w:abstractNum>
  <w:abstractNum w:abstractNumId="207">
    <w:nsid w:val="7635AA2A"/>
    <w:multiLevelType w:val="hybridMultilevel"/>
    <w:lvl w:ilvl="0">
      <w:lvlJc w:val="left"/>
      <w:lvlText w:val="(%1)"/>
      <w:numFmt w:val="lowerLetter"/>
      <w:start w:val="6"/>
    </w:lvl>
    <w:lvl w:ilvl="1">
      <w:lvlJc w:val="left"/>
      <w:lvlText w:val="(%2)"/>
      <w:numFmt w:val="lowerRoman"/>
      <w:start w:val="1"/>
    </w:lvl>
  </w:abstractNum>
  <w:abstractNum w:abstractNumId="208">
    <w:nsid w:val="5E74C4D9"/>
    <w:multiLevelType w:val="hybridMultilevel"/>
    <w:lvl w:ilvl="0">
      <w:lvlJc w:val="left"/>
      <w:lvlText w:val="(%1)"/>
      <w:numFmt w:val="lowerLetter"/>
      <w:start w:val="7"/>
    </w:lvl>
    <w:lvl w:ilvl="1">
      <w:lvlJc w:val="left"/>
      <w:lvlText w:val="(%2)"/>
      <w:numFmt w:val="lowerLetter"/>
      <w:start w:val="9"/>
    </w:lvl>
  </w:abstractNum>
  <w:abstractNum w:abstractNumId="209">
    <w:nsid w:val="3B3EBE15"/>
    <w:multiLevelType w:val="hybridMultilevel"/>
    <w:lvl w:ilvl="0">
      <w:lvlJc w:val="left"/>
      <w:lvlText w:val="%1"/>
      <w:numFmt w:val="lowerLetter"/>
      <w:start w:val="1"/>
    </w:lvl>
    <w:lvl w:ilvl="1">
      <w:lvlJc w:val="left"/>
      <w:lvlText w:val="(%2)"/>
      <w:numFmt w:val="lowerRoman"/>
      <w:start w:val="2"/>
    </w:lvl>
  </w:abstractNum>
  <w:abstractNum w:abstractNumId="210">
    <w:nsid w:val="3822CB01"/>
    <w:multiLevelType w:val="hybridMultilevel"/>
    <w:lvl w:ilvl="0">
      <w:lvlJc w:val="left"/>
      <w:lvlText w:val="(%1)"/>
      <w:numFmt w:val="lowerLetter"/>
      <w:start w:val="18"/>
    </w:lvl>
    <w:lvl w:ilvl="1">
      <w:lvlJc w:val="left"/>
      <w:lvlText w:val="%2"/>
      <w:numFmt w:val="lowerRoman"/>
      <w:start w:val="1"/>
    </w:lvl>
  </w:abstractNum>
  <w:abstractNum w:abstractNumId="211">
    <w:nsid w:val="6CE00443"/>
    <w:multiLevelType w:val="hybridMultilevel"/>
    <w:lvl w:ilvl="0">
      <w:lvlJc w:val="left"/>
      <w:lvlText w:val="(%1)"/>
      <w:numFmt w:val="lowerLetter"/>
      <w:start w:val="27"/>
    </w:lvl>
  </w:abstractNum>
  <w:abstractNum w:abstractNumId="212">
    <w:nsid w:val="79F0D62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3">
    <w:nsid w:val="7975E8EE"/>
    <w:multiLevelType w:val="hybridMultilevel"/>
    <w:lvl w:ilvl="0">
      <w:lvlJc w:val="left"/>
      <w:lvlText w:val="(%1)"/>
      <w:numFmt w:val="lowerLetter"/>
      <w:start w:val="2"/>
    </w:lvl>
    <w:lvl w:ilvl="1">
      <w:lvlJc w:val="left"/>
      <w:lvlText w:val="(%2)"/>
      <w:numFmt w:val="lowerRoman"/>
      <w:start w:val="1"/>
    </w:lvl>
  </w:abstractNum>
  <w:abstractNum w:abstractNumId="214">
    <w:nsid w:val="7315411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15">
    <w:nsid w:val="622D810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16">
    <w:nsid w:val="2AB26587"/>
    <w:multiLevelType w:val="hybridMultilevel"/>
    <w:lvl w:ilvl="0">
      <w:lvlJc w:val="left"/>
      <w:lvlText w:val="%1"/>
      <w:numFmt w:val="lowerLetter"/>
      <w:start w:val="1"/>
    </w:lvl>
    <w:lvl w:ilvl="1">
      <w:lvlJc w:val="left"/>
      <w:lvlText w:val="(%2)"/>
      <w:numFmt w:val="lowerRoman"/>
      <w:start w:val="2"/>
    </w:lvl>
  </w:abstractNum>
  <w:abstractNum w:abstractNumId="217">
    <w:nsid w:val="44B3FA61"/>
    <w:multiLevelType w:val="hybridMultilevel"/>
    <w:lvl w:ilvl="0">
      <w:lvlJc w:val="left"/>
      <w:lvlText w:val="(%1)"/>
      <w:numFmt w:val="lowerLetter"/>
      <w:start w:val="6"/>
    </w:lvl>
    <w:lvl w:ilvl="1">
      <w:lvlJc w:val="left"/>
      <w:lvlText w:val="(%2)"/>
      <w:numFmt w:val="lowerRoman"/>
      <w:start w:val="1"/>
    </w:lvl>
  </w:abstractNum>
  <w:abstractNum w:abstractNumId="218">
    <w:nsid w:val="1C0CA6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19">
    <w:nsid w:val="3D20661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20">
    <w:nsid w:val="7993B662"/>
    <w:multiLevelType w:val="hybridMultilevel"/>
    <w:lvl w:ilvl="0">
      <w:lvlJc w:val="left"/>
      <w:lvlText w:val="(%1)"/>
      <w:numFmt w:val="lowerLetter"/>
      <w:start w:val="4"/>
    </w:lvl>
    <w:lvl w:ilvl="1">
      <w:lvlJc w:val="left"/>
      <w:lvlText w:val="(%2)"/>
      <w:numFmt w:val="lowerRoman"/>
      <w:start w:val="1"/>
    </w:lvl>
  </w:abstractNum>
  <w:abstractNum w:abstractNumId="221">
    <w:nsid w:val="3BAB699E"/>
    <w:multiLevelType w:val="hybridMultilevel"/>
    <w:lvl w:ilvl="0">
      <w:lvlJc w:val="left"/>
      <w:lvlText w:val="%1."/>
      <w:numFmt w:val="decimal"/>
      <w:start w:val="8"/>
    </w:lvl>
    <w:lvl w:ilvl="1">
      <w:lvlJc w:val="left"/>
      <w:lvlText w:val="(%2)"/>
      <w:numFmt w:val="lowerLetter"/>
      <w:start w:val="1"/>
    </w:lvl>
  </w:abstractNum>
  <w:abstractNum w:abstractNumId="222">
    <w:nsid w:val="71315369"/>
    <w:multiLevelType w:val="hybridMultilevel"/>
    <w:lvl w:ilvl="0">
      <w:lvlJc w:val="left"/>
      <w:lvlText w:val="%1"/>
      <w:numFmt w:val="decimal"/>
      <w:start w:val="1"/>
    </w:lvl>
    <w:lvl w:ilvl="1">
      <w:lvlJc w:val="left"/>
      <w:lvlText w:val="(%2)"/>
      <w:numFmt w:val="lowerLetter"/>
      <w:start w:val="5"/>
    </w:lvl>
  </w:abstractNum>
  <w:abstractNum w:abstractNumId="223">
    <w:nsid w:val="7BCFBAFC"/>
    <w:multiLevelType w:val="hybridMultilevel"/>
    <w:lvl w:ilvl="0">
      <w:lvlJc w:val="left"/>
      <w:lvlText w:val="%1."/>
      <w:numFmt w:val="decimal"/>
      <w:start w:val="9"/>
    </w:lvl>
    <w:lvl w:ilvl="1">
      <w:lvlJc w:val="left"/>
      <w:lvlText w:val="(%2)"/>
      <w:numFmt w:val="lowerLetter"/>
      <w:start w:val="1"/>
    </w:lvl>
  </w:abstractNum>
  <w:abstractNum w:abstractNumId="224">
    <w:nsid w:val="17859F72"/>
    <w:multiLevelType w:val="hybridMultilevel"/>
    <w:lvl w:ilvl="0">
      <w:lvlJc w:val="left"/>
      <w:lvlText w:val="%1."/>
      <w:numFmt w:val="decimal"/>
      <w:start w:val="10"/>
    </w:lvl>
    <w:lvl w:ilvl="1">
      <w:lvlJc w:val="left"/>
      <w:lvlText w:val="(%2)"/>
      <w:numFmt w:val="lowerLetter"/>
      <w:start w:val="1"/>
    </w:lvl>
  </w:abstractNum>
  <w:abstractNum w:abstractNumId="225">
    <w:nsid w:val="3AA10581"/>
    <w:multiLevelType w:val="hybridMultilevel"/>
    <w:lvl w:ilvl="0">
      <w:lvlJc w:val="left"/>
      <w:lvlText w:val="%1."/>
      <w:numFmt w:val="decimal"/>
      <w:start w:val="13"/>
    </w:lvl>
    <w:lvl w:ilvl="1">
      <w:lvlJc w:val="left"/>
      <w:lvlText w:val="(%2)"/>
      <w:numFmt w:val="lowerLetter"/>
      <w:start w:val="1"/>
    </w:lvl>
  </w:abstractNum>
  <w:abstractNum w:abstractNumId="226">
    <w:nsid w:val="63DE60CD"/>
    <w:multiLevelType w:val="hybridMultilevel"/>
    <w:lvl w:ilvl="0">
      <w:lvlJc w:val="left"/>
      <w:lvlText w:val="%1."/>
      <w:numFmt w:val="decimal"/>
      <w:start w:val="14"/>
    </w:lvl>
    <w:lvl w:ilvl="1">
      <w:lvlJc w:val="left"/>
      <w:lvlText w:val="(%2)"/>
      <w:numFmt w:val="lowerLetter"/>
      <w:start w:val="1"/>
    </w:lvl>
  </w:abstractNum>
  <w:abstractNum w:abstractNumId="227">
    <w:nsid w:val="621AF471"/>
    <w:multiLevelType w:val="hybridMultilevel"/>
    <w:lvl w:ilvl="0">
      <w:lvlJc w:val="left"/>
      <w:lvlText w:val="%1."/>
      <w:numFmt w:val="decimal"/>
      <w:start w:val="15"/>
    </w:lvl>
    <w:lvl w:ilvl="1">
      <w:lvlJc w:val="left"/>
      <w:lvlText w:val="(%2)"/>
      <w:numFmt w:val="lowerLetter"/>
      <w:start w:val="1"/>
    </w:lvl>
  </w:abstractNum>
  <w:abstractNum w:abstractNumId="228">
    <w:nsid w:val="73CFE165"/>
    <w:multiLevelType w:val="hybridMultilevel"/>
    <w:lvl w:ilvl="0">
      <w:lvlJc w:val="left"/>
      <w:lvlText w:val="%1"/>
      <w:numFmt w:val="decimal"/>
      <w:start w:val="1"/>
    </w:lvl>
    <w:lvl w:ilvl="1">
      <w:lvlJc w:val="left"/>
      <w:lvlText w:val="%2."/>
      <w:numFmt w:val="decimal"/>
      <w:start w:val="19"/>
    </w:lvl>
    <w:lvl w:ilvl="2">
      <w:lvlJc w:val="left"/>
      <w:lvlText w:val="(%3)"/>
      <w:numFmt w:val="lowerLetter"/>
      <w:start w:val="1"/>
    </w:lvl>
  </w:abstractNum>
  <w:abstractNum w:abstractNumId="229">
    <w:nsid w:val="20F88EA6"/>
    <w:multiLevelType w:val="hybridMultilevel"/>
    <w:lvl w:ilvl="0">
      <w:lvlJc w:val="left"/>
      <w:lvlText w:val="(%1)"/>
      <w:numFmt w:val="decimal"/>
      <w:start w:val="500"/>
    </w:lvl>
    <w:lvl w:ilvl="1">
      <w:lvlJc w:val="left"/>
      <w:lvlText w:val="%2"/>
      <w:numFmt w:val="decimal"/>
      <w:start w:val="1"/>
    </w:lvl>
    <w:lvl w:ilvl="2">
      <w:lvlJc w:val="left"/>
      <w:lvlText w:val="%3"/>
      <w:numFmt w:val="lowerLetter"/>
      <w:start w:val="1"/>
    </w:lvl>
  </w:abstractNum>
  <w:abstractNum w:abstractNumId="230">
    <w:nsid w:val="617C843E"/>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231">
    <w:nsid w:val="7B541FAB"/>
    <w:multiLevelType w:val="hybridMultilevel"/>
    <w:lvl w:ilvl="0">
      <w:lvlJc w:val="left"/>
      <w:lvlText w:val="%1."/>
      <w:numFmt w:val="upperLetter"/>
      <w:start w:val="9"/>
    </w:lvl>
  </w:abstractNum>
  <w:abstractNum w:abstractNumId="232">
    <w:nsid w:val="2A79EC49"/>
    <w:multiLevelType w:val="hybridMultilevel"/>
    <w:lvl w:ilvl="0">
      <w:lvlJc w:val="left"/>
      <w:lvlText w:val="%1."/>
      <w:numFmt w:val="upperLetter"/>
      <w:start w:val="35"/>
    </w:lvl>
    <w:lvl w:ilvl="1">
      <w:lvlJc w:val="left"/>
      <w:lvlText w:val="%2."/>
      <w:numFmt w:val="decimal"/>
      <w:start w:val="1"/>
    </w:lvl>
  </w:abstractNum>
  <w:abstractNum w:abstractNumId="233">
    <w:nsid w:val="338125CF"/>
    <w:multiLevelType w:val="hybridMultilevel"/>
    <w:lvl w:ilvl="0">
      <w:lvlJc w:val="left"/>
      <w:lvlText w:val="%1."/>
      <w:numFmt w:val="decimal"/>
      <w:start w:val="2"/>
    </w:lvl>
    <w:lvl w:ilvl="1">
      <w:lvlJc w:val="left"/>
      <w:lvlText w:val="(%2)"/>
      <w:numFmt w:val="lowerLetter"/>
      <w:start w:val="1"/>
    </w:lvl>
  </w:abstractNum>
  <w:abstractNum w:abstractNumId="234">
    <w:nsid w:val="47C7C971"/>
    <w:multiLevelType w:val="hybridMultilevel"/>
    <w:lvl w:ilvl="0">
      <w:lvlJc w:val="left"/>
      <w:lvlText w:val="%1."/>
      <w:numFmt w:val="decimal"/>
      <w:start w:val="3"/>
    </w:lvl>
  </w:abstractNum>
  <w:abstractNum w:abstractNumId="235">
    <w:nsid w:val="46F8284B"/>
    <w:multiLevelType w:val="hybridMultilevel"/>
    <w:lvl w:ilvl="0">
      <w:lvlJc w:val="left"/>
      <w:lvlText w:val="%1."/>
      <w:numFmt w:val="decimal"/>
      <w:start w:val="5"/>
    </w:lvl>
    <w:lvl w:ilvl="1">
      <w:lvlJc w:val="left"/>
      <w:lvlText w:val="(%2)"/>
      <w:numFmt w:val="lowerLetter"/>
      <w:start w:val="1"/>
    </w:lvl>
  </w:abstractNum>
  <w:abstractNum w:abstractNumId="236">
    <w:nsid w:val="4FA327CE"/>
    <w:multiLevelType w:val="hybridMultilevel"/>
    <w:lvl w:ilvl="0">
      <w:lvlJc w:val="left"/>
      <w:lvlText w:val="%1"/>
      <w:numFmt w:val="decimal"/>
      <w:start w:val="1"/>
    </w:lvl>
    <w:lvl w:ilvl="1">
      <w:lvlJc w:val="left"/>
      <w:lvlText w:val="(%2)"/>
      <w:numFmt w:val="lowerLetter"/>
      <w:start w:val="4"/>
    </w:lvl>
  </w:abstractNum>
  <w:abstractNum w:abstractNumId="237">
    <w:nsid w:val="1873983A"/>
    <w:multiLevelType w:val="hybridMultilevel"/>
    <w:lvl w:ilvl="0">
      <w:lvlJc w:val="left"/>
      <w:lvlText w:val="%1."/>
      <w:numFmt w:val="decimal"/>
      <w:start w:val="6"/>
    </w:lvl>
    <w:lvl w:ilvl="1">
      <w:lvlJc w:val="left"/>
      <w:lvlText w:val="(%2)"/>
      <w:numFmt w:val="lowerLetter"/>
      <w:start w:val="1"/>
    </w:lvl>
  </w:abstractNum>
  <w:abstractNum w:abstractNumId="238">
    <w:nsid w:val="3D2DD275"/>
    <w:multiLevelType w:val="hybridMultilevel"/>
    <w:lvl w:ilvl="0">
      <w:lvlJc w:val="left"/>
      <w:lvlText w:val="%1"/>
      <w:numFmt w:val="decimal"/>
      <w:start w:val="1"/>
    </w:lvl>
    <w:lvl w:ilvl="1">
      <w:lvlJc w:val="left"/>
      <w:lvlText w:val="(%2)"/>
      <w:numFmt w:val="lowerLetter"/>
      <w:start w:val="3"/>
    </w:lvl>
  </w:abstractNum>
  <w:abstractNum w:abstractNumId="239">
    <w:nsid w:val="2E17ECA7"/>
    <w:multiLevelType w:val="hybridMultilevel"/>
    <w:lvl w:ilvl="0">
      <w:lvlJc w:val="left"/>
      <w:lvlText w:val="%1."/>
      <w:numFmt w:val="decimal"/>
      <w:start w:val="10"/>
    </w:lvl>
    <w:lvl w:ilvl="1">
      <w:lvlJc w:val="left"/>
      <w:lvlText w:val="%2"/>
      <w:numFmt w:val="lowerLetter"/>
      <w:start w:val="1"/>
    </w:lvl>
  </w:abstractNum>
  <w:abstractNum w:abstractNumId="240">
    <w:nsid w:val="53B2564F"/>
    <w:multiLevelType w:val="hybridMultilevel"/>
    <w:lvl w:ilvl="0">
      <w:lvlJc w:val="left"/>
      <w:lvlText w:val="%1."/>
      <w:numFmt w:val="decimal"/>
      <w:start w:val="2"/>
    </w:lvl>
    <w:lvl w:ilvl="1">
      <w:lvlJc w:val="left"/>
      <w:lvlText w:val="(%2)"/>
      <w:numFmt w:val="lowerLetter"/>
      <w:start w:val="1"/>
    </w:lvl>
  </w:abstractNum>
  <w:abstractNum w:abstractNumId="241">
    <w:nsid w:val="75509D76"/>
    <w:multiLevelType w:val="hybridMultilevel"/>
    <w:lvl w:ilvl="0">
      <w:lvlJc w:val="left"/>
      <w:lvlText w:val="%1"/>
      <w:numFmt w:val="decimal"/>
      <w:start w:val="1"/>
    </w:lvl>
    <w:lvl w:ilvl="1">
      <w:lvlJc w:val="left"/>
      <w:lvlText w:val="(%2)"/>
      <w:numFmt w:val="lowerLetter"/>
      <w:start w:val="2"/>
    </w:lvl>
  </w:abstractNum>
  <w:abstractNum w:abstractNumId="242">
    <w:nsid w:val="1AF7F0EA"/>
    <w:multiLevelType w:val="hybridMultilevel"/>
    <w:lvl w:ilvl="0">
      <w:lvlJc w:val="left"/>
      <w:lvlText w:val="(%1)"/>
      <w:numFmt w:val="decimal"/>
      <w:start w:val="120"/>
    </w:lvl>
    <w:lvl w:ilvl="1">
      <w:lvlJc w:val="left"/>
      <w:lvlText w:val="(%2)"/>
      <w:numFmt w:val="lowerLetter"/>
      <w:start w:val="6"/>
    </w:lvl>
  </w:abstractNum>
  <w:abstractNum w:abstractNumId="243">
    <w:nsid w:val="4DA32C7E"/>
    <w:multiLevelType w:val="hybridMultilevel"/>
    <w:lvl w:ilvl="0">
      <w:lvlJc w:val="left"/>
      <w:lvlText w:val="%1."/>
      <w:numFmt w:val="decimal"/>
      <w:start w:val="6"/>
    </w:lvl>
    <w:lvl w:ilvl="1">
      <w:lvlJc w:val="left"/>
      <w:lvlText w:val="(%2)"/>
      <w:numFmt w:val="lowerLetter"/>
      <w:start w:val="1"/>
    </w:lvl>
  </w:abstractNum>
  <w:abstractNum w:abstractNumId="244">
    <w:nsid w:val="6EC68664"/>
    <w:multiLevelType w:val="hybridMultilevel"/>
    <w:lvl w:ilvl="0">
      <w:lvlJc w:val="left"/>
      <w:lvlText w:val="(%1)"/>
      <w:numFmt w:val="lowerLetter"/>
      <w:start w:val="2"/>
    </w:lvl>
  </w:abstractNum>
  <w:abstractNum w:abstractNumId="245">
    <w:nsid w:val="E0D31FF"/>
    <w:multiLevelType w:val="hybridMultilevel"/>
    <w:lvl w:ilvl="0">
      <w:lvlJc w:val="left"/>
      <w:lvlText w:val="%1."/>
      <w:numFmt w:val="decimal"/>
      <w:start w:val="8"/>
    </w:lvl>
  </w:abstractNum>
  <w:abstractNum w:abstractNumId="246">
    <w:nsid w:val="2FD0AD81"/>
    <w:multiLevelType w:val="hybridMultilevel"/>
    <w:lvl w:ilvl="0">
      <w:lvlJc w:val="left"/>
      <w:lvlText w:val="(%1)"/>
      <w:numFmt w:val="lowerLetter"/>
      <w:start w:val="1"/>
    </w:lvl>
  </w:abstractNum>
  <w:abstractNum w:abstractNumId="247">
    <w:nsid w:val="1978EBEB"/>
    <w:multiLevelType w:val="hybridMultilevel"/>
    <w:lvl w:ilvl="0">
      <w:lvlJc w:val="left"/>
      <w:lvlText w:val="(%1)"/>
      <w:numFmt w:val="decimal"/>
      <w:start w:val="2"/>
    </w:lvl>
  </w:abstractNum>
  <w:abstractNum w:abstractNumId="248">
    <w:nsid w:val="52C12C61"/>
    <w:multiLevelType w:val="hybridMultilevel"/>
    <w:lvl w:ilvl="0">
      <w:lvlJc w:val="left"/>
      <w:lvlText w:val="(%1)"/>
      <w:numFmt w:val="lowerLetter"/>
      <w:start w:val="4"/>
    </w:lvl>
  </w:abstractNum>
  <w:abstractNum w:abstractNumId="249">
    <w:nsid w:val="4BDD53FD"/>
    <w:multiLevelType w:val="hybridMultilevel"/>
    <w:lvl w:ilvl="0">
      <w:lvlJc w:val="left"/>
      <w:lvlText w:val="%1."/>
      <w:numFmt w:val="upperLetter"/>
      <w:start w:val="1"/>
    </w:lvl>
    <w:lvl w:ilvl="1">
      <w:lvlJc w:val="left"/>
      <w:lvlText w:val="%2."/>
      <w:numFmt w:val="decimal"/>
      <w:start w:val="1"/>
    </w:lvl>
  </w:abstractNum>
  <w:abstractNum w:abstractNumId="250">
    <w:nsid w:val="569951FE"/>
    <w:multiLevelType w:val="hybridMultilevel"/>
    <w:lvl w:ilvl="0">
      <w:lvlJc w:val="left"/>
      <w:lvlText w:val="(%1)"/>
      <w:numFmt w:val="lowerLetter"/>
      <w:start w:val="32"/>
    </w:lvl>
  </w:abstractNum>
  <w:abstractNum w:abstractNumId="251">
    <w:nsid w:val="4C54E2C3"/>
    <w:multiLevelType w:val="hybridMultilevel"/>
    <w:lvl w:ilvl="0">
      <w:lvlJc w:val="left"/>
      <w:lvlText w:val="%1"/>
      <w:numFmt w:val="upperLetter"/>
      <w:start w:val="1"/>
    </w:lvl>
    <w:lvl w:ilvl="1">
      <w:lvlJc w:val="left"/>
      <w:lvlText w:val="(%2)"/>
      <w:numFmt w:val="lowerRoman"/>
      <w:start w:val="2"/>
    </w:lvl>
  </w:abstractNum>
  <w:abstractNum w:abstractNumId="252">
    <w:nsid w:val="788BD9B"/>
    <w:multiLevelType w:val="hybridMultilevel"/>
    <w:lvl w:ilvl="0">
      <w:lvlJc w:val="left"/>
      <w:lvlText w:val="%1."/>
      <w:numFmt w:val="upperLetter"/>
      <w:start w:val="2"/>
    </w:lvl>
    <w:lvl w:ilvl="1">
      <w:lvlJc w:val="left"/>
      <w:lvlText w:val="%2"/>
      <w:numFmt w:val="lowerRoman"/>
      <w:start w:val="1"/>
    </w:lvl>
  </w:abstractNum>
  <w:abstractNum w:abstractNumId="253">
    <w:nsid w:val="47CAA567"/>
    <w:multiLevelType w:val="hybridMultilevel"/>
    <w:lvl w:ilvl="0">
      <w:lvlJc w:val="left"/>
      <w:lvlText w:val="%1."/>
      <w:numFmt w:val="decimal"/>
      <w:start w:val="1"/>
    </w:lvl>
    <w:lvl w:ilvl="1">
      <w:lvlJc w:val="left"/>
      <w:lvlText w:val="•"/>
      <w:numFmt w:val="bullet"/>
      <w:start w:val="1"/>
    </w:lvl>
  </w:abstractNum>
  <w:abstractNum w:abstractNumId="254">
    <w:nsid w:val="48249DBF"/>
    <w:multiLevelType w:val="hybridMultilevel"/>
    <w:lvl w:ilvl="0">
      <w:lvlJc w:val="left"/>
      <w:lvlText w:val="%1."/>
      <w:numFmt w:val="decimal"/>
      <w:start w:val="2"/>
    </w:lvl>
    <w:lvl w:ilvl="1">
      <w:lvlJc w:val="left"/>
      <w:lvlText w:val="(%2)"/>
      <w:numFmt w:val="lowerLetter"/>
      <w:start w:val="1"/>
    </w:lvl>
  </w:abstractNum>
  <w:abstractNum w:abstractNumId="255">
    <w:nsid w:val="1F0E5D0D"/>
    <w:multiLevelType w:val="hybridMultilevel"/>
    <w:lvl w:ilvl="0">
      <w:lvlJc w:val="left"/>
      <w:lvlText w:val="(%1)"/>
      <w:numFmt w:val="lowerLetter"/>
      <w:start w:val="2"/>
    </w:lvl>
    <w:lvl w:ilvl="1">
      <w:lvlJc w:val="left"/>
      <w:lvlText w:val="(%2)"/>
      <w:numFmt w:val="lowerLetter"/>
      <w:start w:val="9"/>
    </w:lvl>
  </w:abstractNum>
  <w:abstractNum w:abstractNumId="256">
    <w:nsid w:val="26BAAE9"/>
    <w:multiLevelType w:val="hybridMultilevel"/>
    <w:lvl w:ilvl="0">
      <w:lvlJc w:val="left"/>
      <w:lvlText w:val="(%1)"/>
      <w:numFmt w:val="lowerRoman"/>
      <w:start w:val="2"/>
    </w:lvl>
  </w:abstractNum>
  <w:abstractNum w:abstractNumId="257">
    <w:nsid w:val="2C02FE8C"/>
    <w:multiLevelType w:val="hybridMultilevel"/>
    <w:lvl w:ilvl="0">
      <w:lvlJc w:val="left"/>
      <w:lvlText w:val="(%1)"/>
      <w:numFmt w:val="lowerLetter"/>
      <w:start w:val="7"/>
    </w:lvl>
    <w:lvl w:ilvl="1">
      <w:lvlJc w:val="left"/>
      <w:lvlText w:val="-"/>
      <w:numFmt w:val="bullet"/>
      <w:start w:val="1"/>
    </w:lvl>
  </w:abstractNum>
  <w:abstractNum w:abstractNumId="258">
    <w:nsid w:val="129517E"/>
    <w:multiLevelType w:val="hybridMultilevel"/>
    <w:lvl w:ilvl="0">
      <w:lvlJc w:val="left"/>
      <w:lvlText w:val="(%1)"/>
      <w:numFmt w:val="lowerLetter"/>
      <w:start w:val="17"/>
    </w:lvl>
    <w:lvl w:ilvl="1">
      <w:lvlJc w:val="left"/>
      <w:lvlText w:val="(%2)"/>
      <w:numFmt w:val="lowerRoman"/>
      <w:start w:val="1"/>
    </w:lvl>
  </w:abstractNum>
  <w:abstractNum w:abstractNumId="259">
    <w:nsid w:val="763B8C4E"/>
    <w:multiLevelType w:val="hybridMultilevel"/>
    <w:lvl w:ilvl="0">
      <w:lvlJc w:val="left"/>
      <w:lvlText w:val="(%1)"/>
      <w:numFmt w:val="lowerLetter"/>
      <w:start w:val="18"/>
    </w:lvl>
    <w:lvl w:ilvl="1">
      <w:lvlJc w:val="left"/>
      <w:lvlText w:val="-"/>
      <w:numFmt w:val="bullet"/>
      <w:start w:val="1"/>
    </w:lvl>
  </w:abstractNum>
  <w:abstractNum w:abstractNumId="260">
    <w:nsid w:val="4CFB8D32"/>
    <w:multiLevelType w:val="hybridMultilevel"/>
    <w:lvl w:ilvl="0">
      <w:lvlJc w:val="left"/>
      <w:lvlText w:val="(%1)"/>
      <w:numFmt w:val="lowerLetter"/>
      <w:start w:val="26"/>
    </w:lvl>
  </w:abstractNum>
  <w:abstractNum w:abstractNumId="261">
    <w:nsid w:val="62A5D5BD"/>
    <w:multiLevelType w:val="hybridMultilevel"/>
    <w:lvl w:ilvl="0">
      <w:lvlJc w:val="left"/>
      <w:lvlText w:val="(%1)"/>
      <w:numFmt w:val="lowerLetter"/>
      <w:start w:val="27"/>
    </w:lvl>
    <w:lvl w:ilvl="1">
      <w:lvlJc w:val="left"/>
      <w:lvlText w:val="-"/>
      <w:numFmt w:val="bullet"/>
      <w:start w:val="1"/>
    </w:lvl>
  </w:abstractNum>
  <w:abstractNum w:abstractNumId="262">
    <w:nsid w:val="718FABF9"/>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63">
    <w:nsid w:val="7775797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264">
    <w:nsid w:val="1626FB8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65">
    <w:nsid w:val="3957756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9"/>
    </w:lvl>
    <w:lvl w:ilvl="4">
      <w:lvlJc w:val="left"/>
      <w:lvlText w:val="-"/>
      <w:numFmt w:val="bullet"/>
      <w:start w:val="1"/>
    </w:lvl>
  </w:abstractNum>
  <w:abstractNum w:abstractNumId="266">
    <w:nsid w:val="3E6DA1C7"/>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lvl w:ilvl="4">
      <w:lvlJc w:val="left"/>
      <w:lvlText w:val="-"/>
      <w:numFmt w:val="bullet"/>
      <w:start w:val="1"/>
    </w:lvl>
  </w:abstractNum>
  <w:abstractNum w:abstractNumId="267">
    <w:nsid w:val="65CA235B"/>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268">
    <w:nsid w:val="51CB0DA4"/>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269">
    <w:nsid w:val="7B9B743C"/>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270">
    <w:nsid w:val="13E21002"/>
    <w:multiLevelType w:val="hybridMultilevel"/>
    <w:lvl w:ilvl="0">
      <w:lvlJc w:val="left"/>
      <w:lvlText w:val="(%1)"/>
      <w:numFmt w:val="lowerRoman"/>
      <w:start w:val="2"/>
    </w:lvl>
    <w:lvl w:ilvl="1">
      <w:lvlJc w:val="left"/>
      <w:lvlText w:val="-"/>
      <w:numFmt w:val="bullet"/>
      <w:start w:val="1"/>
    </w:lvl>
  </w:abstractNum>
  <w:abstractNum w:abstractNumId="271">
    <w:nsid w:val="257D63F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lvl w:ilvl="3">
      <w:lvlJc w:val="left"/>
      <w:lvlText w:val="(%4)"/>
      <w:numFmt w:val="decimal"/>
      <w:start w:val="1"/>
    </w:lvl>
    <w:lvl w:ilvl="4">
      <w:lvlJc w:val="left"/>
      <w:lvlText w:val="-"/>
      <w:numFmt w:val="bullet"/>
      <w:start w:val="1"/>
    </w:lvl>
  </w:abstractNum>
  <w:abstractNum w:abstractNumId="272">
    <w:nsid w:val="70EC11B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
      <w:numFmt w:val="bullet"/>
      <w:start w:val="1"/>
    </w:lvl>
  </w:abstractNum>
  <w:abstractNum w:abstractNumId="273">
    <w:nsid w:val="2EDA00ED"/>
    <w:multiLevelType w:val="hybridMultilevel"/>
    <w:lvl w:ilvl="0">
      <w:lvlJc w:val="left"/>
      <w:lvlText w:val="%1"/>
      <w:numFmt w:val="decimal"/>
      <w:start w:val="1"/>
    </w:lvl>
    <w:lvl w:ilvl="1">
      <w:lvlJc w:val="left"/>
      <w:lvlText w:val="(%2)"/>
      <w:numFmt w:val="lowerLetter"/>
      <w:start w:val="5"/>
    </w:lvl>
  </w:abstractNum>
  <w:abstractNum w:abstractNumId="274">
    <w:nsid w:val="73209072"/>
    <w:multiLevelType w:val="hybridMultilevel"/>
    <w:lvl w:ilvl="0">
      <w:lvlJc w:val="left"/>
      <w:lvlText w:val="%1."/>
      <w:numFmt w:val="decimal"/>
      <w:start w:val="8"/>
    </w:lvl>
    <w:lvl w:ilvl="1">
      <w:lvlJc w:val="left"/>
      <w:lvlText w:val="(%2)"/>
      <w:numFmt w:val="lowerLetter"/>
      <w:start w:val="1"/>
    </w:lvl>
  </w:abstractNum>
  <w:abstractNum w:abstractNumId="275">
    <w:nsid w:val="5FB29816"/>
    <w:multiLevelType w:val="hybridMultilevel"/>
    <w:lvl w:ilvl="0">
      <w:lvlJc w:val="left"/>
      <w:lvlText w:val="(%1)"/>
      <w:numFmt w:val="lowerLetter"/>
      <w:start w:val="5"/>
    </w:lvl>
    <w:lvl w:ilvl="1">
      <w:lvlJc w:val="left"/>
      <w:lvlText w:val="-"/>
      <w:numFmt w:val="bullet"/>
      <w:start w:val="1"/>
    </w:lvl>
  </w:abstractNum>
  <w:abstractNum w:abstractNumId="276">
    <w:nsid w:val="3CE732E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77">
    <w:nsid w:val="22F13DF3"/>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278">
    <w:nsid w:val="792B8401"/>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79">
    <w:nsid w:val="FA85F4D"/>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280">
    <w:nsid w:val="6ECE91F0"/>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281">
    <w:nsid w:val="4FC4D600"/>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282">
    <w:nsid w:val="5BFD4210"/>
    <w:multiLevelType w:val="hybridMultilevel"/>
    <w:lvl w:ilvl="0">
      <w:lvlJc w:val="left"/>
      <w:lvlText w:val="(%1)"/>
      <w:numFmt w:val="lowerLetter"/>
      <w:start w:val="4"/>
    </w:lvl>
    <w:lvl w:ilvl="1">
      <w:lvlJc w:val="left"/>
      <w:lvlText w:val="-"/>
      <w:numFmt w:val="bullet"/>
      <w:start w:val="1"/>
    </w:lvl>
  </w:abstractNum>
  <w:abstractNum w:abstractNumId="283">
    <w:nsid w:val="76574F8B"/>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284">
    <w:nsid w:val="178F7B67"/>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lvl w:ilvl="3">
      <w:lvlJc w:val="left"/>
      <w:lvlText w:val="-"/>
      <w:numFmt w:val="bullet"/>
      <w:start w:val="1"/>
    </w:lvl>
  </w:abstractNum>
  <w:abstractNum w:abstractNumId="285">
    <w:nsid w:val="2421DFCF"/>
    <w:multiLevelType w:val="hybridMultilevel"/>
    <w:lvl w:ilvl="0">
      <w:lvlJc w:val="left"/>
      <w:lvlText w:val="(%1)"/>
      <w:numFmt w:val="lowerLetter"/>
      <w:start w:val="35"/>
    </w:lvl>
    <w:lvl w:ilvl="1">
      <w:lvlJc w:val="left"/>
      <w:lvlText w:val="%2."/>
      <w:numFmt w:val="decimal"/>
      <w:start w:val="19"/>
    </w:lvl>
    <w:lvl w:ilvl="2">
      <w:lvlJc w:val="left"/>
      <w:lvlText w:val="(%3)"/>
      <w:numFmt w:val="lowerLetter"/>
      <w:start w:val="1"/>
    </w:lvl>
    <w:lvl w:ilvl="3">
      <w:lvlJc w:val="left"/>
      <w:lvlText w:val="-"/>
      <w:numFmt w:val="bullet"/>
      <w:start w:val="1"/>
    </w:lvl>
  </w:abstractNum>
  <w:abstractNum w:abstractNumId="286">
    <w:nsid w:val="1565AC99"/>
    <w:multiLevelType w:val="hybridMultilevel"/>
    <w:lvl w:ilvl="0">
      <w:lvlJc w:val="left"/>
      <w:lvlText w:val="%1."/>
      <w:numFmt w:val="decimal"/>
      <w:start w:val="22"/>
    </w:lvl>
    <w:lvl w:ilvl="1">
      <w:lvlJc w:val="left"/>
      <w:lvlText w:val="(%2)"/>
      <w:numFmt w:val="lowerLetter"/>
      <w:start w:val="1"/>
    </w:lvl>
  </w:abstractNum>
  <w:abstractNum w:abstractNumId="287">
    <w:nsid w:val="19FB2650"/>
    <w:multiLevelType w:val="hybridMultilevel"/>
    <w:lvl w:ilvl="0">
      <w:lvlJc w:val="left"/>
      <w:lvlText w:val="(%1)"/>
      <w:numFmt w:val="decimal"/>
      <w:start w:val="3"/>
    </w:lvl>
  </w:abstractNum>
  <w:abstractNum w:abstractNumId="288">
    <w:nsid w:val="5024DE5B"/>
    <w:multiLevelType w:val="hybridMultilevel"/>
    <w:lvl w:ilvl="0">
      <w:lvlJc w:val="left"/>
      <w:lvlText w:val="%1."/>
      <w:numFmt w:val="decimal"/>
      <w:start w:val="1"/>
    </w:lvl>
    <w:lvl w:ilvl="1">
      <w:lvlJc w:val="left"/>
      <w:lvlText w:val="(%2)"/>
      <w:numFmt w:val="lowerLetter"/>
      <w:start w:val="1"/>
    </w:lvl>
  </w:abstractNum>
  <w:abstractNum w:abstractNumId="289">
    <w:nsid w:val="168EFE17"/>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90">
    <w:nsid w:val="1036B29F"/>
    <w:multiLevelType w:val="hybridMultilevel"/>
    <w:lvl w:ilvl="0">
      <w:lvlJc w:val="left"/>
      <w:lvlText w:val="(%1)"/>
      <w:numFmt w:val="lowerLetter"/>
      <w:start w:val="2"/>
    </w:lvl>
    <w:lvl w:ilvl="1">
      <w:lvlJc w:val="left"/>
      <w:lvlText w:val="-"/>
      <w:numFmt w:val="bullet"/>
      <w:start w:val="1"/>
    </w:lvl>
  </w:abstractNum>
  <w:abstractNum w:abstractNumId="291">
    <w:nsid w:val="1D206B8E"/>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292">
    <w:nsid w:val="7934D3D4"/>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293">
    <w:nsid w:val="1C65E98"/>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294">
    <w:nsid w:val="1495E50A"/>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295">
    <w:nsid w:val="F5BCF6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96">
    <w:nsid w:val="3B1DD403"/>
    <w:multiLevelType w:val="hybridMultilevel"/>
    <w:lvl w:ilvl="0">
      <w:lvlJc w:val="left"/>
      <w:lvlText w:val="%1."/>
      <w:numFmt w:val="decimal"/>
      <w:start w:val="12"/>
    </w:lvl>
    <w:lvl w:ilvl="1">
      <w:lvlJc w:val="left"/>
      <w:lvlText w:val="-"/>
      <w:numFmt w:val="bullet"/>
      <w:start w:val="1"/>
    </w:lvl>
  </w:abstractNum>
  <w:abstractNum w:abstractNumId="297">
    <w:nsid w:val="530386D1"/>
    <w:multiLevelType w:val="hybridMultilevel"/>
    <w:lvl w:ilvl="0">
      <w:lvlJc w:val="left"/>
      <w:lvlText w:val="%1."/>
      <w:numFmt w:val="decimal"/>
      <w:start w:val="15"/>
    </w:lvl>
    <w:lvl w:ilvl="1">
      <w:lvlJc w:val="left"/>
      <w:lvlText w:val="-"/>
      <w:numFmt w:val="bullet"/>
      <w:start w:val="1"/>
    </w:lvl>
  </w:abstractNum>
  <w:abstractNum w:abstractNumId="298">
    <w:nsid w:val="7525F2BC"/>
    <w:multiLevelType w:val="hybridMultilevel"/>
    <w:lvl w:ilvl="0">
      <w:lvlJc w:val="left"/>
      <w:lvlText w:val="%1."/>
      <w:numFmt w:val="decimal"/>
      <w:start w:val="22"/>
    </w:lvl>
    <w:lvl w:ilvl="1">
      <w:lvlJc w:val="left"/>
      <w:lvlText w:val="-"/>
      <w:numFmt w:val="bullet"/>
      <w:start w:val="1"/>
    </w:lvl>
  </w:abstractNum>
  <w:abstractNum w:abstractNumId="299">
    <w:nsid w:val="CE8E1A7"/>
    <w:multiLevelType w:val="hybridMultilevel"/>
    <w:lvl w:ilvl="0">
      <w:lvlJc w:val="left"/>
      <w:lvlText w:val="%1."/>
      <w:numFmt w:val="decimal"/>
      <w:start w:val="2"/>
    </w:lvl>
  </w:abstractNum>
  <w:abstractNum w:abstractNumId="300">
    <w:nsid w:val="4E9EFB0D"/>
    <w:multiLevelType w:val="hybridMultilevel"/>
    <w:lvl w:ilvl="0">
      <w:lvlJc w:val="left"/>
      <w:lvlText w:val="%1."/>
      <w:numFmt w:val="decimal"/>
      <w:start w:val="6"/>
    </w:lvl>
  </w:abstractNum>
  <w:abstractNum w:abstractNumId="301">
    <w:nsid w:val="90802B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02">
    <w:nsid w:val="3266459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5"/>
    </w:lvl>
    <w:lvl w:ilvl="4">
      <w:lvlJc w:val="left"/>
      <w:lvlText w:val="-"/>
      <w:numFmt w:val="bullet"/>
      <w:start w:val="1"/>
    </w:lvl>
  </w:abstractNum>
  <w:abstractNum w:abstractNumId="303">
    <w:nsid w:val="3F8B0CBF"/>
    <w:multiLevelType w:val="hybridMultilevel"/>
    <w:lvl w:ilvl="0">
      <w:lvlJc w:val="left"/>
      <w:lvlText w:val="(%1)"/>
      <w:numFmt w:val="decimal"/>
      <w:start w:val="6"/>
    </w:lvl>
    <w:lvl w:ilvl="1">
      <w:lvlJc w:val="left"/>
      <w:lvlText w:val="%2."/>
      <w:numFmt w:val="decimal"/>
      <w:start w:val="4"/>
    </w:lvl>
    <w:lvl w:ilvl="2">
      <w:lvlJc w:val="left"/>
      <w:lvlText w:val="(%3)"/>
      <w:numFmt w:val="lowerLetter"/>
      <w:start w:val="1"/>
    </w:lvl>
    <w:lvl w:ilvl="3">
      <w:lvlJc w:val="left"/>
      <w:lvlText w:val="(%4)"/>
      <w:numFmt w:val="lowerLetter"/>
      <w:start w:val="3"/>
    </w:lvl>
    <w:lvl w:ilvl="4">
      <w:lvlJc w:val="left"/>
      <w:lvlText w:val="-"/>
      <w:numFmt w:val="bullet"/>
      <w:start w:val="1"/>
    </w:lvl>
  </w:abstractNum>
  <w:abstractNum w:abstractNumId="304">
    <w:nsid w:val="37E203AB"/>
    <w:multiLevelType w:val="hybridMultilevel"/>
    <w:lvl w:ilvl="0">
      <w:lvlJc w:val="left"/>
      <w:lvlText w:val="(%1)"/>
      <w:numFmt w:val="lowerLetter"/>
      <w:start w:val="61"/>
    </w:lvl>
    <w:lvl w:ilvl="1">
      <w:lvlJc w:val="left"/>
      <w:lvlText w:val="(%2)"/>
      <w:numFmt w:val="lowerLetter"/>
      <w:start w:val="2"/>
    </w:lvl>
    <w:lvl w:ilvl="2">
      <w:lvlJc w:val="left"/>
      <w:lvlText w:val="-"/>
      <w:numFmt w:val="bullet"/>
      <w:start w:val="1"/>
    </w:lvl>
  </w:abstractNum>
  <w:abstractNum w:abstractNumId="305">
    <w:nsid w:val="2586D60E"/>
    <w:multiLevelType w:val="hybridMultilevel"/>
    <w:lvl w:ilvl="0">
      <w:lvlJc w:val="left"/>
      <w:lvlText w:val="(%1)"/>
      <w:numFmt w:val="lowerLetter"/>
      <w:start w:val="22"/>
    </w:lvl>
    <w:lvl w:ilvl="1">
      <w:lvlJc w:val="left"/>
      <w:lvlText w:val="%2"/>
      <w:numFmt w:val="lowerLetter"/>
      <w:start w:val="1"/>
    </w:lvl>
    <w:lvl w:ilvl="2">
      <w:lvlJc w:val="left"/>
      <w:lvlText w:val="-"/>
      <w:numFmt w:val="bullet"/>
      <w:start w:val="1"/>
    </w:lvl>
  </w:abstractNum>
  <w:abstractNum w:abstractNumId="306">
    <w:nsid w:val="1F3DA4D5"/>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07">
    <w:nsid w:val="74C93698"/>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308">
    <w:nsid w:val="48781401"/>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309">
    <w:nsid w:val="186928D6"/>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
      <w:numFmt w:val="bullet"/>
      <w:start w:val="1"/>
    </w:lvl>
  </w:abstractNum>
  <w:abstractNum w:abstractNumId="310">
    <w:nsid w:val="47195E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11">
    <w:nsid w:val="3746A5F2"/>
    <w:multiLevelType w:val="hybridMultilevel"/>
    <w:lvl w:ilvl="0">
      <w:lvlJc w:val="left"/>
      <w:lvlText w:val="%1."/>
      <w:numFmt w:val="decimal"/>
      <w:start w:val="12"/>
    </w:lvl>
  </w:abstractNum>
  <w:abstractNum w:abstractNumId="312">
    <w:nsid w:val="682DFED6"/>
    <w:multiLevelType w:val="hybridMultilevel"/>
    <w:lvl w:ilvl="0">
      <w:lvlJc w:val="left"/>
      <w:lvlText w:val="%1."/>
      <w:numFmt w:val="decimal"/>
      <w:start w:val="13"/>
    </w:lvl>
    <w:lvl w:ilvl="1">
      <w:lvlJc w:val="left"/>
      <w:lvlText w:val="-"/>
      <w:numFmt w:val="bullet"/>
      <w:start w:val="1"/>
    </w:lvl>
  </w:abstractNum>
  <w:abstractNum w:abstractNumId="313">
    <w:nsid w:val="606ED7F6"/>
    <w:multiLevelType w:val="hybridMultilevel"/>
    <w:lvl w:ilvl="0">
      <w:lvlJc w:val="left"/>
      <w:lvlText w:val="%1."/>
      <w:numFmt w:val="decimal"/>
      <w:start w:val="14"/>
    </w:lvl>
    <w:lvl w:ilvl="1">
      <w:lvlJc w:val="left"/>
      <w:lvlText w:val="-"/>
      <w:numFmt w:val="bullet"/>
      <w:start w:val="1"/>
    </w:lvl>
  </w:abstractNum>
  <w:abstractNum w:abstractNumId="314">
    <w:nsid w:val="2D9DF57D"/>
    <w:multiLevelType w:val="hybridMultilevel"/>
    <w:lvl w:ilvl="0">
      <w:lvlJc w:val="left"/>
      <w:lvlText w:val="%1."/>
      <w:numFmt w:val="decimal"/>
      <w:start w:val="21"/>
    </w:lvl>
    <w:lvl w:ilvl="1">
      <w:lvlJc w:val="left"/>
      <w:lvlText w:val="-"/>
      <w:numFmt w:val="bullet"/>
      <w:start w:val="1"/>
    </w:lvl>
  </w:abstractNum>
  <w:abstractNum w:abstractNumId="315">
    <w:nsid w:val="7FBD7A3E"/>
    <w:multiLevelType w:val="hybridMultilevel"/>
    <w:lvl w:ilvl="0">
      <w:lvlJc w:val="left"/>
      <w:lvlText w:val="%1."/>
      <w:numFmt w:val="decimal"/>
      <w:start w:val="26"/>
    </w:lvl>
  </w:abstractNum>
  <w:abstractNum w:abstractNumId="316">
    <w:nsid w:val="490B7C5"/>
    <w:multiLevelType w:val="hybridMultilevel"/>
    <w:lvl w:ilvl="0">
      <w:lvlJc w:val="left"/>
      <w:lvlText w:val="%1."/>
      <w:numFmt w:val="decimal"/>
      <w:start w:val="1"/>
    </w:lvl>
    <w:lvl w:ilvl="1">
      <w:lvlJc w:val="left"/>
      <w:lvlText w:val="(%2)"/>
      <w:numFmt w:val="lowerLetter"/>
      <w:start w:val="1"/>
    </w:lvl>
  </w:abstractNum>
  <w:abstractNum w:abstractNumId="317">
    <w:nsid w:val="4303A216"/>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318">
    <w:nsid w:val="19B8A08E"/>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319">
    <w:nsid w:val="54B59621"/>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320">
    <w:nsid w:val="5992A02E"/>
    <w:multiLevelType w:val="hybridMultilevel"/>
    <w:lvl w:ilvl="0">
      <w:lvlJc w:val="left"/>
      <w:lvlText w:val="(%1)"/>
      <w:numFmt w:val="lowerLetter"/>
      <w:start w:val="2"/>
    </w:lvl>
    <w:lvl w:ilvl="1">
      <w:lvlJc w:val="left"/>
      <w:lvlText w:val="-"/>
      <w:numFmt w:val="bullet"/>
      <w:start w:val="1"/>
    </w:lvl>
  </w:abstractNum>
  <w:abstractNum w:abstractNumId="321">
    <w:nsid w:val="29EF532D"/>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322">
    <w:nsid w:val="71D601AF"/>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323">
    <w:nsid w:val="52C77402"/>
    <w:multiLevelType w:val="hybridMultilevel"/>
    <w:lvl w:ilvl="0">
      <w:lvlJc w:val="left"/>
      <w:lvlText w:val="%1."/>
      <w:numFmt w:val="decimal"/>
      <w:start w:val="11"/>
    </w:lvl>
  </w:abstractNum>
  <w:abstractNum w:abstractNumId="324">
    <w:nsid w:val="2BB5B1C6"/>
    <w:multiLevelType w:val="hybridMultilevel"/>
    <w:lvl w:ilvl="0">
      <w:lvlJc w:val="left"/>
      <w:lvlText w:val="%1."/>
      <w:numFmt w:val="decimal"/>
      <w:start w:val="13"/>
    </w:lvl>
    <w:lvl w:ilvl="1">
      <w:lvlJc w:val="left"/>
      <w:lvlText w:val="-"/>
      <w:numFmt w:val="bullet"/>
      <w:start w:val="1"/>
    </w:lvl>
  </w:abstractNum>
  <w:abstractNum w:abstractNumId="325">
    <w:nsid w:val="66BE6B9"/>
    <w:multiLevelType w:val="hybridMultilevel"/>
    <w:lvl w:ilvl="0">
      <w:lvlJc w:val="left"/>
      <w:lvlText w:val="%1."/>
      <w:numFmt w:val="decimal"/>
      <w:start w:val="19"/>
    </w:lvl>
    <w:lvl w:ilvl="1">
      <w:lvlJc w:val="left"/>
      <w:lvlText w:val="-"/>
      <w:numFmt w:val="bullet"/>
      <w:start w:val="1"/>
    </w:lvl>
  </w:abstractNum>
  <w:abstractNum w:abstractNumId="326">
    <w:nsid w:val="62234363"/>
    <w:multiLevelType w:val="hybridMultilevel"/>
    <w:lvl w:ilvl="0">
      <w:lvlJc w:val="left"/>
      <w:lvlText w:val="%1."/>
      <w:numFmt w:val="decimal"/>
      <w:start w:val="24"/>
    </w:lvl>
  </w:abstractNum>
  <w:abstractNum w:abstractNumId="327">
    <w:nsid w:val="66D385C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28">
    <w:nsid w:val="596F6D8A"/>
    <w:multiLevelType w:val="hybridMultilevel"/>
    <w:lvl w:ilvl="0">
      <w:lvlJc w:val="left"/>
      <w:lvlText w:val="(%1)"/>
      <w:numFmt w:val="lowerRoman"/>
      <w:start w:val="2"/>
    </w:lvl>
  </w:abstractNum>
  <w:abstractNum w:abstractNumId="329">
    <w:nsid w:val="5749361F"/>
    <w:multiLevelType w:val="hybridMultilevel"/>
    <w:lvl w:ilvl="0">
      <w:lvlJc w:val="left"/>
      <w:lvlText w:val="(%1)"/>
      <w:numFmt w:val="lowerLetter"/>
      <w:start w:val="6"/>
    </w:lvl>
  </w:abstractNum>
  <w:abstractNum w:abstractNumId="330">
    <w:nsid w:val="73BC6770"/>
    <w:multiLevelType w:val="hybridMultilevel"/>
    <w:lvl w:ilvl="0">
      <w:lvlJc w:val="left"/>
      <w:lvlText w:val="(%1)"/>
      <w:numFmt w:val="decimal"/>
      <w:start w:val="3"/>
    </w:lvl>
    <w:lvl w:ilvl="1">
      <w:lvlJc w:val="left"/>
      <w:lvlText w:val="(%2)"/>
      <w:numFmt w:val="lowerLetter"/>
      <w:start w:val="15"/>
    </w:lvl>
    <w:lvl w:ilvl="2">
      <w:lvlJc w:val="left"/>
      <w:lvlText w:val="(%3)"/>
      <w:numFmt w:val="lowerLetter"/>
      <w:start w:val="9"/>
    </w:lvl>
  </w:abstractNum>
  <w:abstractNum w:abstractNumId="331">
    <w:nsid w:val="280E6897"/>
    <w:multiLevelType w:val="hybridMultilevel"/>
    <w:lvl w:ilvl="0">
      <w:lvlJc w:val="left"/>
      <w:lvlText w:val="(%1)"/>
      <w:numFmt w:val="lowerRoman"/>
      <w:start w:val="2"/>
    </w:lvl>
  </w:abstractNum>
  <w:abstractNum w:abstractNumId="332">
    <w:nsid w:val="605138DE"/>
    <w:multiLevelType w:val="hybridMultilevel"/>
    <w:lvl w:ilvl="0">
      <w:lvlJc w:val="left"/>
      <w:lvlText w:val="(%1)"/>
      <w:numFmt w:val="lowerLetter"/>
      <w:start w:val="20"/>
    </w:lvl>
  </w:abstractNum>
  <w:abstractNum w:abstractNumId="333">
    <w:nsid w:val="2622AD0C"/>
    <w:multiLevelType w:val="hybridMultilevel"/>
    <w:lvl w:ilvl="0">
      <w:lvlJc w:val="left"/>
      <w:lvlText w:val="(%1)"/>
      <w:numFmt w:val="lowerLetter"/>
      <w:start w:val="25"/>
    </w:lvl>
  </w:abstractNum>
  <w:abstractNum w:abstractNumId="334">
    <w:nsid w:val="67997556"/>
    <w:multiLevelType w:val="hybridMultilevel"/>
    <w:lvl w:ilvl="0">
      <w:lvlJc w:val="left"/>
      <w:lvlText w:val="(%1)"/>
      <w:numFmt w:val="lowerLetter"/>
      <w:start w:val="27"/>
    </w:lvl>
  </w:abstractNum>
  <w:abstractNum w:abstractNumId="335">
    <w:nsid w:val="18333C89"/>
    <w:multiLevelType w:val="hybridMultilevel"/>
    <w:lvl w:ilvl="0">
      <w:lvlJc w:val="left"/>
      <w:lvlText w:val="%1."/>
      <w:numFmt w:val="decimal"/>
      <w:start w:val="3"/>
    </w:lvl>
  </w:abstractNum>
  <w:abstractNum w:abstractNumId="336">
    <w:nsid w:val="4BA9831A"/>
    <w:multiLevelType w:val="hybridMultilevel"/>
    <w:lvl w:ilvl="0">
      <w:lvlJc w:val="left"/>
      <w:lvlText w:val="%1"/>
      <w:numFmt w:val="decimal"/>
      <w:start w:val="1"/>
    </w:lvl>
    <w:lvl w:ilvl="1">
      <w:lvlJc w:val="left"/>
      <w:lvlText w:val="(%2)"/>
      <w:numFmt w:val="lowerLetter"/>
      <w:start w:val="1"/>
    </w:lvl>
  </w:abstractNum>
  <w:abstractNum w:abstractNumId="337">
    <w:nsid w:val="6D71A2B"/>
    <w:multiLevelType w:val="hybridMultilevel"/>
    <w:lvl w:ilvl="0">
      <w:lvlJc w:val="left"/>
      <w:lvlText w:val="%1."/>
      <w:numFmt w:val="decimal"/>
      <w:start w:val="4"/>
    </w:lvl>
    <w:lvl w:ilvl="1">
      <w:lvlJc w:val="left"/>
      <w:lvlText w:val="%2"/>
      <w:numFmt w:val="lowerLetter"/>
      <w:start w:val="1"/>
    </w:lvl>
  </w:abstractNum>
  <w:abstractNum w:abstractNumId="338">
    <w:nsid w:val="CFC7321"/>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339">
    <w:nsid w:val="1421971B"/>
    <w:multiLevelType w:val="hybridMultilevel"/>
    <w:lvl w:ilvl="0">
      <w:lvlJc w:val="left"/>
      <w:lvlText w:val="(%1)"/>
      <w:numFmt w:val="decimal"/>
      <w:start w:val="10"/>
    </w:lvl>
    <w:lvl w:ilvl="1">
      <w:lvlJc w:val="left"/>
      <w:lvlText w:val="%2."/>
      <w:numFmt w:val="decimal"/>
      <w:start w:val="5"/>
    </w:lvl>
    <w:lvl w:ilvl="2">
      <w:lvlJc w:val="left"/>
      <w:lvlText w:val="(%3)"/>
      <w:numFmt w:val="lowerLetter"/>
      <w:start w:val="2"/>
    </w:lvl>
  </w:abstractNum>
  <w:abstractNum w:abstractNumId="340">
    <w:nsid w:val="1F4043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41">
    <w:nsid w:val="116E0907"/>
    <w:multiLevelType w:val="hybridMultilevel"/>
    <w:lvl w:ilvl="0">
      <w:lvlJc w:val="left"/>
      <w:lvlText w:val="%1"/>
      <w:numFmt w:val="lowerLetter"/>
      <w:start w:val="1"/>
    </w:lvl>
    <w:lvl w:ilvl="1">
      <w:lvlJc w:val="left"/>
      <w:lvlText w:val="(%2)"/>
      <w:numFmt w:val="lowerLetter"/>
      <w:start w:val="4"/>
    </w:lvl>
  </w:abstractNum>
  <w:abstractNum w:abstractNumId="342">
    <w:nsid w:val="4B683D0D"/>
    <w:multiLevelType w:val="hybridMultilevel"/>
    <w:lvl w:ilvl="0">
      <w:lvlJc w:val="left"/>
      <w:lvlText w:val="(%1)"/>
      <w:numFmt w:val="lowerLetter"/>
      <w:start w:val="4"/>
    </w:lvl>
    <w:lvl w:ilvl="1">
      <w:lvlJc w:val="left"/>
      <w:lvlText w:val="(%2)"/>
      <w:numFmt w:val="lowerLetter"/>
      <w:start w:val="5"/>
    </w:lvl>
  </w:abstractNum>
  <w:abstractNum w:abstractNumId="343">
    <w:nsid w:val="76E41D8"/>
    <w:multiLevelType w:val="hybridMultilevel"/>
    <w:lvl w:ilvl="0">
      <w:lvlJc w:val="left"/>
      <w:lvlText w:val="%1."/>
      <w:numFmt w:val="decimal"/>
      <w:start w:val="7"/>
    </w:lvl>
    <w:lvl w:ilvl="1">
      <w:lvlJc w:val="left"/>
      <w:lvlText w:val="(%2)"/>
      <w:numFmt w:val="lowerLetter"/>
      <w:start w:val="1"/>
    </w:lvl>
  </w:abstractNum>
  <w:abstractNum w:abstractNumId="344">
    <w:nsid w:val="71DCE0FD"/>
    <w:multiLevelType w:val="hybridMultilevel"/>
    <w:lvl w:ilvl="0">
      <w:lvlJc w:val="left"/>
      <w:lvlText w:val="%1"/>
      <w:numFmt w:val="decimal"/>
      <w:start w:val="1"/>
    </w:lvl>
    <w:lvl w:ilvl="1">
      <w:lvlJc w:val="left"/>
      <w:lvlText w:val="(%2)"/>
      <w:numFmt w:val="lowerLetter"/>
      <w:start w:val="2"/>
    </w:lvl>
  </w:abstractNum>
  <w:abstractNum w:abstractNumId="345">
    <w:nsid w:val="7906328B"/>
    <w:multiLevelType w:val="hybridMultilevel"/>
    <w:lvl w:ilvl="0">
      <w:lvlJc w:val="left"/>
      <w:lvlText w:val="%1."/>
      <w:numFmt w:val="decimal"/>
      <w:start w:val="9"/>
    </w:lvl>
    <w:lvl w:ilvl="1">
      <w:lvlJc w:val="left"/>
      <w:lvlText w:val="(%2)"/>
      <w:numFmt w:val="lowerLetter"/>
      <w:start w:val="1"/>
    </w:lvl>
  </w:abstractNum>
  <w:abstractNum w:abstractNumId="346">
    <w:nsid w:val="72BBC16"/>
    <w:multiLevelType w:val="hybridMultilevel"/>
    <w:lvl w:ilvl="0">
      <w:lvlJc w:val="left"/>
      <w:lvlText w:val="%1"/>
      <w:numFmt w:val="decimal"/>
      <w:start w:val="1"/>
    </w:lvl>
    <w:lvl w:ilvl="1">
      <w:lvlJc w:val="left"/>
      <w:lvlText w:val="(%2)"/>
      <w:numFmt w:val="lowerLetter"/>
      <w:start w:val="2"/>
    </w:lvl>
  </w:abstractNum>
  <w:abstractNum w:abstractNumId="347">
    <w:nsid w:val="766D98C2"/>
    <w:multiLevelType w:val="hybridMultilevel"/>
    <w:lvl w:ilvl="0">
      <w:lvlJc w:val="left"/>
      <w:lvlText w:val="%1."/>
      <w:numFmt w:val="decimal"/>
      <w:start w:val="11"/>
    </w:lvl>
    <w:lvl w:ilvl="1">
      <w:lvlJc w:val="left"/>
      <w:lvlText w:val="(%2)"/>
      <w:numFmt w:val="lowerLetter"/>
      <w:start w:val="1"/>
    </w:lvl>
  </w:abstractNum>
  <w:abstractNum w:abstractNumId="348">
    <w:nsid w:val="3C09D4A1"/>
    <w:multiLevelType w:val="hybridMultilevel"/>
    <w:lvl w:ilvl="0">
      <w:lvlJc w:val="left"/>
      <w:lvlText w:val="(%1)"/>
      <w:numFmt w:val="lowerLetter"/>
      <w:start w:val="35"/>
    </w:lvl>
    <w:lvl w:ilvl="1">
      <w:lvlJc w:val="left"/>
      <w:lvlText w:val="%2."/>
      <w:numFmt w:val="decimal"/>
      <w:start w:val="13"/>
    </w:lvl>
    <w:lvl w:ilvl="2">
      <w:lvlJc w:val="left"/>
      <w:lvlText w:val="(%3)"/>
      <w:numFmt w:val="lowerLetter"/>
      <w:start w:val="2"/>
    </w:lvl>
  </w:abstractNum>
  <w:abstractNum w:abstractNumId="349">
    <w:nsid w:val="20E45CA4"/>
    <w:multiLevelType w:val="hybridMultilevel"/>
    <w:lvl w:ilvl="0">
      <w:lvlJc w:val="left"/>
      <w:lvlText w:val="%1."/>
      <w:numFmt w:val="decimal"/>
      <w:start w:val="15"/>
    </w:lvl>
    <w:lvl w:ilvl="1">
      <w:lvlJc w:val="left"/>
      <w:lvlText w:val="(%2)"/>
      <w:numFmt w:val="lowerLetter"/>
      <w:start w:val="1"/>
    </w:lvl>
  </w:abstractNum>
  <w:abstractNum w:abstractNumId="350">
    <w:nsid w:val="4B232EE3"/>
    <w:multiLevelType w:val="hybridMultilevel"/>
    <w:lvl w:ilvl="0">
      <w:lvlJc w:val="left"/>
      <w:lvlText w:val="%1"/>
      <w:numFmt w:val="decimal"/>
      <w:start w:val="1"/>
    </w:lvl>
    <w:lvl w:ilvl="1">
      <w:lvlJc w:val="left"/>
      <w:lvlText w:val="(%2)"/>
      <w:numFmt w:val="lowerLetter"/>
      <w:start w:val="3"/>
    </w:lvl>
  </w:abstractNum>
  <w:abstractNum w:abstractNumId="351">
    <w:nsid w:val="159C74CF"/>
    <w:multiLevelType w:val="hybridMultilevel"/>
    <w:lvl w:ilvl="0">
      <w:lvlJc w:val="left"/>
      <w:lvlText w:val="%1."/>
      <w:numFmt w:val="decimal"/>
      <w:start w:val="19"/>
    </w:lvl>
    <w:lvl w:ilvl="1">
      <w:lvlJc w:val="left"/>
      <w:lvlText w:val="(%2)"/>
      <w:numFmt w:val="lowerLetter"/>
      <w:start w:val="1"/>
    </w:lvl>
  </w:abstractNum>
  <w:abstractNum w:abstractNumId="352">
    <w:nsid w:val="4AD3AFD2"/>
    <w:multiLevelType w:val="hybridMultilevel"/>
    <w:lvl w:ilvl="0">
      <w:lvlJc w:val="left"/>
      <w:lvlText w:val="(%1)"/>
      <w:numFmt w:val="lowerRoman"/>
      <w:start w:val="1"/>
    </w:lvl>
  </w:abstractNum>
  <w:abstractNum w:abstractNumId="353">
    <w:nsid w:val="3CF93092"/>
    <w:multiLevelType w:val="hybridMultilevel"/>
    <w:lvl w:ilvl="0">
      <w:lvlJc w:val="left"/>
      <w:lvlText w:val="%1."/>
      <w:numFmt w:val="decimal"/>
      <w:start w:val="20"/>
    </w:lvl>
  </w:abstractNum>
  <w:abstractNum w:abstractNumId="354">
    <w:nsid w:val="6863E8D2"/>
    <w:multiLevelType w:val="hybridMultilevel"/>
    <w:lvl w:ilvl="0">
      <w:lvlJc w:val="left"/>
      <w:lvlText w:val="%1."/>
      <w:numFmt w:val="decimal"/>
      <w:start w:val="22"/>
    </w:lvl>
  </w:abstractNum>
  <w:abstractNum w:abstractNumId="355">
    <w:nsid w:val="76896198"/>
    <w:multiLevelType w:val="hybridMultilevel"/>
    <w:lvl w:ilvl="0">
      <w:lvlJc w:val="left"/>
      <w:lvlText w:val="%1."/>
      <w:numFmt w:val="decimal"/>
      <w:start w:val="23"/>
    </w:lvl>
  </w:abstractNum>
  <w:abstractNum w:abstractNumId="356">
    <w:nsid w:val="4365174B"/>
    <w:multiLevelType w:val="hybridMultilevel"/>
    <w:lvl w:ilvl="0">
      <w:lvlJc w:val="left"/>
      <w:lvlText w:val="%1."/>
      <w:numFmt w:val="decimal"/>
      <w:start w:val="26"/>
    </w:lvl>
  </w:abstractNum>
  <w:abstractNum w:abstractNumId="357">
    <w:nsid w:val="4A872C35"/>
    <w:multiLevelType w:val="hybridMultilevel"/>
    <w:lvl w:ilvl="0">
      <w:lvlJc w:val="left"/>
      <w:lvlText w:val="%1."/>
      <w:numFmt w:val="decimal"/>
      <w:start w:val="3"/>
    </w:lvl>
  </w:abstractNum>
  <w:abstractNum w:abstractNumId="358">
    <w:nsid w:val="5D5CE761"/>
    <w:multiLevelType w:val="hybridMultilevel"/>
    <w:lvl w:ilvl="0">
      <w:lvlJc w:val="left"/>
      <w:lvlText w:val="%1."/>
      <w:numFmt w:val="decimal"/>
      <w:start w:val="6"/>
    </w:lvl>
  </w:abstractNum>
  <w:abstractNum w:abstractNumId="359">
    <w:nsid w:val="1CD484D5"/>
    <w:multiLevelType w:val="hybridMultilevel"/>
    <w:lvl w:ilvl="0">
      <w:lvlJc w:val="left"/>
      <w:lvlText w:val="%1."/>
      <w:numFmt w:val="decimal"/>
      <w:start w:val="7"/>
    </w:lvl>
  </w:abstractNum>
  <w:abstractNum w:abstractNumId="360">
    <w:nsid w:val="21D06255"/>
    <w:multiLevelType w:val="hybridMultilevel"/>
    <w:lvl w:ilvl="0">
      <w:lvlJc w:val="left"/>
      <w:lvlText w:val=","/>
      <w:numFmt w:val="bullet"/>
      <w:start w:val="1"/>
    </w:lvl>
  </w:abstractNum>
  <w:abstractNum w:abstractNumId="361">
    <w:nsid w:val="51194ED1"/>
    <w:multiLevelType w:val="hybridMultilevel"/>
    <w:lvl w:ilvl="0">
      <w:lvlJc w:val="left"/>
      <w:lvlText w:val="%1."/>
      <w:numFmt w:val="decimal"/>
      <w:start w:val="1"/>
    </w:lvl>
  </w:abstractNum>
  <w:abstractNum w:abstractNumId="362">
    <w:nsid w:val="44E2ED6C"/>
    <w:multiLevelType w:val="hybridMultilevel"/>
    <w:lvl w:ilvl="0">
      <w:lvlJc w:val="left"/>
      <w:lvlText w:val="%1."/>
      <w:numFmt w:val="decimal"/>
      <w:start w:val="2"/>
    </w:lvl>
  </w:abstractNum>
  <w:abstractNum w:abstractNumId="363">
    <w:nsid w:val="2219B33"/>
    <w:multiLevelType w:val="hybridMultilevel"/>
    <w:lvl w:ilvl="0">
      <w:lvlJc w:val="left"/>
      <w:lvlText w:val="(%1)"/>
      <w:numFmt w:val="lowerLetter"/>
      <w:start w:val="1"/>
    </w:lvl>
  </w:abstractNum>
  <w:abstractNum w:abstractNumId="364">
    <w:nsid w:val="773BFBDD"/>
    <w:multiLevelType w:val="hybridMultilevel"/>
    <w:lvl w:ilvl="0">
      <w:lvlJc w:val="left"/>
      <w:lvlText w:val="(%1)"/>
      <w:numFmt w:val="lowerLetter"/>
      <w:start w:val="3"/>
    </w:lvl>
  </w:abstractNum>
  <w:abstractNum w:abstractNumId="365">
    <w:nsid w:val="2C7C62C2"/>
    <w:multiLevelType w:val="hybridMultilevel"/>
    <w:lvl w:ilvl="0">
      <w:lvlJc w:val="left"/>
      <w:lvlText w:val="%1."/>
      <w:numFmt w:val="decimal"/>
      <w:start w:val="3"/>
    </w:lvl>
  </w:abstractNum>
  <w:abstractNum w:abstractNumId="366">
    <w:nsid w:val="1A54D7BC"/>
    <w:multiLevelType w:val="hybridMultilevel"/>
    <w:lvl w:ilvl="0">
      <w:lvlJc w:val="left"/>
      <w:lvlText w:val="%1."/>
      <w:numFmt w:val="decimal"/>
      <w:start w:val="4"/>
    </w:lvl>
  </w:abstractNum>
  <w:abstractNum w:abstractNumId="367">
    <w:nsid w:val="42E57EF7"/>
    <w:multiLevelType w:val="hybridMultilevel"/>
    <w:lvl w:ilvl="0">
      <w:lvlJc w:val="left"/>
      <w:lvlText w:val="%1."/>
      <w:numFmt w:val="decimal"/>
      <w:start w:val="5"/>
    </w:lvl>
  </w:abstractNum>
  <w:abstractNum w:abstractNumId="368">
    <w:nsid w:val="33537CED"/>
    <w:multiLevelType w:val="hybridMultilevel"/>
    <w:lvl w:ilvl="0">
      <w:lvlJc w:val="left"/>
      <w:lvlText w:val="%1."/>
      <w:numFmt w:val="decimal"/>
      <w:start w:val="6"/>
    </w:lvl>
  </w:abstractNum>
  <w:abstractNum w:abstractNumId="369">
    <w:nsid w:val="27514ADE"/>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49"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5" Type="http://schemas.openxmlformats.org/officeDocument/2006/relationships/image" Target="media/image389.png"/><Relationship Id="rId416" Type="http://schemas.openxmlformats.org/officeDocument/2006/relationships/image" Target="media/image390.png"/><Relationship Id="rId417" Type="http://schemas.openxmlformats.org/officeDocument/2006/relationships/image" Target="media/image391.png"/><Relationship Id="rId418" Type="http://schemas.openxmlformats.org/officeDocument/2006/relationships/image" Target="media/image392.png"/><Relationship Id="rId419" Type="http://schemas.openxmlformats.org/officeDocument/2006/relationships/image" Target="media/image393.png"/><Relationship Id="rId420" Type="http://schemas.openxmlformats.org/officeDocument/2006/relationships/image" Target="media/image394.png"/><Relationship Id="rId421" Type="http://schemas.openxmlformats.org/officeDocument/2006/relationships/image" Target="media/image395.png"/><Relationship Id="rId422" Type="http://schemas.openxmlformats.org/officeDocument/2006/relationships/image" Target="media/image396.png"/><Relationship Id="rId423" Type="http://schemas.openxmlformats.org/officeDocument/2006/relationships/image" Target="media/image397.png"/><Relationship Id="rId424" Type="http://schemas.openxmlformats.org/officeDocument/2006/relationships/image" Target="media/image398.png"/><Relationship Id="rId425" Type="http://schemas.openxmlformats.org/officeDocument/2006/relationships/image" Target="media/image399.png"/><Relationship Id="rId426" Type="http://schemas.openxmlformats.org/officeDocument/2006/relationships/image" Target="media/image400.png"/><Relationship Id="rId427" Type="http://schemas.openxmlformats.org/officeDocument/2006/relationships/image" Target="media/image401.png"/><Relationship Id="rId428" Type="http://schemas.openxmlformats.org/officeDocument/2006/relationships/image" Target="media/image402.png"/><Relationship Id="rId429" Type="http://schemas.openxmlformats.org/officeDocument/2006/relationships/image" Target="media/image403.png"/><Relationship Id="rId430" Type="http://schemas.openxmlformats.org/officeDocument/2006/relationships/image" Target="media/image404.png"/><Relationship Id="rId431" Type="http://schemas.openxmlformats.org/officeDocument/2006/relationships/image" Target="media/image405.png"/><Relationship Id="rId432" Type="http://schemas.openxmlformats.org/officeDocument/2006/relationships/image" Target="media/image406.png"/><Relationship Id="rId433" Type="http://schemas.openxmlformats.org/officeDocument/2006/relationships/image" Target="media/image407.png"/><Relationship Id="rId434" Type="http://schemas.openxmlformats.org/officeDocument/2006/relationships/image" Target="media/image408.png"/><Relationship Id="rId435" Type="http://schemas.openxmlformats.org/officeDocument/2006/relationships/image" Target="media/image409.jpeg"/><Relationship Id="rId436" Type="http://schemas.openxmlformats.org/officeDocument/2006/relationships/image" Target="media/image410.png"/><Relationship Id="rId437" Type="http://schemas.openxmlformats.org/officeDocument/2006/relationships/image" Target="media/image411.jpeg"/><Relationship Id="rId438" Type="http://schemas.openxmlformats.org/officeDocument/2006/relationships/image" Target="media/image412.png"/><Relationship Id="rId439" Type="http://schemas.openxmlformats.org/officeDocument/2006/relationships/image" Target="media/image413.png"/><Relationship Id="rId440" Type="http://schemas.openxmlformats.org/officeDocument/2006/relationships/image" Target="media/image414.png"/><Relationship Id="rId441" Type="http://schemas.openxmlformats.org/officeDocument/2006/relationships/image" Target="media/image415.png"/><Relationship Id="rId442" Type="http://schemas.openxmlformats.org/officeDocument/2006/relationships/image" Target="media/image416.png"/><Relationship Id="rId443" Type="http://schemas.openxmlformats.org/officeDocument/2006/relationships/image" Target="media/image417.png"/><Relationship Id="rId444" Type="http://schemas.openxmlformats.org/officeDocument/2006/relationships/image" Target="media/image418.png"/><Relationship Id="rId445" Type="http://schemas.openxmlformats.org/officeDocument/2006/relationships/image" Target="media/image419.png"/><Relationship Id="rId446" Type="http://schemas.openxmlformats.org/officeDocument/2006/relationships/image" Target="media/image420.png"/><Relationship Id="rId447" Type="http://schemas.openxmlformats.org/officeDocument/2006/relationships/image" Target="media/image421.png"/><Relationship Id="rId448" Type="http://schemas.openxmlformats.org/officeDocument/2006/relationships/image" Target="media/image422.png"/><Relationship Id="rId449" Type="http://schemas.openxmlformats.org/officeDocument/2006/relationships/image" Target="media/image423.png"/><Relationship Id="rId450" Type="http://schemas.openxmlformats.org/officeDocument/2006/relationships/image" Target="media/image424.png"/><Relationship Id="rId451" Type="http://schemas.openxmlformats.org/officeDocument/2006/relationships/image" Target="media/image425.png"/><Relationship Id="rId452" Type="http://schemas.openxmlformats.org/officeDocument/2006/relationships/image" Target="media/image426.png"/><Relationship Id="rId453" Type="http://schemas.openxmlformats.org/officeDocument/2006/relationships/image" Target="media/image427.png"/><Relationship Id="rId454" Type="http://schemas.openxmlformats.org/officeDocument/2006/relationships/image" Target="media/image428.png"/><Relationship Id="rId455" Type="http://schemas.openxmlformats.org/officeDocument/2006/relationships/image" Target="media/image429.png"/><Relationship Id="rId456" Type="http://schemas.openxmlformats.org/officeDocument/2006/relationships/image" Target="media/image430.png"/><Relationship Id="rId457" Type="http://schemas.openxmlformats.org/officeDocument/2006/relationships/image" Target="media/image431.png"/><Relationship Id="rId458" Type="http://schemas.openxmlformats.org/officeDocument/2006/relationships/image" Target="media/image432.png"/><Relationship Id="rId459" Type="http://schemas.openxmlformats.org/officeDocument/2006/relationships/image" Target="media/image433.png"/><Relationship Id="rId460" Type="http://schemas.openxmlformats.org/officeDocument/2006/relationships/image" Target="media/image434.png"/><Relationship Id="rId461" Type="http://schemas.openxmlformats.org/officeDocument/2006/relationships/image" Target="media/image435.png"/><Relationship Id="rId462" Type="http://schemas.openxmlformats.org/officeDocument/2006/relationships/image" Target="media/image436.png"/><Relationship Id="rId463" Type="http://schemas.openxmlformats.org/officeDocument/2006/relationships/image" Target="media/image437.png"/><Relationship Id="rId464" Type="http://schemas.openxmlformats.org/officeDocument/2006/relationships/image" Target="media/image438.png"/><Relationship Id="rId465" Type="http://schemas.openxmlformats.org/officeDocument/2006/relationships/image" Target="media/image439.png"/><Relationship Id="rId466" Type="http://schemas.openxmlformats.org/officeDocument/2006/relationships/image" Target="media/image440.png"/><Relationship Id="rId467" Type="http://schemas.openxmlformats.org/officeDocument/2006/relationships/image" Target="media/image441.png"/><Relationship Id="rId468" Type="http://schemas.openxmlformats.org/officeDocument/2006/relationships/image" Target="media/image442.png"/><Relationship Id="rId469" Type="http://schemas.openxmlformats.org/officeDocument/2006/relationships/image" Target="media/image443.png"/><Relationship Id="rId470" Type="http://schemas.openxmlformats.org/officeDocument/2006/relationships/image" Target="media/image444.png"/><Relationship Id="rId471" Type="http://schemas.openxmlformats.org/officeDocument/2006/relationships/image" Target="media/image445.png"/><Relationship Id="rId472" Type="http://schemas.openxmlformats.org/officeDocument/2006/relationships/image" Target="media/image446.png"/><Relationship Id="rId473" Type="http://schemas.openxmlformats.org/officeDocument/2006/relationships/image" Target="media/image447.png"/><Relationship Id="rId474" Type="http://schemas.openxmlformats.org/officeDocument/2006/relationships/image" Target="media/image448.png"/><Relationship Id="rId475" Type="http://schemas.openxmlformats.org/officeDocument/2006/relationships/image" Target="media/image449.png"/><Relationship Id="rId476" Type="http://schemas.openxmlformats.org/officeDocument/2006/relationships/image" Target="media/image450.png"/><Relationship Id="rId477" Type="http://schemas.openxmlformats.org/officeDocument/2006/relationships/image" Target="media/image451.png"/><Relationship Id="rId478" Type="http://schemas.openxmlformats.org/officeDocument/2006/relationships/image" Target="media/image452.png"/><Relationship Id="rId479" Type="http://schemas.openxmlformats.org/officeDocument/2006/relationships/image" Target="media/image453.png"/><Relationship Id="rId480" Type="http://schemas.openxmlformats.org/officeDocument/2006/relationships/image" Target="media/image454.png"/><Relationship Id="rId481" Type="http://schemas.openxmlformats.org/officeDocument/2006/relationships/image" Target="media/image455.png"/><Relationship Id="rId482" Type="http://schemas.openxmlformats.org/officeDocument/2006/relationships/image" Target="media/image456.png"/><Relationship Id="rId483" Type="http://schemas.openxmlformats.org/officeDocument/2006/relationships/image" Target="media/image457.png"/><Relationship Id="rId484" Type="http://schemas.openxmlformats.org/officeDocument/2006/relationships/image" Target="media/image458.png"/><Relationship Id="rId485" Type="http://schemas.openxmlformats.org/officeDocument/2006/relationships/image" Target="media/image459.png"/><Relationship Id="rId486" Type="http://schemas.openxmlformats.org/officeDocument/2006/relationships/image" Target="media/image460.png"/><Relationship Id="rId487" Type="http://schemas.openxmlformats.org/officeDocument/2006/relationships/image" Target="media/image461.png"/><Relationship Id="rId488" Type="http://schemas.openxmlformats.org/officeDocument/2006/relationships/image" Target="media/image462.png"/><Relationship Id="rId489" Type="http://schemas.openxmlformats.org/officeDocument/2006/relationships/image" Target="media/image463.png"/><Relationship Id="rId490" Type="http://schemas.openxmlformats.org/officeDocument/2006/relationships/image" Target="media/image464.png"/><Relationship Id="rId491" Type="http://schemas.openxmlformats.org/officeDocument/2006/relationships/image" Target="media/image465.png"/><Relationship Id="rId492" Type="http://schemas.openxmlformats.org/officeDocument/2006/relationships/image" Target="media/image466.png"/><Relationship Id="rId493" Type="http://schemas.openxmlformats.org/officeDocument/2006/relationships/image" Target="media/image467.png"/><Relationship Id="rId494" Type="http://schemas.openxmlformats.org/officeDocument/2006/relationships/image" Target="media/image468.png"/><Relationship Id="rId495" Type="http://schemas.openxmlformats.org/officeDocument/2006/relationships/image" Target="media/image469.png"/><Relationship Id="rId496" Type="http://schemas.openxmlformats.org/officeDocument/2006/relationships/image" Target="media/image470.png"/><Relationship Id="rId497" Type="http://schemas.openxmlformats.org/officeDocument/2006/relationships/image" Target="media/image471.png"/><Relationship Id="rId498" Type="http://schemas.openxmlformats.org/officeDocument/2006/relationships/image" Target="media/image472.png"/><Relationship Id="rId499" Type="http://schemas.openxmlformats.org/officeDocument/2006/relationships/image" Target="media/image473.png"/><Relationship Id="rId500" Type="http://schemas.openxmlformats.org/officeDocument/2006/relationships/image" Target="media/image474.png"/><Relationship Id="rId501" Type="http://schemas.openxmlformats.org/officeDocument/2006/relationships/image" Target="media/image475.png"/><Relationship Id="rId502" Type="http://schemas.openxmlformats.org/officeDocument/2006/relationships/image" Target="media/image476.png"/><Relationship Id="rId503" Type="http://schemas.openxmlformats.org/officeDocument/2006/relationships/image" Target="media/image477.png"/><Relationship Id="rId504" Type="http://schemas.openxmlformats.org/officeDocument/2006/relationships/image" Target="media/image478.png"/><Relationship Id="rId505" Type="http://schemas.openxmlformats.org/officeDocument/2006/relationships/image" Target="media/image479.png"/><Relationship Id="rId506" Type="http://schemas.openxmlformats.org/officeDocument/2006/relationships/image" Target="media/image480.png"/><Relationship Id="rId507" Type="http://schemas.openxmlformats.org/officeDocument/2006/relationships/image" Target="media/image481.png"/><Relationship Id="rId508" Type="http://schemas.openxmlformats.org/officeDocument/2006/relationships/image" Target="media/image482.png"/><Relationship Id="rId509" Type="http://schemas.openxmlformats.org/officeDocument/2006/relationships/image" Target="media/image483.png"/><Relationship Id="rId510" Type="http://schemas.openxmlformats.org/officeDocument/2006/relationships/image" Target="media/image484.png"/><Relationship Id="rId511" Type="http://schemas.openxmlformats.org/officeDocument/2006/relationships/image" Target="media/image485.png"/><Relationship Id="rId512" Type="http://schemas.openxmlformats.org/officeDocument/2006/relationships/image" Target="media/image486.png"/><Relationship Id="rId513" Type="http://schemas.openxmlformats.org/officeDocument/2006/relationships/image" Target="media/image487.png"/><Relationship Id="rId514" Type="http://schemas.openxmlformats.org/officeDocument/2006/relationships/image" Target="media/image488.png"/><Relationship Id="rId515" Type="http://schemas.openxmlformats.org/officeDocument/2006/relationships/image" Target="media/image489.png"/><Relationship Id="rId516" Type="http://schemas.openxmlformats.org/officeDocument/2006/relationships/image" Target="media/image490.png"/><Relationship Id="rId517" Type="http://schemas.openxmlformats.org/officeDocument/2006/relationships/image" Target="media/image491.png"/><Relationship Id="rId518" Type="http://schemas.openxmlformats.org/officeDocument/2006/relationships/image" Target="media/image492.png"/><Relationship Id="rId519" Type="http://schemas.openxmlformats.org/officeDocument/2006/relationships/image" Target="media/image493.png"/><Relationship Id="rId520" Type="http://schemas.openxmlformats.org/officeDocument/2006/relationships/image" Target="media/image494.png"/><Relationship Id="rId521" Type="http://schemas.openxmlformats.org/officeDocument/2006/relationships/image" Target="media/image495.png"/><Relationship Id="rId522" Type="http://schemas.openxmlformats.org/officeDocument/2006/relationships/image" Target="media/image496.png"/><Relationship Id="rId523" Type="http://schemas.openxmlformats.org/officeDocument/2006/relationships/image" Target="media/image497.png"/><Relationship Id="rId524" Type="http://schemas.openxmlformats.org/officeDocument/2006/relationships/image" Target="media/image498.png"/><Relationship Id="rId525" Type="http://schemas.openxmlformats.org/officeDocument/2006/relationships/image" Target="media/image499.png"/><Relationship Id="rId526" Type="http://schemas.openxmlformats.org/officeDocument/2006/relationships/image" Target="media/image500.png"/><Relationship Id="rId527" Type="http://schemas.openxmlformats.org/officeDocument/2006/relationships/image" Target="media/image501.png"/><Relationship Id="rId528" Type="http://schemas.openxmlformats.org/officeDocument/2006/relationships/image" Target="media/image502.png"/><Relationship Id="rId529" Type="http://schemas.openxmlformats.org/officeDocument/2006/relationships/image" Target="media/image503.png"/><Relationship Id="rId530" Type="http://schemas.openxmlformats.org/officeDocument/2006/relationships/image" Target="media/image504.png"/><Relationship Id="rId531" Type="http://schemas.openxmlformats.org/officeDocument/2006/relationships/image" Target="media/image505.png"/><Relationship Id="rId532" Type="http://schemas.openxmlformats.org/officeDocument/2006/relationships/image" Target="media/image506.png"/><Relationship Id="rId533" Type="http://schemas.openxmlformats.org/officeDocument/2006/relationships/image" Target="media/image507.png"/><Relationship Id="rId534" Type="http://schemas.openxmlformats.org/officeDocument/2006/relationships/image" Target="media/image508.png"/><Relationship Id="rId535" Type="http://schemas.openxmlformats.org/officeDocument/2006/relationships/image" Target="media/image509.png"/><Relationship Id="rId536" Type="http://schemas.openxmlformats.org/officeDocument/2006/relationships/image" Target="media/image510.png"/><Relationship Id="rId537" Type="http://schemas.openxmlformats.org/officeDocument/2006/relationships/image" Target="media/image511.png"/><Relationship Id="rId538" Type="http://schemas.openxmlformats.org/officeDocument/2006/relationships/image" Target="media/image512.png"/><Relationship Id="rId539" Type="http://schemas.openxmlformats.org/officeDocument/2006/relationships/image" Target="media/image513.png"/><Relationship Id="rId540" Type="http://schemas.openxmlformats.org/officeDocument/2006/relationships/image" Target="media/image514.png"/><Relationship Id="rId541" Type="http://schemas.openxmlformats.org/officeDocument/2006/relationships/image" Target="media/image515.png"/><Relationship Id="rId542" Type="http://schemas.openxmlformats.org/officeDocument/2006/relationships/image" Target="media/image516.png"/><Relationship Id="rId543" Type="http://schemas.openxmlformats.org/officeDocument/2006/relationships/image" Target="media/image517.png"/><Relationship Id="rId544" Type="http://schemas.openxmlformats.org/officeDocument/2006/relationships/image" Target="media/image518.png"/><Relationship Id="rId545" Type="http://schemas.openxmlformats.org/officeDocument/2006/relationships/image" Target="media/image519.png"/><Relationship Id="rId546" Type="http://schemas.openxmlformats.org/officeDocument/2006/relationships/image" Target="media/image520.png"/><Relationship Id="rId547" Type="http://schemas.openxmlformats.org/officeDocument/2006/relationships/image" Target="media/image521.png"/><Relationship Id="rId548" Type="http://schemas.openxmlformats.org/officeDocument/2006/relationships/image" Target="media/image522.png"/><Relationship Id="rId549" Type="http://schemas.openxmlformats.org/officeDocument/2006/relationships/image" Target="media/image523.png"/><Relationship Id="rId550" Type="http://schemas.openxmlformats.org/officeDocument/2006/relationships/image" Target="media/image524.png"/><Relationship Id="rId551" Type="http://schemas.openxmlformats.org/officeDocument/2006/relationships/image" Target="media/image525.png"/><Relationship Id="rId552" Type="http://schemas.openxmlformats.org/officeDocument/2006/relationships/image" Target="media/image526.png"/><Relationship Id="rId553" Type="http://schemas.openxmlformats.org/officeDocument/2006/relationships/image" Target="media/image527.png"/><Relationship Id="rId554" Type="http://schemas.openxmlformats.org/officeDocument/2006/relationships/image" Target="media/image528.png"/><Relationship Id="rId555" Type="http://schemas.openxmlformats.org/officeDocument/2006/relationships/image" Target="media/image529.png"/><Relationship Id="rId556" Type="http://schemas.openxmlformats.org/officeDocument/2006/relationships/image" Target="media/image530.png"/><Relationship Id="rId557" Type="http://schemas.openxmlformats.org/officeDocument/2006/relationships/image" Target="media/image531.png"/><Relationship Id="rId558" Type="http://schemas.openxmlformats.org/officeDocument/2006/relationships/image" Target="media/image532.png"/><Relationship Id="rId559" Type="http://schemas.openxmlformats.org/officeDocument/2006/relationships/image" Target="media/image533.png"/><Relationship Id="rId560" Type="http://schemas.openxmlformats.org/officeDocument/2006/relationships/image" Target="media/image534.png"/><Relationship Id="rId561" Type="http://schemas.openxmlformats.org/officeDocument/2006/relationships/image" Target="media/image535.png"/><Relationship Id="rId562" Type="http://schemas.openxmlformats.org/officeDocument/2006/relationships/image" Target="media/image536.png"/><Relationship Id="rId563" Type="http://schemas.openxmlformats.org/officeDocument/2006/relationships/image" Target="media/image537.png"/><Relationship Id="rId564" Type="http://schemas.openxmlformats.org/officeDocument/2006/relationships/image" Target="media/image538.png"/><Relationship Id="rId565" Type="http://schemas.openxmlformats.org/officeDocument/2006/relationships/image" Target="media/image539.png"/><Relationship Id="rId566" Type="http://schemas.openxmlformats.org/officeDocument/2006/relationships/image" Target="media/image540.png"/><Relationship Id="rId567" Type="http://schemas.openxmlformats.org/officeDocument/2006/relationships/image" Target="media/image541.png"/><Relationship Id="rId568" Type="http://schemas.openxmlformats.org/officeDocument/2006/relationships/image" Target="media/image542.png"/><Relationship Id="rId569" Type="http://schemas.openxmlformats.org/officeDocument/2006/relationships/image" Target="media/image543.png"/><Relationship Id="rId570" Type="http://schemas.openxmlformats.org/officeDocument/2006/relationships/image" Target="media/image544.png"/><Relationship Id="rId571" Type="http://schemas.openxmlformats.org/officeDocument/2006/relationships/image" Target="media/image545.png"/><Relationship Id="rId572" Type="http://schemas.openxmlformats.org/officeDocument/2006/relationships/image" Target="media/image546.png"/><Relationship Id="rId573" Type="http://schemas.openxmlformats.org/officeDocument/2006/relationships/image" Target="media/image547.png"/><Relationship Id="rId574" Type="http://schemas.openxmlformats.org/officeDocument/2006/relationships/image" Target="media/image548.png"/><Relationship Id="rId575" Type="http://schemas.openxmlformats.org/officeDocument/2006/relationships/image" Target="media/image549.png"/><Relationship Id="rId576" Type="http://schemas.openxmlformats.org/officeDocument/2006/relationships/image" Target="media/image550.png"/><Relationship Id="rId577" Type="http://schemas.openxmlformats.org/officeDocument/2006/relationships/image" Target="media/image551.png"/><Relationship Id="rId578" Type="http://schemas.openxmlformats.org/officeDocument/2006/relationships/image" Target="media/image552.png"/><Relationship Id="rId579" Type="http://schemas.openxmlformats.org/officeDocument/2006/relationships/image" Target="media/image553.png"/><Relationship Id="rId580" Type="http://schemas.openxmlformats.org/officeDocument/2006/relationships/image" Target="media/image554.png"/><Relationship Id="rId581" Type="http://schemas.openxmlformats.org/officeDocument/2006/relationships/image" Target="media/image555.png"/><Relationship Id="rId582" Type="http://schemas.openxmlformats.org/officeDocument/2006/relationships/image" Target="media/image556.png"/><Relationship Id="rId583" Type="http://schemas.openxmlformats.org/officeDocument/2006/relationships/image" Target="media/image557.png"/><Relationship Id="rId584" Type="http://schemas.openxmlformats.org/officeDocument/2006/relationships/image" Target="media/image558.png"/><Relationship Id="rId585" Type="http://schemas.openxmlformats.org/officeDocument/2006/relationships/image" Target="media/image559.png"/><Relationship Id="rId586" Type="http://schemas.openxmlformats.org/officeDocument/2006/relationships/image" Target="media/image560.png"/><Relationship Id="rId587" Type="http://schemas.openxmlformats.org/officeDocument/2006/relationships/image" Target="media/image561.png"/><Relationship Id="rId588" Type="http://schemas.openxmlformats.org/officeDocument/2006/relationships/image" Target="media/image562.png"/><Relationship Id="rId589" Type="http://schemas.openxmlformats.org/officeDocument/2006/relationships/image" Target="media/image563.png"/><Relationship Id="rId590" Type="http://schemas.openxmlformats.org/officeDocument/2006/relationships/image" Target="media/image564.png"/><Relationship Id="rId591" Type="http://schemas.openxmlformats.org/officeDocument/2006/relationships/image" Target="media/image565.png"/><Relationship Id="rId592" Type="http://schemas.openxmlformats.org/officeDocument/2006/relationships/image" Target="media/image566.png"/><Relationship Id="rId593" Type="http://schemas.openxmlformats.org/officeDocument/2006/relationships/image" Target="media/image567.png"/><Relationship Id="rId594" Type="http://schemas.openxmlformats.org/officeDocument/2006/relationships/image" Target="media/image568.png"/><Relationship Id="rId595" Type="http://schemas.openxmlformats.org/officeDocument/2006/relationships/image" Target="media/image569.png"/><Relationship Id="rId596" Type="http://schemas.openxmlformats.org/officeDocument/2006/relationships/image" Target="media/image570.png"/><Relationship Id="rId597" Type="http://schemas.openxmlformats.org/officeDocument/2006/relationships/image" Target="media/image571.png"/><Relationship Id="rId598" Type="http://schemas.openxmlformats.org/officeDocument/2006/relationships/image" Target="media/image572.png"/><Relationship Id="rId599" Type="http://schemas.openxmlformats.org/officeDocument/2006/relationships/image" Target="media/image573.png"/><Relationship Id="rId600" Type="http://schemas.openxmlformats.org/officeDocument/2006/relationships/image" Target="media/image574.png"/><Relationship Id="rId601" Type="http://schemas.openxmlformats.org/officeDocument/2006/relationships/image" Target="media/image575.png"/><Relationship Id="rId602" Type="http://schemas.openxmlformats.org/officeDocument/2006/relationships/image" Target="media/image576.png"/><Relationship Id="rId603" Type="http://schemas.openxmlformats.org/officeDocument/2006/relationships/image" Target="media/image577.png"/><Relationship Id="rId604" Type="http://schemas.openxmlformats.org/officeDocument/2006/relationships/image" Target="media/image578.png"/><Relationship Id="rId605" Type="http://schemas.openxmlformats.org/officeDocument/2006/relationships/image" Target="media/image579.png"/><Relationship Id="rId606" Type="http://schemas.openxmlformats.org/officeDocument/2006/relationships/image" Target="media/image580.png"/><Relationship Id="rId607" Type="http://schemas.openxmlformats.org/officeDocument/2006/relationships/image" Target="media/image581.png"/><Relationship Id="rId334" Type="http://schemas.openxmlformats.org/officeDocument/2006/relationships/hyperlink" Target="http://www.sec.gov/Archives/edgar/data/0001699382/000119312520240132/d922470dex32.htm" TargetMode="External"/><Relationship Id="rId335" Type="http://schemas.openxmlformats.org/officeDocument/2006/relationships/hyperlink" Target="http://www.sec.gov/Archives/edgar/data/0001699382/000119312520240132/d922470dex33.htm" TargetMode="External"/><Relationship Id="rId336" Type="http://schemas.openxmlformats.org/officeDocument/2006/relationships/hyperlink" Target="http://www.sec.gov/Archives/edgar/data/0001699382/000119312520240132/d922470dex34.htm" TargetMode="External"/><Relationship Id="rId337" Type="http://schemas.openxmlformats.org/officeDocument/2006/relationships/hyperlink" Target="http://www.sec.gov/Archives/edgar/data/0001699382/000119312520240132/d922470dex41.htm" TargetMode="External"/><Relationship Id="rId338" Type="http://schemas.openxmlformats.org/officeDocument/2006/relationships/hyperlink" Target="http://www.sec.gov/Archives/edgar/data/0001699382/000119312520240132/d922470dex101.htm" TargetMode="External"/><Relationship Id="rId339" Type="http://schemas.openxmlformats.org/officeDocument/2006/relationships/hyperlink" Target="http://www.sec.gov/Archives/edgar/data/0001699382/000119312520240132/d922470dex105.htm" TargetMode="External"/><Relationship Id="rId340" Type="http://schemas.openxmlformats.org/officeDocument/2006/relationships/hyperlink" Target="http://www.sec.gov/Archives/edgar/data/0001699382/000119312520240132/d922470dex106.htm" TargetMode="External"/><Relationship Id="rId341" Type="http://schemas.openxmlformats.org/officeDocument/2006/relationships/hyperlink" Target="http://www.sec.gov/Archives/edgar/data/0001699382/000119312520240132/d922470dex107.htm" TargetMode="External"/><Relationship Id="rId342" Type="http://schemas.openxmlformats.org/officeDocument/2006/relationships/hyperlink" Target="http://www.sec.gov/Archives/edgar/data/0001699382/000119312520240132/d922470dex108.htm" TargetMode="External"/><Relationship Id="rId343" Type="http://schemas.openxmlformats.org/officeDocument/2006/relationships/hyperlink" Target="http://www.sec.gov/Archives/edgar/data/0001699382/000119312520240132/d922470dex109.htm" TargetMode="External"/><Relationship Id="rId344" Type="http://schemas.openxmlformats.org/officeDocument/2006/relationships/hyperlink" Target="http://www.sec.gov/Archives/edgar/data/0001699382/000119312520240132/d922470dex1010.htm" TargetMode="External"/><Relationship Id="rId345" Type="http://schemas.openxmlformats.org/officeDocument/2006/relationships/hyperlink" Target="http://www.sec.gov/Archives/edgar/data/0001699382/000119312520240132/d922470dex1011.htm" TargetMode="External"/><Relationship Id="rId346" Type="http://schemas.openxmlformats.org/officeDocument/2006/relationships/hyperlink" Target="http://www.sec.gov/Archives/edgar/data/0001699382/000119312520240132/d922470dex1012.htm" TargetMode="External"/><Relationship Id="rId347" Type="http://schemas.openxmlformats.org/officeDocument/2006/relationships/hyperlink" Target="http://www.sec.gov/Archives/edgar/data/0001699382/000119312520240132/d922470dex1013.htm" TargetMode="External"/><Relationship Id="rId348" Type="http://schemas.openxmlformats.org/officeDocument/2006/relationships/hyperlink" Target="http://www.sec.gov/Archives/edgar/data/0001699382/000119312520240132/d922470dex1014.htm" TargetMode="External"/><Relationship Id="rId350" Type="http://schemas.openxmlformats.org/officeDocument/2006/relationships/hyperlink" Target="http://www.sec.gov/Archives/edgar/data/0001699382/000119312520240132/d922470dex1016.htm" TargetMode="External"/><Relationship Id="rId351" Type="http://schemas.openxmlformats.org/officeDocument/2006/relationships/hyperlink" Target="http://www.sec.gov/Archives/edgar/data/0001699382/000119312520240132/d922470dex1017.htm" TargetMode="External"/><Relationship Id="rId352" Type="http://schemas.openxmlformats.org/officeDocument/2006/relationships/hyperlink" Target="http://www.sec.gov/Archives/edgar/data/0001699382/000119312520240132/d922470dex1018.htm" TargetMode="External"/><Relationship Id="rId353" Type="http://schemas.openxmlformats.org/officeDocument/2006/relationships/hyperlink" Target="http://www.sec.gov/Archives/edgar/data/1699382/000119312520240132/d922470ds1.htm#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2020-09-21T05:22:45Z</dcterms:created>
  <dcterms:modified xsi:type="dcterms:W3CDTF">2020-09-21T05:22:45Z</dcterms:modified>
</cp:coreProperties>
</file>