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79"/>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PMV Pharmaceuticals,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 $0.00001 par value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69353Y103</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25, 2020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191770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362" w:right="51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69353Y103</w:t>
      </w:r>
    </w:p>
    <w:p>
      <w:pPr>
        <w:spacing w:after="0" w:line="156" w:lineRule="exact"/>
        <w:rPr>
          <w:sz w:val="20"/>
          <w:szCs w:val="20"/>
          <w:color w:val="auto"/>
        </w:rPr>
      </w:pPr>
    </w:p>
    <w:tbl>
      <w:tblPr>
        <w:tblLayout w:type="fixed"/>
        <w:tblInd w:w="14" w:type="dxa"/>
        <w:tblCellMar>
          <w:top w:w="0" w:type="dxa"/>
          <w:left w:w="0" w:type="dxa"/>
          <w:bottom w:w="0" w:type="dxa"/>
          <w:right w:w="0" w:type="dxa"/>
        </w:tblCellMar>
      </w:tblPr>
      <w:tr>
        <w:trPr>
          <w:trHeight w:val="248"/>
        </w:trPr>
        <w:tc>
          <w:tcPr>
            <w:tcW w:w="34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Boxer Capital, LLC</w:t>
            </w:r>
          </w:p>
        </w:tc>
        <w:tc>
          <w:tcPr>
            <w:tcW w:w="8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6"/>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440" w:type="dxa"/>
            <w:vAlign w:val="bottom"/>
            <w:gridSpan w:val="2"/>
          </w:tcPr>
          <w:p>
            <w:pPr>
              <w:jc w:val="right"/>
              <w:ind w:right="150"/>
              <w:spacing w:after="0" w:line="181" w:lineRule="exact"/>
              <w:rPr>
                <w:sz w:val="20"/>
                <w:szCs w:val="20"/>
                <w:color w:val="auto"/>
              </w:rPr>
            </w:pPr>
            <w:r>
              <w:rPr>
                <w:rFonts w:ascii="MS PGothic" w:cs="MS PGothic" w:eastAsia="MS PGothic" w:hAnsi="MS PGothic"/>
                <w:sz w:val="18"/>
                <w:szCs w:val="18"/>
                <w:color w:val="auto"/>
                <w:w w:val="99"/>
              </w:rPr>
              <w:t>☒</w:t>
            </w:r>
          </w:p>
        </w:tc>
        <w:tc>
          <w:tcPr>
            <w:tcW w:w="8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gridSpan w:val="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02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Delaware</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8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tcBorders>
          </w:tcPr>
          <w:p>
            <w:pPr>
              <w:spacing w:after="0"/>
              <w:rPr>
                <w:sz w:val="24"/>
                <w:szCs w:val="24"/>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00" w:type="dxa"/>
            <w:vAlign w:val="bottom"/>
            <w:tcBorders>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9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SHARES</w:t>
            </w:r>
          </w:p>
        </w:tc>
        <w:tc>
          <w:tcPr>
            <w:tcW w:w="2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8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4"/>
          </w:tcPr>
          <w:p>
            <w:pPr>
              <w:jc w:val="center"/>
              <w:ind w:left="70"/>
              <w:spacing w:after="0"/>
              <w:rPr>
                <w:sz w:val="20"/>
                <w:szCs w:val="20"/>
                <w:color w:val="auto"/>
              </w:rPr>
            </w:pPr>
            <w:r>
              <w:rPr>
                <w:rFonts w:ascii="Times New Roman" w:cs="Times New Roman" w:eastAsia="Times New Roman" w:hAnsi="Times New Roman"/>
                <w:sz w:val="18"/>
                <w:szCs w:val="18"/>
                <w:color w:val="auto"/>
                <w:w w:val="99"/>
              </w:rPr>
              <w:t>BENEFICIALLY</w:t>
            </w:r>
          </w:p>
        </w:tc>
        <w:tc>
          <w:tcPr>
            <w:tcW w:w="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9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2,268,236</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20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9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right w:val="single" w:sz="8" w:color="auto"/>
            </w:tcBorders>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5"/>
                <w:szCs w:val="15"/>
                <w:color w:val="auto"/>
              </w:rPr>
            </w:pPr>
          </w:p>
        </w:tc>
        <w:tc>
          <w:tcPr>
            <w:tcW w:w="8920" w:type="dxa"/>
            <w:vAlign w:val="bottom"/>
            <w:tcBorders>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PERSON</w:t>
            </w:r>
          </w:p>
        </w:tc>
        <w:tc>
          <w:tcPr>
            <w:tcW w:w="2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WITH:</w:t>
            </w:r>
          </w:p>
        </w:tc>
        <w:tc>
          <w:tcPr>
            <w:tcW w:w="200" w:type="dxa"/>
            <w:vAlign w:val="bottom"/>
            <w:tcBorders>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2"/>
                <w:szCs w:val="12"/>
                <w:color w:val="auto"/>
              </w:rPr>
            </w:pPr>
          </w:p>
        </w:tc>
        <w:tc>
          <w:tcPr>
            <w:tcW w:w="89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89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9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2,268,236</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1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Aggregate amount</w:t>
            </w:r>
          </w:p>
        </w:tc>
        <w:tc>
          <w:tcPr>
            <w:tcW w:w="90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2,268,236</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60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6"/>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24" w:right="40" w:hanging="224"/>
        <w:spacing w:after="0" w:line="282" w:lineRule="auto"/>
        <w:tabs>
          <w:tab w:leader="none" w:pos="2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44,764,060 shares of Common Stock outstanding immediately following the completion of the Issuer’s initial public offering, as set forth in the Issuer’s prospectus supplement filed with the US Securities and Exchange Commission on September 25, 2020.</w:t>
      </w:r>
    </w:p>
    <w:p>
      <w:pPr>
        <w:sectPr>
          <w:pgSz w:w="11900" w:h="16838" w:orient="portrait"/>
          <w:cols w:equalWidth="0" w:num="1">
            <w:col w:w="11024"/>
          </w:cols>
          <w:pgMar w:left="436" w:top="270" w:right="43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69353Y103</w:t>
      </w:r>
    </w:p>
    <w:p>
      <w:pPr>
        <w:spacing w:after="0" w:line="156" w:lineRule="exact"/>
        <w:rPr>
          <w:sz w:val="20"/>
          <w:szCs w:val="20"/>
          <w:color w:val="auto"/>
        </w:rPr>
      </w:pPr>
    </w:p>
    <w:tbl>
      <w:tblPr>
        <w:tblLayout w:type="fixed"/>
        <w:tblInd w:w="14" w:type="dxa"/>
        <w:tblCellMar>
          <w:top w:w="0" w:type="dxa"/>
          <w:left w:w="0" w:type="dxa"/>
          <w:bottom w:w="0" w:type="dxa"/>
          <w:right w:w="0" w:type="dxa"/>
        </w:tblCellMar>
      </w:tblPr>
      <w:tr>
        <w:trPr>
          <w:trHeight w:val="248"/>
        </w:trPr>
        <w:tc>
          <w:tcPr>
            <w:tcW w:w="34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Boxer Asset Management Inc.</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340" w:type="dxa"/>
            <w:vAlign w:val="bottom"/>
          </w:tcPr>
          <w:p>
            <w:pPr>
              <w:jc w:val="right"/>
              <w:ind w:right="50"/>
              <w:spacing w:after="0" w:line="181" w:lineRule="exact"/>
              <w:rPr>
                <w:sz w:val="20"/>
                <w:szCs w:val="20"/>
                <w:color w:val="auto"/>
              </w:rPr>
            </w:pPr>
            <w:r>
              <w:rPr>
                <w:rFonts w:ascii="MS PGothic" w:cs="MS PGothic" w:eastAsia="MS PGothic" w:hAnsi="MS PGothic"/>
                <w:sz w:val="18"/>
                <w:szCs w:val="18"/>
                <w:color w:val="auto"/>
                <w:w w:val="99"/>
              </w:rPr>
              <w:t>☒</w:t>
            </w:r>
          </w:p>
        </w:tc>
        <w:tc>
          <w:tcPr>
            <w:tcW w:w="9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gridSpan w:val="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340" w:type="dxa"/>
            <w:vAlign w:val="bottom"/>
          </w:tcPr>
          <w:p>
            <w:pPr>
              <w:spacing w:after="0"/>
              <w:rPr>
                <w:sz w:val="19"/>
                <w:szCs w:val="19"/>
                <w:color w:val="auto"/>
              </w:rPr>
            </w:pPr>
          </w:p>
        </w:tc>
        <w:tc>
          <w:tcPr>
            <w:tcW w:w="9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0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Bahamas</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90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tcBorders>
          </w:tcPr>
          <w:p>
            <w:pPr>
              <w:spacing w:after="0"/>
              <w:rPr>
                <w:sz w:val="24"/>
                <w:szCs w:val="24"/>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00" w:type="dxa"/>
            <w:vAlign w:val="bottom"/>
            <w:tcBorders>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SHARES</w:t>
            </w:r>
          </w:p>
        </w:tc>
        <w:tc>
          <w:tcPr>
            <w:tcW w:w="2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0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4"/>
          </w:tcPr>
          <w:p>
            <w:pPr>
              <w:jc w:val="center"/>
              <w:ind w:left="70"/>
              <w:spacing w:after="0"/>
              <w:rPr>
                <w:sz w:val="20"/>
                <w:szCs w:val="20"/>
                <w:color w:val="auto"/>
              </w:rPr>
            </w:pPr>
            <w:r>
              <w:rPr>
                <w:rFonts w:ascii="Times New Roman" w:cs="Times New Roman" w:eastAsia="Times New Roman" w:hAnsi="Times New Roman"/>
                <w:sz w:val="18"/>
                <w:szCs w:val="18"/>
                <w:color w:val="auto"/>
                <w:w w:val="99"/>
              </w:rPr>
              <w:t>BENEFICIALLY</w:t>
            </w:r>
          </w:p>
        </w:tc>
        <w:tc>
          <w:tcPr>
            <w:tcW w:w="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902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2,268,236</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20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90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right w:val="single" w:sz="8" w:color="auto"/>
            </w:tcBorders>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20" w:type="dxa"/>
            <w:vAlign w:val="bottom"/>
            <w:tcBorders>
              <w:right w:val="single" w:sz="8" w:color="auto"/>
            </w:tcBorders>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9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PERSON</w:t>
            </w:r>
          </w:p>
        </w:tc>
        <w:tc>
          <w:tcPr>
            <w:tcW w:w="2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90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WITH:</w:t>
            </w:r>
          </w:p>
        </w:tc>
        <w:tc>
          <w:tcPr>
            <w:tcW w:w="200" w:type="dxa"/>
            <w:vAlign w:val="bottom"/>
            <w:tcBorders>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9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02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90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2,268,236</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1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Aggregate amount</w:t>
            </w:r>
          </w:p>
        </w:tc>
        <w:tc>
          <w:tcPr>
            <w:tcW w:w="9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2,268,236</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60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24" w:right="40" w:hanging="224"/>
        <w:spacing w:after="0" w:line="282" w:lineRule="auto"/>
        <w:tabs>
          <w:tab w:leader="none" w:pos="2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44,764,060 shares of Common Stock outstanding immediately following the completion of the Issuer’s initial public offering, as set forth in the Issuer’s prospectus supplement filed with the US Securities and Exchange Commission on September 25, 2020.</w:t>
      </w:r>
    </w:p>
    <w:p>
      <w:pPr>
        <w:sectPr>
          <w:pgSz w:w="11900" w:h="16838" w:orient="portrait"/>
          <w:cols w:equalWidth="0" w:num="1">
            <w:col w:w="11024"/>
          </w:cols>
          <w:pgMar w:left="436" w:top="270" w:right="43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69353Y103</w:t>
      </w:r>
    </w:p>
    <w:p>
      <w:pPr>
        <w:spacing w:after="0" w:line="156" w:lineRule="exact"/>
        <w:rPr>
          <w:sz w:val="20"/>
          <w:szCs w:val="20"/>
          <w:color w:val="auto"/>
        </w:rPr>
      </w:pPr>
    </w:p>
    <w:tbl>
      <w:tblPr>
        <w:tblLayout w:type="fixed"/>
        <w:tblInd w:w="14" w:type="dxa"/>
        <w:tblCellMar>
          <w:top w:w="0" w:type="dxa"/>
          <w:left w:w="0" w:type="dxa"/>
          <w:bottom w:w="0" w:type="dxa"/>
          <w:right w:w="0" w:type="dxa"/>
        </w:tblCellMar>
      </w:tblPr>
      <w:tr>
        <w:trPr>
          <w:trHeight w:val="248"/>
        </w:trPr>
        <w:tc>
          <w:tcPr>
            <w:tcW w:w="34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Joe Lewis</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340" w:type="dxa"/>
            <w:vAlign w:val="bottom"/>
          </w:tcPr>
          <w:p>
            <w:pPr>
              <w:jc w:val="right"/>
              <w:ind w:right="50"/>
              <w:spacing w:after="0" w:line="181" w:lineRule="exact"/>
              <w:rPr>
                <w:sz w:val="20"/>
                <w:szCs w:val="20"/>
                <w:color w:val="auto"/>
              </w:rPr>
            </w:pPr>
            <w:r>
              <w:rPr>
                <w:rFonts w:ascii="MS PGothic" w:cs="MS PGothic" w:eastAsia="MS PGothic" w:hAnsi="MS PGothic"/>
                <w:sz w:val="18"/>
                <w:szCs w:val="18"/>
                <w:color w:val="auto"/>
                <w:w w:val="99"/>
              </w:rPr>
              <w:t>☒</w:t>
            </w:r>
          </w:p>
        </w:tc>
        <w:tc>
          <w:tcPr>
            <w:tcW w:w="9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gridSpan w:val="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340" w:type="dxa"/>
            <w:vAlign w:val="bottom"/>
          </w:tcPr>
          <w:p>
            <w:pPr>
              <w:spacing w:after="0"/>
              <w:rPr>
                <w:sz w:val="19"/>
                <w:szCs w:val="19"/>
                <w:color w:val="auto"/>
              </w:rPr>
            </w:pPr>
          </w:p>
        </w:tc>
        <w:tc>
          <w:tcPr>
            <w:tcW w:w="9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0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United Kingdom</w:t>
            </w: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90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tcBorders>
          </w:tcPr>
          <w:p>
            <w:pPr>
              <w:spacing w:after="0"/>
              <w:rPr>
                <w:sz w:val="24"/>
                <w:szCs w:val="24"/>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00" w:type="dxa"/>
            <w:vAlign w:val="bottom"/>
            <w:tcBorders>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SHARES</w:t>
            </w:r>
          </w:p>
        </w:tc>
        <w:tc>
          <w:tcPr>
            <w:tcW w:w="2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0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4"/>
          </w:tcPr>
          <w:p>
            <w:pPr>
              <w:jc w:val="center"/>
              <w:ind w:left="70"/>
              <w:spacing w:after="0"/>
              <w:rPr>
                <w:sz w:val="20"/>
                <w:szCs w:val="20"/>
                <w:color w:val="auto"/>
              </w:rPr>
            </w:pPr>
            <w:r>
              <w:rPr>
                <w:rFonts w:ascii="Times New Roman" w:cs="Times New Roman" w:eastAsia="Times New Roman" w:hAnsi="Times New Roman"/>
                <w:sz w:val="18"/>
                <w:szCs w:val="18"/>
                <w:color w:val="auto"/>
                <w:w w:val="99"/>
              </w:rPr>
              <w:t>BENEFICIALLY</w:t>
            </w:r>
          </w:p>
        </w:tc>
        <w:tc>
          <w:tcPr>
            <w:tcW w:w="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902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2,268,236</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20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90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right w:val="single" w:sz="8" w:color="auto"/>
            </w:tcBorders>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20" w:type="dxa"/>
            <w:vAlign w:val="bottom"/>
            <w:tcBorders>
              <w:right w:val="single" w:sz="8" w:color="auto"/>
            </w:tcBorders>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9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PERSON</w:t>
            </w:r>
          </w:p>
        </w:tc>
        <w:tc>
          <w:tcPr>
            <w:tcW w:w="2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90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WITH:</w:t>
            </w:r>
          </w:p>
        </w:tc>
        <w:tc>
          <w:tcPr>
            <w:tcW w:w="200" w:type="dxa"/>
            <w:vAlign w:val="bottom"/>
            <w:tcBorders>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9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02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90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2,268,236</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1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Aggregate amount</w:t>
            </w:r>
          </w:p>
        </w:tc>
        <w:tc>
          <w:tcPr>
            <w:tcW w:w="9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2,268,236</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60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24" w:right="40" w:hanging="224"/>
        <w:spacing w:after="0" w:line="282" w:lineRule="auto"/>
        <w:tabs>
          <w:tab w:leader="none" w:pos="2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44,764,060 shares of Common Stock outstanding immediately following the completion of the Issuer’s initial public offering, as set forth in the Issuer’s prospectus supplement filed with the US Securities and Exchange Commission on September 25, 2020.</w:t>
      </w:r>
    </w:p>
    <w:p>
      <w:pPr>
        <w:sectPr>
          <w:pgSz w:w="11900" w:h="16838" w:orient="portrait"/>
          <w:cols w:equalWidth="0" w:num="1">
            <w:col w:w="11024"/>
          </w:cols>
          <w:pgMar w:left="436" w:top="270" w:right="43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69353Y103</w:t>
      </w:r>
    </w:p>
    <w:p>
      <w:pPr>
        <w:spacing w:after="0" w:line="156" w:lineRule="exact"/>
        <w:rPr>
          <w:sz w:val="20"/>
          <w:szCs w:val="20"/>
          <w:color w:val="auto"/>
        </w:rPr>
      </w:pPr>
    </w:p>
    <w:tbl>
      <w:tblPr>
        <w:tblLayout w:type="fixed"/>
        <w:tblInd w:w="14" w:type="dxa"/>
        <w:tblCellMar>
          <w:top w:w="0" w:type="dxa"/>
          <w:left w:w="0" w:type="dxa"/>
          <w:bottom w:w="0" w:type="dxa"/>
          <w:right w:w="0" w:type="dxa"/>
        </w:tblCellMar>
      </w:tblPr>
      <w:tr>
        <w:trPr>
          <w:trHeight w:val="248"/>
        </w:trPr>
        <w:tc>
          <w:tcPr>
            <w:tcW w:w="34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w w:val="97"/>
              </w:rPr>
              <w:t>MVA Investors, LLC</w:t>
            </w: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6"/>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480" w:type="dxa"/>
            <w:vAlign w:val="bottom"/>
            <w:gridSpan w:val="2"/>
          </w:tcPr>
          <w:p>
            <w:pPr>
              <w:jc w:val="right"/>
              <w:ind w:right="190"/>
              <w:spacing w:after="0" w:line="181" w:lineRule="exact"/>
              <w:rPr>
                <w:sz w:val="20"/>
                <w:szCs w:val="20"/>
                <w:color w:val="auto"/>
              </w:rPr>
            </w:pPr>
            <w:r>
              <w:rPr>
                <w:rFonts w:ascii="MS PGothic" w:cs="MS PGothic" w:eastAsia="MS PGothic" w:hAnsi="MS PGothic"/>
                <w:sz w:val="18"/>
                <w:szCs w:val="18"/>
                <w:color w:val="auto"/>
                <w:w w:val="99"/>
              </w:rPr>
              <w:t>☒</w:t>
            </w:r>
          </w:p>
        </w:tc>
        <w:tc>
          <w:tcPr>
            <w:tcW w:w="8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gridSpan w:val="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02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Delaware</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0"/>
                <w:szCs w:val="20"/>
                <w:color w:val="auto"/>
              </w:rPr>
            </w:pPr>
          </w:p>
        </w:tc>
        <w:tc>
          <w:tcPr>
            <w:tcW w:w="88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tcBorders>
          </w:tcPr>
          <w:p>
            <w:pPr>
              <w:spacing w:after="0"/>
              <w:rPr>
                <w:sz w:val="24"/>
                <w:szCs w:val="24"/>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00" w:type="dxa"/>
            <w:vAlign w:val="bottom"/>
            <w:tcBorders>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SHARES</w:t>
            </w:r>
          </w:p>
        </w:tc>
        <w:tc>
          <w:tcPr>
            <w:tcW w:w="2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0"/>
                <w:szCs w:val="20"/>
                <w:color w:val="auto"/>
              </w:rPr>
            </w:pPr>
          </w:p>
        </w:tc>
        <w:tc>
          <w:tcPr>
            <w:tcW w:w="88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4"/>
          </w:tcPr>
          <w:p>
            <w:pPr>
              <w:jc w:val="center"/>
              <w:ind w:left="70"/>
              <w:spacing w:after="0"/>
              <w:rPr>
                <w:sz w:val="20"/>
                <w:szCs w:val="20"/>
                <w:color w:val="auto"/>
              </w:rPr>
            </w:pPr>
            <w:r>
              <w:rPr>
                <w:rFonts w:ascii="Times New Roman" w:cs="Times New Roman" w:eastAsia="Times New Roman" w:hAnsi="Times New Roman"/>
                <w:sz w:val="18"/>
                <w:szCs w:val="18"/>
                <w:color w:val="auto"/>
                <w:w w:val="99"/>
              </w:rPr>
              <w:t>BENEFICIALLY</w:t>
            </w:r>
          </w:p>
        </w:tc>
        <w:tc>
          <w:tcPr>
            <w:tcW w:w="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60,837</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20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right w:val="single" w:sz="8" w:color="auto"/>
            </w:tcBorders>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5"/>
                <w:szCs w:val="15"/>
                <w:color w:val="auto"/>
              </w:rPr>
            </w:pPr>
          </w:p>
        </w:tc>
        <w:tc>
          <w:tcPr>
            <w:tcW w:w="8880" w:type="dxa"/>
            <w:vAlign w:val="bottom"/>
            <w:tcBorders>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PERSON</w:t>
            </w:r>
          </w:p>
        </w:tc>
        <w:tc>
          <w:tcPr>
            <w:tcW w:w="2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8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WITH:</w:t>
            </w:r>
          </w:p>
        </w:tc>
        <w:tc>
          <w:tcPr>
            <w:tcW w:w="200" w:type="dxa"/>
            <w:vAlign w:val="bottom"/>
            <w:tcBorders>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2"/>
                <w:szCs w:val="12"/>
                <w:color w:val="auto"/>
              </w:rPr>
            </w:pPr>
          </w:p>
        </w:tc>
        <w:tc>
          <w:tcPr>
            <w:tcW w:w="88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88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60,837</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1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Aggregate amount</w:t>
            </w:r>
          </w:p>
        </w:tc>
        <w:tc>
          <w:tcPr>
            <w:tcW w:w="90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60,837</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60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6"/>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24" w:right="40" w:hanging="224"/>
        <w:spacing w:after="0" w:line="282" w:lineRule="auto"/>
        <w:tabs>
          <w:tab w:leader="none" w:pos="2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44,764,060 shares of Common Stock outstanding immediately following the completion of the Issuer’s initial public offering, as set forth in the Issuer’s prospectus supplement filed with the US Securities and Exchange Commission on September 25, 2020.</w:t>
      </w:r>
    </w:p>
    <w:p>
      <w:pPr>
        <w:sectPr>
          <w:pgSz w:w="11900" w:h="16838" w:orient="portrait"/>
          <w:cols w:equalWidth="0" w:num="1">
            <w:col w:w="11024"/>
          </w:cols>
          <w:pgMar w:left="436" w:top="270" w:right="43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69353Y103</w:t>
      </w:r>
    </w:p>
    <w:p>
      <w:pPr>
        <w:spacing w:after="0" w:line="156" w:lineRule="exact"/>
        <w:rPr>
          <w:sz w:val="20"/>
          <w:szCs w:val="20"/>
          <w:color w:val="auto"/>
        </w:rPr>
      </w:pPr>
    </w:p>
    <w:tbl>
      <w:tblPr>
        <w:tblLayout w:type="fixed"/>
        <w:tblInd w:w="14" w:type="dxa"/>
        <w:tblCellMar>
          <w:top w:w="0" w:type="dxa"/>
          <w:left w:w="0" w:type="dxa"/>
          <w:bottom w:w="0" w:type="dxa"/>
          <w:right w:w="0" w:type="dxa"/>
        </w:tblCellMar>
      </w:tblPr>
      <w:tr>
        <w:trPr>
          <w:trHeight w:val="248"/>
        </w:trPr>
        <w:tc>
          <w:tcPr>
            <w:tcW w:w="34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Aaron I. Davis</w:t>
            </w:r>
          </w:p>
        </w:tc>
        <w:tc>
          <w:tcPr>
            <w:tcW w:w="32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320" w:type="dxa"/>
            <w:vAlign w:val="bottom"/>
          </w:tcPr>
          <w:p>
            <w:pPr>
              <w:jc w:val="right"/>
              <w:ind w:right="50"/>
              <w:spacing w:after="0" w:line="181" w:lineRule="exact"/>
              <w:rPr>
                <w:sz w:val="20"/>
                <w:szCs w:val="20"/>
                <w:color w:val="auto"/>
              </w:rPr>
            </w:pPr>
            <w:r>
              <w:rPr>
                <w:rFonts w:ascii="MS PGothic" w:cs="MS PGothic" w:eastAsia="MS PGothic" w:hAnsi="MS PGothic"/>
                <w:sz w:val="18"/>
                <w:szCs w:val="18"/>
                <w:color w:val="auto"/>
                <w:w w:val="88"/>
              </w:rPr>
              <w:t>☒</w:t>
            </w:r>
          </w:p>
        </w:tc>
        <w:tc>
          <w:tcPr>
            <w:tcW w:w="9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2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320" w:type="dxa"/>
            <w:vAlign w:val="bottom"/>
          </w:tcPr>
          <w:p>
            <w:pPr>
              <w:spacing w:after="0"/>
              <w:rPr>
                <w:sz w:val="19"/>
                <w:szCs w:val="19"/>
                <w:color w:val="auto"/>
              </w:rPr>
            </w:pPr>
          </w:p>
        </w:tc>
        <w:tc>
          <w:tcPr>
            <w:tcW w:w="9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0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90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tcBorders>
          </w:tcPr>
          <w:p>
            <w:pPr>
              <w:spacing w:after="0"/>
              <w:rPr>
                <w:sz w:val="24"/>
                <w:szCs w:val="24"/>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00" w:type="dxa"/>
            <w:vAlign w:val="bottom"/>
            <w:tcBorders>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SHARES</w:t>
            </w:r>
          </w:p>
        </w:tc>
        <w:tc>
          <w:tcPr>
            <w:tcW w:w="2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0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4"/>
          </w:tcPr>
          <w:p>
            <w:pPr>
              <w:jc w:val="center"/>
              <w:ind w:left="70"/>
              <w:spacing w:after="0"/>
              <w:rPr>
                <w:sz w:val="20"/>
                <w:szCs w:val="20"/>
                <w:color w:val="auto"/>
              </w:rPr>
            </w:pPr>
            <w:r>
              <w:rPr>
                <w:rFonts w:ascii="Times New Roman" w:cs="Times New Roman" w:eastAsia="Times New Roman" w:hAnsi="Times New Roman"/>
                <w:sz w:val="18"/>
                <w:szCs w:val="18"/>
                <w:color w:val="auto"/>
                <w:w w:val="99"/>
              </w:rPr>
              <w:t>BENEFICIALLY</w:t>
            </w:r>
          </w:p>
        </w:tc>
        <w:tc>
          <w:tcPr>
            <w:tcW w:w="1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902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60,837</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200" w:type="dxa"/>
            <w:vAlign w:val="bottom"/>
            <w:tcBorders>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90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2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right w:val="single" w:sz="8" w:color="auto"/>
            </w:tcBorders>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20" w:type="dxa"/>
            <w:vAlign w:val="bottom"/>
            <w:tcBorders>
              <w:right w:val="single" w:sz="8" w:color="auto"/>
            </w:tcBorders>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9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PERSON</w:t>
            </w:r>
          </w:p>
        </w:tc>
        <w:tc>
          <w:tcPr>
            <w:tcW w:w="2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90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WITH:</w:t>
            </w:r>
          </w:p>
        </w:tc>
        <w:tc>
          <w:tcPr>
            <w:tcW w:w="200" w:type="dxa"/>
            <w:vAlign w:val="bottom"/>
            <w:tcBorders>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9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02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90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60,837</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1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Aggregate amount</w:t>
            </w:r>
          </w:p>
        </w:tc>
        <w:tc>
          <w:tcPr>
            <w:tcW w:w="9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60,837</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60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24" w:right="40" w:hanging="224"/>
        <w:spacing w:after="0" w:line="282" w:lineRule="auto"/>
        <w:tabs>
          <w:tab w:leader="none" w:pos="2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44,764,060 shares of Common Stock outstanding immediately following the completion of the Issuer’s initial public offering, as set forth in the Issuer’s prospectus supplement filed with the US Securities and Exchange Commission on September 25, 2020.</w:t>
      </w:r>
    </w:p>
    <w:p>
      <w:pPr>
        <w:sectPr>
          <w:pgSz w:w="11900" w:h="16838" w:orient="portrait"/>
          <w:cols w:equalWidth="0" w:num="1">
            <w:col w:w="11024"/>
          </w:cols>
          <w:pgMar w:left="436" w:top="270" w:right="439" w:bottom="1440" w:gutter="0" w:footer="0" w:header="0"/>
        </w:sectPr>
      </w:pPr>
    </w:p>
    <w:bookmarkStart w:id="6" w:name="page7"/>
    <w:bookmarkEnd w:id="6"/>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PMV Pharmaceuticals Inc. (the “Issuer”)</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 Clarke Drive, Suite 3</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Cranbury, NJ 08512</w:t>
      </w:r>
    </w:p>
    <w:p>
      <w:pPr>
        <w:spacing w:after="0" w:line="35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color w:val="auto"/>
        </w:rPr>
        <w:t>Name of Person Filing:</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This Schedule 13G is jointly filed by Boxer Capital, LLC (“Boxer Capital”), Boxer Asset Management Inc. (“Boxer Management”), Joe Lewis, MVA Investors, LLC (“MVA Investors”) and Aaron I. Davis (collectively, the “Reporting Persons”). Boxer Management is the managing member and majority owner of Boxer Capital. Joe Lewis is the sole indirect beneficial owner of and controls Boxer Management. MVA Investors is the independent, personal investment vehicle of certain employees of Boxer Capital. Aaron I. Davis is a member of and has voting and dispositive power over securities held by MVA Investors.</w:t>
      </w:r>
    </w:p>
    <w:p>
      <w:pPr>
        <w:spacing w:after="0" w:line="32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principal business address of Boxer Capital, MVA Investors and Aaron I. Davis is: 11682 El Camino Real, Suite 320, San Diego, CA 92130.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business address of Boxer Management and Joe Lewis is: Cay House, EP Taylor Drive N7776, Lyford Cay, New Providence, Bahamas.</w:t>
      </w:r>
    </w:p>
    <w:p>
      <w:pPr>
        <w:spacing w:after="0" w:line="35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color w:val="auto"/>
        </w:rPr>
        <w:t>Citizenship:</w:t>
      </w:r>
    </w:p>
    <w:p>
      <w:pPr>
        <w:spacing w:after="0" w:line="121" w:lineRule="exact"/>
        <w:rPr>
          <w:sz w:val="20"/>
          <w:szCs w:val="20"/>
          <w:color w:val="auto"/>
        </w:rPr>
      </w:pPr>
    </w:p>
    <w:p>
      <w:pPr>
        <w:ind w:right="300" w:firstLine="440"/>
        <w:spacing w:after="0" w:line="312" w:lineRule="auto"/>
        <w:rPr>
          <w:sz w:val="20"/>
          <w:szCs w:val="20"/>
          <w:color w:val="auto"/>
        </w:rPr>
      </w:pPr>
      <w:r>
        <w:rPr>
          <w:rFonts w:ascii="Times New Roman" w:cs="Times New Roman" w:eastAsia="Times New Roman" w:hAnsi="Times New Roman"/>
          <w:sz w:val="17"/>
          <w:szCs w:val="17"/>
          <w:color w:val="auto"/>
        </w:rPr>
        <w:t>Boxer Capital and MVA Investors are limited liability companies organized under the laws of Delaware. Boxer Management is a corporation organized under the laws of the Bahamas. Joe Lewis is a citizen of the United Kingdom. Aaron I. Davis is a citizen of the United States of America.</w:t>
      </w:r>
    </w:p>
    <w:p>
      <w:pPr>
        <w:spacing w:after="0" w:line="28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Common Stock, $0.00001 par value per share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8"/>
          <w:szCs w:val="18"/>
          <w:b w:val="1"/>
          <w:bCs w:val="1"/>
          <w:color w:val="auto"/>
        </w:rPr>
        <w:t>CUSIP Number: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69353Y103</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Rule 13d-1(b), or 13d-2(b) or (c), check whether the person filing is a:</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35" w:lineRule="exact"/>
        <w:rPr>
          <w:sz w:val="20"/>
          <w:szCs w:val="20"/>
          <w:color w:val="auto"/>
        </w:rPr>
      </w:pPr>
    </w:p>
    <w:p>
      <w:pPr>
        <w:ind w:left="960" w:hanging="532"/>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sz w:val="20"/>
          <w:szCs w:val="20"/>
          <w:color w:val="auto"/>
        </w:rPr>
      </w:pPr>
    </w:p>
    <w:p>
      <w:pPr>
        <w:jc w:val="both"/>
        <w:ind w:right="420" w:firstLine="991"/>
        <w:spacing w:after="0" w:line="312" w:lineRule="auto"/>
        <w:rPr>
          <w:sz w:val="20"/>
          <w:szCs w:val="20"/>
          <w:color w:val="auto"/>
        </w:rPr>
      </w:pPr>
      <w:r>
        <w:rPr>
          <w:rFonts w:ascii="Times New Roman" w:cs="Times New Roman" w:eastAsia="Times New Roman" w:hAnsi="Times New Roman"/>
          <w:sz w:val="17"/>
          <w:szCs w:val="17"/>
          <w:color w:val="auto"/>
        </w:rPr>
        <w:t>Boxer, Boxer Management and Joe Lewis beneficially own 2,268,236 shares of Common Stock. MVA Investors and Aaron I. Davis beneficially own 60,837 shares of Common Stock. The Reporting Persons beneficially own, in the aggregate, 2,329,073 shares of Common Stock.</w:t>
      </w:r>
    </w:p>
    <w:p>
      <w:pPr>
        <w:spacing w:after="0" w:line="45" w:lineRule="exact"/>
        <w:rPr>
          <w:sz w:val="20"/>
          <w:szCs w:val="20"/>
          <w:color w:val="auto"/>
        </w:rPr>
      </w:pPr>
    </w:p>
    <w:p>
      <w:pPr>
        <w:ind w:left="960" w:hanging="532"/>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ectPr>
          <w:pgSz w:w="11900" w:h="16838" w:orient="portrait"/>
          <w:cols w:equalWidth="0" w:num="1">
            <w:col w:w="10960"/>
          </w:cols>
          <w:pgMar w:left="440" w:top="266" w:right="499" w:bottom="1440" w:gutter="0" w:footer="0" w:header="0"/>
        </w:sectPr>
      </w:pPr>
    </w:p>
    <w:bookmarkStart w:id="7" w:name="page8"/>
    <w:bookmarkEnd w:id="7"/>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number of shares of Common Stock beneficially owned by the Reporting Persons in the aggregate represent 5.2% of the Issuer’s outstanding shares of Common Stock (based on 44,764,060 shares of Common Stock outstanding immediately following the completion of the Issuer’s initial public offering, as set forth in the Issuer’s prospectus supplement filed with the US Securities and Exchange Commission on September 25, 2020).</w:t>
      </w:r>
    </w:p>
    <w:p>
      <w:pPr>
        <w:spacing w:after="0" w:line="207" w:lineRule="exact"/>
        <w:rPr>
          <w:sz w:val="20"/>
          <w:szCs w:val="20"/>
          <w:color w:val="auto"/>
        </w:rPr>
      </w:pPr>
    </w:p>
    <w:p>
      <w:pPr>
        <w:ind w:left="960" w:hanging="532"/>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117"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Reporting Persons has sole power to vote or to direct the vote of any shares of Common Stock.</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25" w:lineRule="exact"/>
        <w:rPr>
          <w:sz w:val="20"/>
          <w:szCs w:val="20"/>
          <w:color w:val="auto"/>
        </w:rPr>
      </w:pPr>
    </w:p>
    <w:p>
      <w:pPr>
        <w:jc w:val="both"/>
        <w:ind w:right="500" w:firstLine="1432"/>
        <w:spacing w:after="0" w:line="266" w:lineRule="auto"/>
        <w:rPr>
          <w:sz w:val="20"/>
          <w:szCs w:val="20"/>
          <w:color w:val="auto"/>
        </w:rPr>
      </w:pPr>
      <w:r>
        <w:rPr>
          <w:rFonts w:ascii="Times New Roman" w:cs="Times New Roman" w:eastAsia="Times New Roman" w:hAnsi="Times New Roman"/>
          <w:sz w:val="18"/>
          <w:szCs w:val="18"/>
          <w:color w:val="auto"/>
        </w:rPr>
        <w:t>Boxer Capital, Boxer Management and Joe Lewis have shared power to vote or to direct the vote of the 2,268,236 shares of Common Stock they beneficially own. MVA Investors and Aaron I. Davis have shared power to vote or to direct the vote of the 60,837 shares of Common Stock they beneficially own.</w:t>
      </w:r>
    </w:p>
    <w:p>
      <w:pPr>
        <w:spacing w:after="0" w:line="81" w:lineRule="exact"/>
        <w:rPr>
          <w:sz w:val="20"/>
          <w:szCs w:val="20"/>
          <w:color w:val="auto"/>
        </w:rPr>
      </w:pPr>
    </w:p>
    <w:p>
      <w:pPr>
        <w:ind w:left="1420" w:hanging="439"/>
        <w:spacing w:after="0"/>
        <w:tabs>
          <w:tab w:leader="none" w:pos="1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25"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Reporting Persons has sole power to dispose or to direct the disposition of any shares of Common Stock.</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25" w:lineRule="exact"/>
        <w:rPr>
          <w:sz w:val="20"/>
          <w:szCs w:val="20"/>
          <w:color w:val="auto"/>
        </w:rPr>
      </w:pPr>
    </w:p>
    <w:p>
      <w:pPr>
        <w:ind w:right="60" w:firstLine="1432"/>
        <w:spacing w:after="0" w:line="266" w:lineRule="auto"/>
        <w:rPr>
          <w:sz w:val="20"/>
          <w:szCs w:val="20"/>
          <w:color w:val="auto"/>
        </w:rPr>
      </w:pPr>
      <w:r>
        <w:rPr>
          <w:rFonts w:ascii="Times New Roman" w:cs="Times New Roman" w:eastAsia="Times New Roman" w:hAnsi="Times New Roman"/>
          <w:sz w:val="18"/>
          <w:szCs w:val="18"/>
          <w:color w:val="auto"/>
        </w:rPr>
        <w:t>Boxer Capital, Boxer Management and Joe Lewis have shared power to dispose or to direct the disposition of the 2,268,236 shares of Common Stock they beneficially own. MVA Investors and Aaron I. Davis have shared power to dispose or to direct the disposition of the 60,837 shares of Common Stock they beneficially own.</w:t>
      </w:r>
    </w:p>
    <w:p>
      <w:pPr>
        <w:spacing w:after="0" w:line="32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121"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Only Boxer Capital has the right to receive dividends and the proceeds from the sale of the Common Stock held by Boxer Capital. Only MVA Investors has the right to receive dividends and the proceeds from the sale of the Common Stock held by MVA Investors.</w:t>
      </w:r>
    </w:p>
    <w:p>
      <w:pPr>
        <w:spacing w:after="0" w:line="306" w:lineRule="exact"/>
        <w:rPr>
          <w:sz w:val="20"/>
          <w:szCs w:val="20"/>
          <w:color w:val="auto"/>
        </w:rPr>
      </w:pPr>
    </w:p>
    <w:p>
      <w:pPr>
        <w:ind w:left="1080" w:right="480" w:hanging="1092"/>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Identification and Classification of Members of the Group.</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Notice of Dissolution of Group.</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900"/>
          </w:cols>
          <w:pgMar w:left="440" w:top="270" w:right="559" w:bottom="1440" w:gutter="0" w:footer="0" w:header="0"/>
        </w:sectPr>
      </w:pPr>
    </w:p>
    <w:bookmarkStart w:id="8" w:name="page9"/>
    <w:bookmarkEnd w:id="8"/>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ind w:firstLine="436"/>
        <w:spacing w:after="0" w:line="261" w:lineRule="auto"/>
        <w:tabs>
          <w:tab w:leader="none" w:pos="6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135" w:lineRule="exact"/>
        <w:rPr>
          <w:sz w:val="20"/>
          <w:szCs w:val="20"/>
          <w:color w:val="auto"/>
        </w:rPr>
      </w:pPr>
    </w:p>
    <w:p>
      <w:pPr>
        <w:ind w:left="960" w:hanging="532"/>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Filing Agreement, dated September 30, 2020, among the Reporting Persons.</w:t>
      </w:r>
    </w:p>
    <w:p>
      <w:pPr>
        <w:sectPr>
          <w:pgSz w:w="11900" w:h="16838" w:orient="portrait"/>
          <w:cols w:equalWidth="0" w:num="1">
            <w:col w:w="10880"/>
          </w:cols>
          <w:pgMar w:left="440" w:top="266" w:right="57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BOXER CAPITAL, LLC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Aaron I. Davis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Aaron I. Davis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BOXER ASSET MANAGEMENT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Jason Callender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Jason Callender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JOSEPH C. LEWIS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Joseph C.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Joseph C. Lewis, Individually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MVA INVESTORS, LLC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Aaron I. Davis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Aaron I. Davis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AARON I. DAVIS</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Aaron I. Davis</w:t>
            </w:r>
          </w:p>
        </w:tc>
      </w:tr>
      <w:tr>
        <w:trPr>
          <w:trHeight w:val="228"/>
        </w:trPr>
        <w:tc>
          <w:tcPr>
            <w:tcW w:w="58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Aaron I. Davis, Individually</w:t>
            </w:r>
          </w:p>
        </w:tc>
      </w:tr>
    </w:tbl>
    <w:p>
      <w:pPr>
        <w:sectPr>
          <w:pgSz w:w="11900" w:h="16838" w:orient="portrait"/>
          <w:cols w:equalWidth="0" w:num="1">
            <w:col w:w="11020"/>
          </w:cols>
          <w:pgMar w:left="440" w:top="266" w:right="43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 with respect to the common stock of PMV Pharmaceuticals, Inc., $0.00001 par value per share, is, and any amendments thereto executed by each of us shall be, filed on behalf of each of us pursuant to and in accordance with the provisions of Rule 13d-1(k)(1) under the Securities Exchange Act of 1934, as amended, and that this Agreement shall be included as an Exhibit to the Schedule 13G and each such amendment. Each of the undersigned agrees to be responsible for the timely filing of the Schedule 13G and any amendments thereto, and for the completeness and accuracy of the information concerning itself contained therein. This Agreement may be executed in any number of counterparts, all of which taken together shall constitute one and the same instrument.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as of September 30, 2020.</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BOXER CAPITAL, LLC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Aaron I. Davis</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BOXER ASSET MANAGEMENT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Jason Callender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Jason Callender</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JOSEPH C. LEWIS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Joseph C.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Joseph C. Lewis, Individually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MVA INVESTORS, LLC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Aaron I. Davis</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AARON I. DAVIS</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Aaron I. Davis, Individually</w:t>
      </w:r>
    </w:p>
    <w:sectPr>
      <w:pgSz w:w="11900" w:h="16838" w:orient="portrait"/>
      <w:cols w:equalWidth="0" w:num="1">
        <w:col w:w="10960"/>
      </w:cols>
      <w:pgMar w:left="440" w:top="12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lvl w:ilvl="1">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2"/>
    </w:lvl>
  </w:abstractNum>
  <w:abstractNum w:abstractNumId="10">
    <w:nsid w:val="140E0F76"/>
    <w:multiLevelType w:val="hybridMultilevel"/>
    <w:lvl w:ilvl="0">
      <w:lvlJc w:val="left"/>
      <w:lvlText w:val="(%1)"/>
      <w:numFmt w:val="lowerLetter"/>
      <w:start w:val="3"/>
    </w:lvl>
    <w:lvl w:ilvl="1">
      <w:lvlJc w:val="left"/>
      <w:lvlText w:val="(%2)"/>
      <w:numFmt w:val="lowerRoman"/>
      <w:start w:val="1"/>
    </w:lvl>
  </w:abstractNum>
  <w:abstractNum w:abstractNumId="11">
    <w:nsid w:val="3352255A"/>
    <w:multiLevelType w:val="hybridMultilevel"/>
    <w:lvl w:ilvl="0">
      <w:lvlJc w:val="left"/>
      <w:lvlText w:val="(%1)"/>
      <w:numFmt w:val="lowerRoman"/>
      <w:start w:val="3"/>
    </w:lvl>
  </w:abstractNum>
  <w:abstractNum w:abstractNumId="12">
    <w:nsid w:val="109CF92E"/>
    <w:multiLevelType w:val="hybridMultilevel"/>
    <w:lvl w:ilvl="0">
      <w:lvlJc w:val="left"/>
      <w:lvlText w:val="(%1)"/>
      <w:numFmt w:val="lowerLetter"/>
      <w:start w:val="3"/>
    </w:lvl>
  </w:abstractNum>
  <w:abstractNum w:abstractNumId="13">
    <w:nsid w:val="DED7263"/>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2020-09-30T15:34:56Z</dcterms:created>
  <dcterms:modified xsi:type="dcterms:W3CDTF">2020-09-30T15:34:56Z</dcterms:modified>
</cp:coreProperties>
</file>