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31" w:lineRule="exact"/>
        <w:rPr>
          <w:sz w:val="24"/>
          <w:szCs w:val="24"/>
          <w:color w:val="auto"/>
        </w:rPr>
      </w:pPr>
    </w:p>
    <w:p>
      <w:pPr>
        <w:ind w:left="4724"/>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4"/>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PMVP</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29, 2020, PMV Pharmaceuticals, Inc. (the “Company”) filed an amended and restated certificate of incorporation (the “Restated Certificate”) with the Secretary of State of the State of Delaware in connection with the completion of the Company’s initial public offering (“IPO”). The Company’s board of directors and stockholders previously approved the Restated Certificate to be effective immediately prior to the completion of the IPO. A description of the Restated Certificate is set forth in the sections titled “Risk Factors” and “Description of Capital Stock” of the Company’s Prospectus (the “Prospectus”) filed with the Securities and Exchange Commission on September 25, 2020 pursuant to Rule 424(b) under the Securities Act of 1933, as amended (the “Securities Act”), relating to the Registration Statement on Form S-1, as amended (Registration No. 333-248627). The description of the Restated Certificate is qualified in its entirety by reference to the full text of the Restated Certificate filed herewith as Exhibit 3.1 and incorporated herein by reference.</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as of September 29, 2020, the Company adopted amended and restated bylaws (the “Restated Bylaws”) in connection with the completion of the IPO. The Company’s board of directors and stockholders previously approved the Restated Bylaws to be effective immediately prior to the completion of the IPO. A description of the Restated Bylaws is set forth in the sections of the Prospectus titled “Risk Factors” and “Description of Capital Stock.” The description of the Restated Bylaws is qualified in its entirety by reference to the full text of the Restated Bylaws filed herewith as Exhibit 3.2 and incorporated herein by reference.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a press release announcing the closing of its IPO of 13,529,750 shares of its common stock (which includes 1,764,750 shares that were offered and sold pursuant to the full exercise of the underwriters’ option to purchase additional shares). A copy of the press release is attached hereto as Exhibit 99.1.</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5860" w:type="dxa"/>
            <w:vAlign w:val="bottom"/>
            <w:gridSpan w:val="2"/>
            <w:vMerge w:val="restart"/>
          </w:tcPr>
          <w:p>
            <w:pPr>
              <w:ind w:left="518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5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60" w:type="dxa"/>
            <w:vAlign w:val="bottom"/>
            <w:gridSpan w:val="2"/>
          </w:tcPr>
          <w:p>
            <w:pPr>
              <w:ind w:left="4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60" w:type="dxa"/>
            <w:vAlign w:val="bottom"/>
            <w:gridSpan w:val="2"/>
          </w:tcPr>
          <w:p>
            <w:pPr>
              <w:ind w:left="4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u w:val="single" w:color="auto"/>
                  <w:color w:val="0000EE"/>
                </w:rPr>
                <w:t>Amended and Restated Bylaws of the Registrant</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60" w:type="dxa"/>
            <w:vAlign w:val="bottom"/>
            <w:gridSpan w:val="2"/>
          </w:tcPr>
          <w:p>
            <w:pPr>
              <w:ind w:left="42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Press Release, dated September 29, 2020.</w:t>
              </w:r>
            </w:hyperlink>
          </w:p>
        </w:tc>
        <w:tc>
          <w:tcPr>
            <w:tcW w:w="0" w:type="dxa"/>
            <w:vAlign w:val="bottom"/>
          </w:tcPr>
          <w:p>
            <w:pPr>
              <w:spacing w:after="0"/>
              <w:rPr>
                <w:sz w:val="1"/>
                <w:szCs w:val="1"/>
                <w:color w:val="auto"/>
              </w:rPr>
            </w:pPr>
          </w:p>
        </w:tc>
      </w:tr>
    </w:tbl>
    <w:p>
      <w:pPr>
        <w:sectPr>
          <w:pgSz w:w="11900" w:h="16838" w:orient="portrait"/>
          <w:cols w:equalWidth="0" w:num="1">
            <w:col w:w="10880"/>
          </w:cols>
          <w:pgMar w:left="440" w:top="266" w:right="5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Mack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2020</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PMV Pharmaceuticals, Inc., a corporation organized and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 The Company was originally incorporated under the name of PJ Pharmaceuticals, Inc., and the original Certificate of Incorporation of the Company was filed with the Secretary of State of the State of Delaware on March 19, 2013.</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B. 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has been duly approved by the written consent of the stockholders of the Company in accordance with Section 228 of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Company is PMV Pharmaceuticals,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DGCL.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1. This Company is authorized to issue two classes of stock, to be designated, respectively, Common Stock and Preferred Stock. The total number of shares of stock that the Company shall have authority to issue is one billion and five million (1,005,000,000) of which one billion (1,000,000,000) shares are Common Stock, $0.00001 par value per share, and five million (5,000,000) shares are Preferred Stock, $0.00001 par value per share.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9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8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70" w:right="459" w:bottom="1440" w:gutter="0" w:footer="0" w:header="0"/>
        </w:sectPr>
      </w:pPr>
    </w:p>
    <w:bookmarkStart w:id="5" w:name="page6"/>
    <w:bookmarkEnd w:id="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decrease in the number of directors constituting the Board of Directors shall shorten the term of any incumbent director.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The Company is to have perpetual existence.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70"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 The election of directors need not be by written ballot unless the Bylaws of the Company shall so provide.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other provision of this Amended and Restated Certificate of Incorporation or any provision of law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PMV Pharmaceuticals, Inc. has caused this Amended and Restated Certificate of Incorporation to be signed by a duly authorized officer of the Company on this 29th day of September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Mack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20"/>
          </w:cols>
          <w:pgMar w:left="440" w:top="270"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(initially adopted on August 5, 2020)</w:t>
      </w:r>
    </w:p>
    <w:p>
      <w:pPr>
        <w:sectPr>
          <w:pgSz w:w="11900" w:h="16838" w:orient="portrait"/>
          <w:cols w:equalWidth="0" w:num="1">
            <w:col w:w="10020"/>
          </w:cols>
          <w:pgMar w:left="1440" w:top="11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79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r>
      <w:tr>
        <w:trPr>
          <w:trHeight w:val="373"/>
        </w:trPr>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OFFICE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OFFICES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PLACE OF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NOTICE PROCEDURES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 DATES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INSPECTORS OF ELECTION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REGULAR MEETINGS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MEETINGS;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 VOTING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 OF DIRECTORS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 MINUTES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SUBCOMMITTEES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SUBORDINATE OFFICERS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VACANCIES IN OFFICES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 OF SECURITIES OF OTHER ENTITIES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LOST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STOCKHOLDERS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SUCCESSFUL DEFENSE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DETERMINATION; CLAIM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FORUM SELECTION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5"/>
        </w:trPr>
        <w:tc>
          <w:tcPr>
            <w:tcW w:w="820" w:type="dxa"/>
            <w:vAlign w:val="bottom"/>
          </w:tcPr>
          <w:p>
            <w:pPr>
              <w:spacing w:after="0"/>
              <w:rPr>
                <w:sz w:val="24"/>
                <w:szCs w:val="24"/>
                <w:color w:val="auto"/>
              </w:rPr>
            </w:pPr>
          </w:p>
        </w:tc>
        <w:tc>
          <w:tcPr>
            <w:tcW w:w="934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c>
          <w:tcPr>
            <w:tcW w:w="8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BYLAWS OF 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113"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The registered office of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fixed in the Company’s certificate of incorporation, as the same may be amended from time to time.</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 OTHER OFFICES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may at any time establish other offices.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11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117" w:lineRule="exact"/>
        <w:rPr>
          <w:sz w:val="20"/>
          <w:szCs w:val="20"/>
          <w:color w:val="auto"/>
        </w:rPr>
      </w:pPr>
    </w:p>
    <w:p>
      <w:pPr>
        <w:ind w:left="4" w:right="140" w:firstLine="987"/>
        <w:spacing w:after="0" w:line="276" w:lineRule="auto"/>
        <w:tabs>
          <w:tab w:leader="none" w:pos="12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ind w:left="4" w:right="360" w:hanging="4"/>
        <w:spacing w:after="0" w:line="253"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04"/>
          </w:cols>
          <w:pgMar w:left="436" w:top="266" w:right="459" w:bottom="1440" w:gutter="0" w:footer="0" w:header="0"/>
        </w:sectPr>
      </w:pPr>
    </w:p>
    <w:bookmarkStart w:id="13" w:name="page14"/>
    <w:bookmarkEnd w:id="13"/>
    <w:p>
      <w:pPr>
        <w:ind w:left="4" w:firstLine="987"/>
        <w:spacing w:after="0" w:line="261" w:lineRule="auto"/>
        <w:tabs>
          <w:tab w:leader="none" w:pos="12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115" w:lineRule="exact"/>
        <w:rPr>
          <w:sz w:val="20"/>
          <w:szCs w:val="20"/>
          <w:color w:val="auto"/>
        </w:rPr>
      </w:pPr>
    </w:p>
    <w:p>
      <w:pPr>
        <w:ind w:left="1244" w:hanging="253"/>
        <w:spacing w:after="0"/>
        <w:tabs>
          <w:tab w:leader="none" w:pos="12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p>
    <w:p>
      <w:pPr>
        <w:spacing w:after="0" w:line="119" w:lineRule="exact"/>
        <w:rPr>
          <w:rFonts w:ascii="Times New Roman" w:cs="Times New Roman" w:eastAsia="Times New Roman" w:hAnsi="Times New Roman"/>
          <w:sz w:val="18"/>
          <w:szCs w:val="18"/>
          <w:color w:val="auto"/>
        </w:rPr>
      </w:pPr>
    </w:p>
    <w:p>
      <w:pPr>
        <w:ind w:left="4" w:right="420" w:firstLine="1428"/>
        <w:spacing w:after="0" w:line="276" w:lineRule="auto"/>
        <w:tabs>
          <w:tab w:leader="none" w:pos="1651"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(3) as may be provided in the certificate of designations for any class or series of preferred stock; or</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80" w:lineRule="exact"/>
        <w:rPr>
          <w:rFonts w:ascii="Times New Roman" w:cs="Times New Roman" w:eastAsia="Times New Roman" w:hAnsi="Times New Roman"/>
          <w:sz w:val="18"/>
          <w:szCs w:val="18"/>
          <w:color w:val="auto"/>
        </w:rPr>
      </w:pPr>
    </w:p>
    <w:p>
      <w:pPr>
        <w:ind w:left="4" w:firstLine="1428"/>
        <w:spacing w:after="0" w:line="252" w:lineRule="auto"/>
        <w:tabs>
          <w:tab w:leader="none" w:pos="170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means disclosure in a press release reported by a national news service or in a document publicly filed by the Company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pursuant to Section 13, 14 or 15(d) of the Securities Exchange Act of 1934 (as amended and inclusive of rules and regulations thereunder,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4"/>
          </w:cols>
          <w:pgMar w:left="436" w:top="270" w:right="459" w:bottom="1440" w:gutter="0" w:footer="0" w:header="0"/>
        </w:sectPr>
      </w:pPr>
    </w:p>
    <w:bookmarkStart w:id="14" w:name="page15"/>
    <w:bookmarkEnd w:id="14"/>
    <w:p>
      <w:pPr>
        <w:ind w:left="740" w:hanging="312"/>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stockholder’s notice to the secretary must set forth:</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117" w:lineRule="exact"/>
        <w:rPr>
          <w:rFonts w:ascii="Times New Roman" w:cs="Times New Roman" w:eastAsia="Times New Roman" w:hAnsi="Times New Roman"/>
          <w:sz w:val="18"/>
          <w:szCs w:val="18"/>
          <w:color w:val="auto"/>
        </w:rPr>
      </w:pPr>
    </w:p>
    <w:p>
      <w:pPr>
        <w:ind w:left="-1000" w:right="180" w:firstLine="2419"/>
        <w:spacing w:after="0" w:line="282" w:lineRule="auto"/>
        <w:tabs>
          <w:tab w:leader="none" w:pos="171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the contested election of directors, or is otherwise required, in each case pursuant to the Section 14 of the 1934 Act;</w:t>
      </w:r>
    </w:p>
    <w:p>
      <w:pPr>
        <w:spacing w:after="0" w:line="53" w:lineRule="exact"/>
        <w:rPr>
          <w:rFonts w:ascii="Times New Roman" w:cs="Times New Roman" w:eastAsia="Times New Roman" w:hAnsi="Times New Roman"/>
          <w:sz w:val="18"/>
          <w:szCs w:val="18"/>
          <w:color w:val="auto"/>
        </w:rPr>
      </w:pPr>
    </w:p>
    <w:p>
      <w:pPr>
        <w:ind w:left="-1000" w:right="700" w:firstLine="2419"/>
        <w:spacing w:after="0" w:line="282" w:lineRule="auto"/>
        <w:tabs>
          <w:tab w:leader="none" w:pos="170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in such stockholder’s proxy statement as a nominee of such stockholder and to serving as a director of the Company if elected;</w:t>
      </w:r>
    </w:p>
    <w:p>
      <w:pPr>
        <w:spacing w:after="0" w:line="53" w:lineRule="exact"/>
        <w:rPr>
          <w:rFonts w:ascii="Times New Roman" w:cs="Times New Roman" w:eastAsia="Times New Roman" w:hAnsi="Times New Roman"/>
          <w:sz w:val="18"/>
          <w:szCs w:val="18"/>
          <w:color w:val="auto"/>
        </w:rPr>
      </w:pPr>
    </w:p>
    <w:p>
      <w:pPr>
        <w:ind w:left="-1000" w:firstLine="2419"/>
        <w:spacing w:after="0" w:line="261" w:lineRule="auto"/>
        <w:tabs>
          <w:tab w:leader="none" w:pos="170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 w:cs="Times New Roman" w:eastAsia="Times New Roman" w:hAnsi="Times New Roman"/>
          <w:sz w:val="18"/>
          <w:szCs w:val="18"/>
          <w:b w:val="1"/>
          <w:bCs w:val="1"/>
          <w:color w:val="auto"/>
        </w:rPr>
        <w:t>Third-Party Compensation Arrangement</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right="220" w:firstLine="2419"/>
        <w:spacing w:after="0" w:line="266" w:lineRule="auto"/>
        <w:tabs>
          <w:tab w:leader="none" w:pos="171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6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117" w:lineRule="exact"/>
        <w:rPr>
          <w:rFonts w:ascii="Times New Roman" w:cs="Times New Roman" w:eastAsia="Times New Roman" w:hAnsi="Times New Roman"/>
          <w:sz w:val="18"/>
          <w:szCs w:val="18"/>
          <w:color w:val="auto"/>
        </w:rPr>
      </w:pPr>
    </w:p>
    <w:p>
      <w:pPr>
        <w:ind w:left="1720" w:hanging="301"/>
        <w:spacing w:after="0"/>
        <w:tabs>
          <w:tab w:leader="none" w:pos="17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117" w:lineRule="exact"/>
        <w:rPr>
          <w:rFonts w:ascii="Times New Roman" w:cs="Times New Roman" w:eastAsia="Times New Roman" w:hAnsi="Times New Roman"/>
          <w:sz w:val="18"/>
          <w:szCs w:val="18"/>
          <w:color w:val="auto"/>
        </w:rPr>
      </w:pPr>
    </w:p>
    <w:p>
      <w:pPr>
        <w:ind w:left="-1000" w:right="620" w:firstLine="2419"/>
        <w:spacing w:after="0" w:line="282" w:lineRule="auto"/>
        <w:tabs>
          <w:tab w:leader="none" w:pos="170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 or the Company’s certificate of incorporation);</w:t>
      </w:r>
    </w:p>
    <w:p>
      <w:pPr>
        <w:spacing w:after="0" w:line="53" w:lineRule="exact"/>
        <w:rPr>
          <w:rFonts w:ascii="Times New Roman" w:cs="Times New Roman" w:eastAsia="Times New Roman" w:hAnsi="Times New Roman"/>
          <w:sz w:val="18"/>
          <w:szCs w:val="18"/>
          <w:color w:val="auto"/>
        </w:rPr>
      </w:pPr>
    </w:p>
    <w:p>
      <w:pPr>
        <w:ind w:left="1700" w:hanging="281"/>
        <w:spacing w:after="0"/>
        <w:tabs>
          <w:tab w:leader="none" w:pos="17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117" w:lineRule="exact"/>
        <w:rPr>
          <w:rFonts w:ascii="Times New Roman" w:cs="Times New Roman" w:eastAsia="Times New Roman" w:hAnsi="Times New Roman"/>
          <w:sz w:val="18"/>
          <w:szCs w:val="18"/>
          <w:color w:val="auto"/>
        </w:rPr>
      </w:pPr>
    </w:p>
    <w:p>
      <w:pPr>
        <w:ind w:left="-1000" w:right="320" w:firstLine="2419"/>
        <w:spacing w:after="0" w:line="282" w:lineRule="auto"/>
        <w:tabs>
          <w:tab w:leader="none" w:pos="171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53" w:lineRule="exact"/>
        <w:rPr>
          <w:rFonts w:ascii="Times New Roman" w:cs="Times New Roman" w:eastAsia="Times New Roman" w:hAnsi="Times New Roman"/>
          <w:sz w:val="18"/>
          <w:szCs w:val="18"/>
          <w:color w:val="auto"/>
        </w:rPr>
      </w:pPr>
    </w:p>
    <w:p>
      <w:pPr>
        <w:jc w:val="both"/>
        <w:ind w:left="-1000" w:right="380" w:firstLine="2419"/>
        <w:spacing w:after="0" w:line="266" w:lineRule="auto"/>
        <w:tabs>
          <w:tab w:leader="none" w:pos="169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08"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000"/>
          </w:cols>
          <w:pgMar w:left="1440" w:top="270" w:right="459" w:bottom="1440" w:gutter="0" w:footer="0" w:header="0"/>
        </w:sectPr>
      </w:pPr>
    </w:p>
    <w:bookmarkStart w:id="15" w:name="page16"/>
    <w:bookmarkEnd w:id="15"/>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 as to the stockholder giving the notice and the beneficial owner, if any, on whose behalf the nomination or proposal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99" w:lineRule="exact"/>
        <w:rPr>
          <w:sz w:val="20"/>
          <w:szCs w:val="20"/>
          <w:color w:val="auto"/>
        </w:rPr>
      </w:pPr>
    </w:p>
    <w:p>
      <w:pPr>
        <w:ind w:right="100" w:firstLine="2419"/>
        <w:spacing w:after="0" w:line="282" w:lineRule="auto"/>
        <w:tabs>
          <w:tab w:leader="none" w:pos="2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of such beneficial owner and of their respective affiliates or associates or others acting in concert with them;</w:t>
      </w:r>
    </w:p>
    <w:p>
      <w:pPr>
        <w:spacing w:after="0" w:line="53" w:lineRule="exact"/>
        <w:rPr>
          <w:rFonts w:ascii="Times New Roman" w:cs="Times New Roman" w:eastAsia="Times New Roman" w:hAnsi="Times New Roman"/>
          <w:sz w:val="18"/>
          <w:szCs w:val="18"/>
          <w:color w:val="auto"/>
        </w:rPr>
      </w:pPr>
    </w:p>
    <w:p>
      <w:pPr>
        <w:ind w:right="20" w:firstLine="2419"/>
        <w:spacing w:after="0" w:line="312" w:lineRule="auto"/>
        <w:tabs>
          <w:tab w:leader="none" w:pos="27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31" w:lineRule="exact"/>
        <w:rPr>
          <w:rFonts w:ascii="Times New Roman" w:cs="Times New Roman" w:eastAsia="Times New Roman" w:hAnsi="Times New Roman"/>
          <w:sz w:val="17"/>
          <w:szCs w:val="17"/>
          <w:color w:val="auto"/>
        </w:rPr>
      </w:pPr>
    </w:p>
    <w:p>
      <w:pPr>
        <w:ind w:right="60" w:firstLine="2419"/>
        <w:spacing w:after="0" w:line="266" w:lineRule="auto"/>
        <w:tabs>
          <w:tab w:leader="none" w:pos="27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67" w:lineRule="exact"/>
        <w:rPr>
          <w:rFonts w:ascii="Times New Roman" w:cs="Times New Roman" w:eastAsia="Times New Roman" w:hAnsi="Times New Roman"/>
          <w:sz w:val="18"/>
          <w:szCs w:val="18"/>
          <w:color w:val="auto"/>
        </w:rPr>
      </w:pPr>
    </w:p>
    <w:p>
      <w:pPr>
        <w:ind w:firstLine="2419"/>
        <w:spacing w:after="0" w:line="255" w:lineRule="auto"/>
        <w:tabs>
          <w:tab w:leader="none" w:pos="2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or any other agreement, arrangement or understanding that has been made the effect or intent of which is to create or mitigate loss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80" w:lineRule="exact"/>
        <w:rPr>
          <w:rFonts w:ascii="Times New Roman" w:cs="Times New Roman" w:eastAsia="Times New Roman" w:hAnsi="Times New Roman"/>
          <w:sz w:val="18"/>
          <w:szCs w:val="18"/>
          <w:color w:val="auto"/>
        </w:rPr>
      </w:pPr>
    </w:p>
    <w:p>
      <w:pPr>
        <w:ind w:right="20" w:firstLine="2419"/>
        <w:spacing w:after="0" w:line="282" w:lineRule="auto"/>
        <w:tabs>
          <w:tab w:leader="none" w:pos="26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53" w:lineRule="exact"/>
        <w:rPr>
          <w:rFonts w:ascii="Times New Roman" w:cs="Times New Roman" w:eastAsia="Times New Roman" w:hAnsi="Times New Roman"/>
          <w:sz w:val="18"/>
          <w:szCs w:val="18"/>
          <w:color w:val="auto"/>
        </w:rPr>
      </w:pPr>
    </w:p>
    <w:p>
      <w:pPr>
        <w:ind w:right="20" w:firstLine="2419"/>
        <w:spacing w:after="0" w:line="266" w:lineRule="auto"/>
        <w:tabs>
          <w:tab w:leader="none" w:pos="2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67" w:lineRule="exact"/>
        <w:rPr>
          <w:rFonts w:ascii="Times New Roman" w:cs="Times New Roman" w:eastAsia="Times New Roman" w:hAnsi="Times New Roman"/>
          <w:sz w:val="18"/>
          <w:szCs w:val="18"/>
          <w:color w:val="auto"/>
        </w:rPr>
      </w:pPr>
    </w:p>
    <w:p>
      <w:pPr>
        <w:ind w:right="100" w:firstLine="2419"/>
        <w:spacing w:after="0" w:line="261" w:lineRule="auto"/>
        <w:tabs>
          <w:tab w:leader="none" w:pos="2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71" w:lineRule="exact"/>
        <w:rPr>
          <w:rFonts w:ascii="Times New Roman" w:cs="Times New Roman" w:eastAsia="Times New Roman" w:hAnsi="Times New Roman"/>
          <w:sz w:val="18"/>
          <w:szCs w:val="18"/>
          <w:color w:val="auto"/>
        </w:rPr>
      </w:pPr>
    </w:p>
    <w:p>
      <w:pPr>
        <w:ind w:right="100" w:firstLine="2419"/>
        <w:spacing w:after="0" w:line="282" w:lineRule="auto"/>
        <w:tabs>
          <w:tab w:leader="none" w:pos="2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16" w:name="page17"/>
    <w:bookmarkEnd w:id="16"/>
    <w:p>
      <w:pPr>
        <w:jc w:val="both"/>
        <w:ind w:left="-987" w:firstLine="2419"/>
        <w:spacing w:after="0" w:line="266" w:lineRule="auto"/>
        <w:tabs>
          <w:tab w:leader="none" w:pos="166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67" w:lineRule="exact"/>
        <w:rPr>
          <w:rFonts w:ascii="Times New Roman" w:cs="Times New Roman" w:eastAsia="Times New Roman" w:hAnsi="Times New Roman"/>
          <w:sz w:val="18"/>
          <w:szCs w:val="18"/>
          <w:color w:val="auto"/>
        </w:rPr>
      </w:pPr>
    </w:p>
    <w:p>
      <w:pPr>
        <w:ind w:left="-987" w:right="20" w:firstLine="2419"/>
        <w:spacing w:after="0" w:line="266" w:lineRule="auto"/>
        <w:tabs>
          <w:tab w:leader="none" w:pos="167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67" w:lineRule="exact"/>
        <w:rPr>
          <w:rFonts w:ascii="Times New Roman" w:cs="Times New Roman" w:eastAsia="Times New Roman" w:hAnsi="Times New Roman"/>
          <w:sz w:val="18"/>
          <w:szCs w:val="18"/>
          <w:color w:val="auto"/>
        </w:rPr>
      </w:pPr>
    </w:p>
    <w:p>
      <w:pPr>
        <w:ind w:left="-987" w:right="120" w:firstLine="2419"/>
        <w:spacing w:after="0" w:line="261" w:lineRule="auto"/>
        <w:tabs>
          <w:tab w:leader="none" w:pos="173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71" w:lineRule="exact"/>
        <w:rPr>
          <w:rFonts w:ascii="Times New Roman" w:cs="Times New Roman" w:eastAsia="Times New Roman" w:hAnsi="Times New Roman"/>
          <w:sz w:val="18"/>
          <w:szCs w:val="18"/>
          <w:color w:val="auto"/>
        </w:rPr>
      </w:pPr>
    </w:p>
    <w:p>
      <w:pPr>
        <w:jc w:val="both"/>
        <w:ind w:left="-987" w:firstLine="2419"/>
        <w:spacing w:after="0" w:line="261" w:lineRule="auto"/>
        <w:tabs>
          <w:tab w:leader="none" w:pos="171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71" w:lineRule="exact"/>
        <w:rPr>
          <w:rFonts w:ascii="Times New Roman" w:cs="Times New Roman" w:eastAsia="Times New Roman" w:hAnsi="Times New Roman"/>
          <w:sz w:val="18"/>
          <w:szCs w:val="18"/>
          <w:color w:val="auto"/>
        </w:rPr>
      </w:pPr>
    </w:p>
    <w:p>
      <w:pPr>
        <w:ind w:left="-987" w:right="500" w:firstLine="2419"/>
        <w:spacing w:after="0" w:line="282" w:lineRule="auto"/>
        <w:tabs>
          <w:tab w:leader="none" w:pos="176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Company may reasonably require to determine whether such proposed item of business is a proper matter for stockholder action.</w:t>
      </w:r>
    </w:p>
    <w:p>
      <w:pPr>
        <w:spacing w:after="0" w:line="53" w:lineRule="exact"/>
        <w:rPr>
          <w:rFonts w:ascii="Times New Roman" w:cs="Times New Roman" w:eastAsia="Times New Roman" w:hAnsi="Times New Roman"/>
          <w:sz w:val="18"/>
          <w:szCs w:val="18"/>
          <w:color w:val="auto"/>
        </w:rPr>
      </w:pPr>
    </w:p>
    <w:p>
      <w:pPr>
        <w:ind w:left="-987" w:right="40" w:firstLine="1428"/>
        <w:spacing w:after="0" w:line="254" w:lineRule="auto"/>
        <w:tabs>
          <w:tab w:leader="none" w:pos="7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to be timely, a stockholder’s notice must further be updated and supplemented,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Such update and supplement, if applicable, must be received by the secretary at the principal executive offices of the Company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w:t>
      </w:r>
    </w:p>
    <w:p>
      <w:pPr>
        <w:spacing w:after="0" w:line="81" w:lineRule="exact"/>
        <w:rPr>
          <w:rFonts w:ascii="Times New Roman" w:cs="Times New Roman" w:eastAsia="Times New Roman" w:hAnsi="Times New Roman"/>
          <w:sz w:val="18"/>
          <w:szCs w:val="18"/>
          <w:color w:val="auto"/>
        </w:rPr>
      </w:pPr>
    </w:p>
    <w:p>
      <w:pPr>
        <w:ind w:left="-987" w:right="100" w:firstLine="987"/>
        <w:spacing w:after="0" w:line="257"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Section 2.3(a),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w:t>
      </w:r>
    </w:p>
    <w:p>
      <w:pPr>
        <w:spacing w:after="0" w:line="116"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013"/>
          </w:cols>
          <w:pgMar w:left="1427" w:top="270" w:right="459" w:bottom="1440" w:gutter="0" w:footer="0" w:header="0"/>
        </w:sectPr>
      </w:pPr>
    </w:p>
    <w:bookmarkStart w:id="17" w:name="page18"/>
    <w:bookmarkEnd w:id="1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w:t>
      </w:r>
    </w:p>
    <w:p>
      <w:pPr>
        <w:ind w:left="4" w:right="60" w:hanging="4"/>
        <w:spacing w:after="0" w:line="25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w:t>
      </w:r>
    </w:p>
    <w:p>
      <w:pPr>
        <w:spacing w:after="0" w:line="119" w:lineRule="exact"/>
        <w:rPr>
          <w:rFonts w:ascii="Times New Roman" w:cs="Times New Roman" w:eastAsia="Times New Roman" w:hAnsi="Times New Roman"/>
          <w:sz w:val="18"/>
          <w:szCs w:val="18"/>
          <w:color w:val="auto"/>
        </w:rPr>
      </w:pPr>
    </w:p>
    <w:p>
      <w:pPr>
        <w:ind w:left="4" w:right="80" w:firstLine="1428"/>
        <w:spacing w:after="0" w:line="282" w:lineRule="auto"/>
        <w:tabs>
          <w:tab w:leader="none" w:pos="165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53" w:lineRule="exact"/>
        <w:rPr>
          <w:rFonts w:ascii="Times New Roman" w:cs="Times New Roman" w:eastAsia="Times New Roman" w:hAnsi="Times New Roman"/>
          <w:sz w:val="18"/>
          <w:szCs w:val="18"/>
          <w:color w:val="auto"/>
        </w:rPr>
      </w:pPr>
    </w:p>
    <w:p>
      <w:pPr>
        <w:ind w:left="4" w:right="20" w:firstLine="1979"/>
        <w:spacing w:after="0" w:line="261" w:lineRule="auto"/>
        <w:tabs>
          <w:tab w:leader="none" w:pos="2242"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71" w:lineRule="exact"/>
        <w:rPr>
          <w:rFonts w:ascii="Times New Roman" w:cs="Times New Roman" w:eastAsia="Times New Roman" w:hAnsi="Times New Roman"/>
          <w:sz w:val="18"/>
          <w:szCs w:val="18"/>
          <w:color w:val="auto"/>
        </w:rPr>
      </w:pPr>
    </w:p>
    <w:p>
      <w:pPr>
        <w:jc w:val="both"/>
        <w:ind w:left="4" w:right="60" w:firstLine="1979"/>
        <w:spacing w:after="0" w:line="266" w:lineRule="auto"/>
        <w:tabs>
          <w:tab w:leader="none" w:pos="2242"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67" w:lineRule="exact"/>
        <w:rPr>
          <w:rFonts w:ascii="Times New Roman" w:cs="Times New Roman" w:eastAsia="Times New Roman" w:hAnsi="Times New Roman"/>
          <w:sz w:val="18"/>
          <w:szCs w:val="18"/>
          <w:color w:val="auto"/>
        </w:rPr>
      </w:pPr>
    </w:p>
    <w:p>
      <w:pPr>
        <w:ind w:left="4" w:right="60" w:firstLine="1979"/>
        <w:spacing w:after="0" w:line="282" w:lineRule="auto"/>
        <w:tabs>
          <w:tab w:leader="none" w:pos="2242"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Company, such nominee is not, and will not become, a party to any Third-Party Compensation Arrangement;</w:t>
      </w:r>
    </w:p>
    <w:p>
      <w:pPr>
        <w:spacing w:after="0" w:line="53" w:lineRule="exact"/>
        <w:rPr>
          <w:rFonts w:ascii="Times New Roman" w:cs="Times New Roman" w:eastAsia="Times New Roman" w:hAnsi="Times New Roman"/>
          <w:sz w:val="18"/>
          <w:szCs w:val="18"/>
          <w:color w:val="auto"/>
        </w:rPr>
      </w:pPr>
    </w:p>
    <w:p>
      <w:pPr>
        <w:ind w:left="4" w:right="200" w:firstLine="1979"/>
        <w:spacing w:after="0" w:line="312" w:lineRule="auto"/>
        <w:tabs>
          <w:tab w:leader="none" w:pos="2242" w:val="left"/>
        </w:tabs>
        <w:numPr>
          <w:ilvl w:val="3"/>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31" w:lineRule="exact"/>
        <w:rPr>
          <w:rFonts w:ascii="Times New Roman" w:cs="Times New Roman" w:eastAsia="Times New Roman" w:hAnsi="Times New Roman"/>
          <w:sz w:val="17"/>
          <w:szCs w:val="17"/>
          <w:color w:val="auto"/>
        </w:rPr>
      </w:pPr>
    </w:p>
    <w:p>
      <w:pPr>
        <w:ind w:left="2244" w:hanging="261"/>
        <w:spacing w:after="0"/>
        <w:tabs>
          <w:tab w:leader="none" w:pos="2244"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98"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0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64"/>
          </w:cols>
          <w:pgMar w:left="436" w:top="270" w:right="499" w:bottom="1440" w:gutter="0" w:footer="0" w:header="0"/>
        </w:sectPr>
      </w:pPr>
    </w:p>
    <w:bookmarkStart w:id="18" w:name="page19"/>
    <w:bookmarkEnd w:id="18"/>
    <w:p>
      <w:pPr>
        <w:ind w:right="40" w:firstLine="1428"/>
        <w:spacing w:after="0" w:line="266" w:lineRule="auto"/>
        <w:tabs>
          <w:tab w:leader="none" w:pos="17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67" w:lineRule="exact"/>
        <w:rPr>
          <w:rFonts w:ascii="Times New Roman" w:cs="Times New Roman" w:eastAsia="Times New Roman" w:hAnsi="Times New Roman"/>
          <w:sz w:val="18"/>
          <w:szCs w:val="18"/>
          <w:color w:val="auto"/>
        </w:rPr>
      </w:pPr>
    </w:p>
    <w:p>
      <w:pPr>
        <w:ind w:right="60" w:firstLine="1428"/>
        <w:spacing w:after="0" w:line="261" w:lineRule="auto"/>
        <w:tabs>
          <w:tab w:leader="none" w:pos="17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71"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83" w:lineRule="exact"/>
        <w:rPr>
          <w:rFonts w:ascii="Times New Roman" w:cs="Times New Roman" w:eastAsia="Times New Roman" w:hAnsi="Times New Roman"/>
          <w:sz w:val="18"/>
          <w:szCs w:val="18"/>
          <w:color w:val="auto"/>
        </w:rPr>
      </w:pPr>
    </w:p>
    <w:p>
      <w:pPr>
        <w:ind w:right="100" w:firstLine="1428"/>
        <w:spacing w:after="0" w:line="258" w:lineRule="auto"/>
        <w:tabs>
          <w:tab w:leader="none" w:pos="17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75" w:lineRule="exact"/>
        <w:rPr>
          <w:rFonts w:ascii="Times New Roman" w:cs="Times New Roman" w:eastAsia="Times New Roman" w:hAnsi="Times New Roman"/>
          <w:sz w:val="18"/>
          <w:szCs w:val="18"/>
          <w:color w:val="auto"/>
        </w:rPr>
      </w:pPr>
    </w:p>
    <w:p>
      <w:pPr>
        <w:ind w:right="60" w:firstLine="1428"/>
        <w:spacing w:after="0" w:line="256" w:lineRule="auto"/>
        <w:tabs>
          <w:tab w:leader="none" w:pos="17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 has been prepared by the Company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20"/>
          </w:cols>
          <w:pgMar w:left="440" w:top="270" w:right="439" w:bottom="1440" w:gutter="0" w:footer="0" w:header="0"/>
        </w:sectPr>
      </w:pPr>
    </w:p>
    <w:bookmarkStart w:id="19" w:name="page20"/>
    <w:bookmarkEnd w:id="19"/>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QUORUM</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7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0"/>
          </w:cols>
          <w:pgMar w:left="440" w:top="270" w:right="4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 VOTING</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or these bylaws, each stockholder shall be entitled to one vote for each share of capital stock held by such stockholder.</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21" w:name="page22"/>
    <w:bookmarkEnd w:id="21"/>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PROXIES</w:t>
      </w:r>
    </w:p>
    <w:p>
      <w:pPr>
        <w:spacing w:after="0" w:line="11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prepare, at least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2.14 INSPECTORS OF ELECTION</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certify their determination of the number of shares represented at the meeting, and their count of all votes and ballots.</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 POWERS</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11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 ELECTION, QUALIFICATION AND TERM OF OFFICE OF DIRECTORS</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Company shall be divided into three classes.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 SPECIAL MEETINGS; NOTICE</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232 of the DGCL),</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11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 BOARD ACTION BY WRITTEN CONSENT WITHOUT A MEETING</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117"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 w:name="page27"/>
    <w:bookmarkEnd w:id="2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 COMMITTEE MINUTES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17" w:lineRule="exact"/>
        <w:rPr>
          <w:sz w:val="20"/>
          <w:szCs w:val="20"/>
          <w:color w:val="auto"/>
        </w:rPr>
      </w:pPr>
    </w:p>
    <w:p>
      <w:pPr>
        <w:ind w:left="1244" w:hanging="253"/>
        <w:spacing w:after="0"/>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117"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(waiver of notice)</w:t>
      </w:r>
    </w:p>
    <w:p>
      <w:pPr>
        <w:spacing w:after="0" w:line="225" w:lineRule="exact"/>
        <w:rPr>
          <w:sz w:val="20"/>
          <w:szCs w:val="20"/>
          <w:color w:val="auto"/>
        </w:rPr>
      </w:pPr>
    </w:p>
    <w:p>
      <w:pPr>
        <w:ind w:left="4" w:right="260"/>
        <w:spacing w:after="0" w:line="272" w:lineRule="auto"/>
        <w:rPr>
          <w:sz w:val="20"/>
          <w:szCs w:val="20"/>
          <w:color w:val="auto"/>
        </w:rPr>
      </w:pPr>
      <w:r>
        <w:rPr>
          <w:rFonts w:ascii="Times New Roman" w:cs="Times New Roman" w:eastAsia="Times New Roman" w:hAnsi="Times New Roman"/>
          <w:sz w:val="17"/>
          <w:szCs w:val="17"/>
          <w:color w:val="auto"/>
        </w:rPr>
        <w:t xml:space="preserve">with such changes in the context of those bylaws as are necessary to substitute the committee and its members for the Board of Directors and its members.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 the time and place of regular meetings of committees may be determined either by resolution of the Board of Directors or by resolution of the committee; (ii) special meetings of committees may also be called by resolution of the Board of Directors or the committee; and</w:t>
      </w:r>
    </w:p>
    <w:p>
      <w:pPr>
        <w:spacing w:after="0" w:line="2" w:lineRule="exact"/>
        <w:rPr>
          <w:sz w:val="20"/>
          <w:szCs w:val="20"/>
          <w:color w:val="auto"/>
        </w:rPr>
      </w:pPr>
    </w:p>
    <w:p>
      <w:pPr>
        <w:jc w:val="both"/>
        <w:ind w:left="4" w:right="660" w:hanging="4"/>
        <w:spacing w:after="0" w:line="290" w:lineRule="auto"/>
        <w:tabs>
          <w:tab w:leader="none" w:pos="31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57"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4.4 SUBCOMMITTEES</w:t>
      </w:r>
    </w:p>
    <w:p>
      <w:pPr>
        <w:spacing w:after="0" w:line="11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4"/>
          </w:cols>
          <w:pgMar w:left="436" w:top="270" w:right="5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 -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5.1 OFFICERS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11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11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6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vacancy occurring in any office of the Company shall be filled by the Board of Directors or as provided in Section 5.3.</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117" w:lineRule="exact"/>
        <w:rPr>
          <w:sz w:val="20"/>
          <w:szCs w:val="20"/>
          <w:color w:val="auto"/>
        </w:rPr>
      </w:pPr>
    </w:p>
    <w:p>
      <w:pPr>
        <w:jc w:val="both"/>
        <w:ind w:right="260" w:firstLine="440"/>
        <w:spacing w:after="0" w:line="256"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5.7 AUTHORITY AND DUTIES OF OFFICERS</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authorized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11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6.4 DIVIDENDS</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11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11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6.7 REGISTERED STOCKHOLDERS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w:t>
      </w:r>
    </w:p>
    <w:p>
      <w:pPr>
        <w:spacing w:after="0" w:line="117" w:lineRule="exact"/>
        <w:rPr>
          <w:sz w:val="20"/>
          <w:szCs w:val="20"/>
          <w:color w:val="auto"/>
        </w:rPr>
      </w:pPr>
    </w:p>
    <w:p>
      <w:pPr>
        <w:ind w:right="340" w:firstLine="987"/>
        <w:spacing w:after="0" w:line="282"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notices and to vote as such owner; and</w:t>
      </w:r>
    </w:p>
    <w:p>
      <w:pPr>
        <w:spacing w:after="0" w:line="5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 NOTICE OF STOCKHOLDERS’ MEETINGS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117"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right="620"/>
        <w:spacing w:after="0" w:line="255" w:lineRule="auto"/>
        <w:rPr>
          <w:sz w:val="20"/>
          <w:szCs w:val="20"/>
          <w:color w:val="auto"/>
        </w:rPr>
      </w:pPr>
      <w:r>
        <w:rPr>
          <w:rFonts w:ascii="Times New Roman" w:cs="Times New Roman" w:eastAsia="Times New Roman" w:hAnsi="Times New Roman"/>
          <w:sz w:val="18"/>
          <w:szCs w:val="18"/>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11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11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1" w:name="page32"/>
    <w:bookmarkEnd w:id="3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11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COMPANY</w:t>
      </w:r>
    </w:p>
    <w:p>
      <w:pPr>
        <w:spacing w:after="0" w:line="117"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 SUCCESSFUL DEFENSE</w:t>
      </w:r>
    </w:p>
    <w:p>
      <w:pPr>
        <w:spacing w:after="0" w:line="11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117" w:lineRule="exact"/>
        <w:rPr>
          <w:sz w:val="20"/>
          <w:szCs w:val="20"/>
          <w:color w:val="auto"/>
        </w:rPr>
      </w:pPr>
    </w:p>
    <w:p>
      <w:pPr>
        <w:jc w:val="both"/>
        <w:ind w:right="600" w:firstLine="440"/>
        <w:spacing w:after="0" w:line="289"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have power to indemnify its employees and agents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 ADVANCED PAYMENT OF EXPENSES</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8.6 LIMITATION ON INDEMNIFICATION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Company shall not be obligated to indemnify any person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99" w:lineRule="exact"/>
        <w:rPr>
          <w:sz w:val="20"/>
          <w:szCs w:val="20"/>
          <w:color w:val="auto"/>
        </w:rPr>
      </w:pPr>
    </w:p>
    <w:p>
      <w:pPr>
        <w:ind w:firstLine="987"/>
        <w:spacing w:after="0" w:line="282"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53"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53"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such person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if such person is held liable therefor (including pursuant to any settlement arrangements);</w:t>
      </w:r>
    </w:p>
    <w:p>
      <w:pPr>
        <w:spacing w:after="0" w:line="7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117"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8.9 INSURANCE</w:t>
      </w:r>
    </w:p>
    <w:p>
      <w:pPr>
        <w:spacing w:after="0" w:line="11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8.10 SURVIVAL</w:t>
      </w:r>
    </w:p>
    <w:p>
      <w:pPr>
        <w:spacing w:after="0" w:line="11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11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 of the Company</w:t>
      </w:r>
      <w:r>
        <w:rPr>
          <w:rFonts w:ascii="Times New Roman" w:cs="Times New Roman" w:eastAsia="Times New Roman" w:hAnsi="Times New Roman"/>
          <w:sz w:val="18"/>
          <w:szCs w:val="18"/>
          <w:color w:val="auto"/>
        </w:rPr>
        <w:t>” as referred to in this Article VIII.</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5" w:name="page36"/>
    <w:bookmarkEnd w:id="35"/>
    <w:p>
      <w:pPr>
        <w:ind w:left="4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 - 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9.2 FISCAL YEAR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Company shall be fixed by resolution of the Board of Directors and may be changed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9.3 SEAL</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company (including, but not limited to, a limited liability company), corporation, partnership, joint venture, trust or other enterprise, and a natural person. Any reference in these bylaws to a section of the DGCL shall be deemed to refer to such section as amended from time to time and any successor provisions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9.5 FORUM SELECTION</w:t>
      </w:r>
    </w:p>
    <w:p>
      <w:pPr>
        <w:spacing w:after="0" w:line="117"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To the fullest extent permitted by applicable law, 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To the fullest extent permitted by applicable law,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or holding any interest in any security of the Company shall be deemed to have notice of and consented to the provisions of this section 9.5.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2CA"/>
        </w:rPr>
        <w:t>PMV Pharma Announces Closing of $243.5 Million Initial Public Offering and Exercise 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2CA"/>
        </w:rPr>
        <w:t>Full of the Underwriters’ Option to Purchase Additional Shares</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CRANBURY, New Jersey, September 29, 2020 (GLOBE NEWSWIRE) –- PMV Pharmaceuticals, Inc., a precision oncology company pioneering the discovery and development of small molecule, tumor-agnostic therapies targeting p53 mutations, today announced the closing of its initial public offering of 13,529,750 shares of common stock, which includes the exercise in full by the underwriters of their option to purchase 1,764,750 additional shares of common stock, at a public offering price of $18.00 per share. The aggregate gross proceeds to PMV Pharma from the offering were approximately $243.5 million, before deducting underwriting discounts and commissions and other offering expenses. All of the shares in the offering were offered by PMV Pharma. PMV Pharma’s common stock is listed on the Nasdaq Global Select Market under the ticker symbol “PMVP.”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BofA Securities, Cowen and Evercore ISI acted as joint book-running managers for the offering.</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registration statement relating to the shares sold in the offering was filed with the Securities and Exchange Commission and became effective on September 24, 2020. The offering was made only by means of a prospectus. Copies of the final prospectus relating to this offering may be obtained for free by visiting EDGAR on the SEC’s website at www.sec.gov. Alternatively, copies of the prospectus, when available, may be obtained for free from the offices of Goldman Sachs &amp; Co. LLC, Attention: Prospectus Department, 200 West Street, New York, NY 10282, by telephone at 1-866-471-2526, or by email at Prospectus-ny@ny.email.gs.com; BofA Securities, Attention: Prospectus Department, NC1-004-03-43, 200 North College Street, 3rd Floor, Charlotte, NC 28255, or by email at dg.prospectus_requests@bofa.com; Cowen and Company, LLC, c/o Broadridge Financial Solutions, 1155 Long Island Avenue, Edgewood, NY 11717, Attention: Prospectus Department, by telephone at 1-833-297-2926, or by email at PostSaleManualRequests@broadridge.com; or Evercore Group L.L.C., Attention: Equity Capital Markets, 55 East 52nd Street, 36th Floor, New York, NY 10055, by telephone at 1-888-474-0200, or by email at ecm.prospectus@evercore.com.</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2CA"/>
        </w:rPr>
        <w:t>About PMV Pharma</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PMV Pharma is a precision oncology company pioneering the discovery and development of small molecule, tumor-agnostic therapies targeting p53 mutations.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82CA"/>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2CA"/>
        </w:rPr>
        <w:t>For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 Kung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investors@pmvpharma.com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2CA"/>
        </w:rPr>
        <w:t>For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Mariann Caprino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mcaprino@pmvpharma.com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 242-1087 mobile</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
    <w:nsid w:val="1190CDE7"/>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
    <w:nsid w:val="109CF92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7">
    <w:nsid w:val="DED7263"/>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8">
    <w:nsid w:val="7FDCC233"/>
    <w:multiLevelType w:val="hybridMultilevel"/>
    <w:lvl w:ilvl="0">
      <w:lvlJc w:val="left"/>
      <w:lvlText w:val="(%1)"/>
      <w:numFmt w:val="upperLetter"/>
      <w:start w:val="1"/>
    </w:lvl>
    <w:lvl w:ilvl="1">
      <w:lvlJc w:val="left"/>
      <w:lvlText w:val="-"/>
      <w:numFmt w:val="bullet"/>
      <w:start w:val="1"/>
    </w:lvl>
  </w:abstractNum>
  <w:abstractNum w:abstractNumId="9">
    <w:nsid w:val="1BEFD7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9"/>
    </w:lvl>
    <w:lvl w:ilvl="3">
      <w:lvlJc w:val="left"/>
      <w:lvlText w:val="-"/>
      <w:numFmt w:val="bullet"/>
      <w:start w:val="1"/>
    </w:lvl>
  </w:abstractNum>
  <w:abstractNum w:abstractNumId="10">
    <w:nsid w:val="41A7C4C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11">
    <w:nsid w:val="6B68079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2">
    <w:nsid w:val="4E6AFB66"/>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3">
    <w:nsid w:val="25E45D32"/>
    <w:multiLevelType w:val="hybridMultilevel"/>
    <w:lvl w:ilvl="0">
      <w:lvlJc w:val="left"/>
      <w:lvlText w:val="(%1)"/>
      <w:numFmt w:val="lowerRoman"/>
      <w:start w:val="3"/>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3"/>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2020-09-29T16:14:49Z</dcterms:created>
  <dcterms:modified xsi:type="dcterms:W3CDTF">2020-09-29T16:14:49Z</dcterms:modified>
</cp:coreProperties>
</file>