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__)*</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5"/>
          <w:szCs w:val="25"/>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Common stock, par value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May 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2"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2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Citadel Advisors LLC</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color w:val="auto"/>
              </w:rPr>
              <w:t>SEC USE ONLY</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spacing w:after="0"/>
              <w:rPr>
                <w:sz w:val="23"/>
                <w:szCs w:val="23"/>
                <w:color w:val="auto"/>
              </w:rPr>
            </w:pPr>
          </w:p>
        </w:tc>
        <w:tc>
          <w:tcPr>
            <w:tcW w:w="4380" w:type="dxa"/>
            <w:vAlign w:val="bottom"/>
            <w:tcBorders>
              <w:bottom w:val="single" w:sz="8" w:color="auto"/>
            </w:tcBorders>
            <w:gridSpan w:val="2"/>
          </w:tcPr>
          <w:p>
            <w:pPr>
              <w:spacing w:after="0"/>
              <w:rPr>
                <w:sz w:val="23"/>
                <w:szCs w:val="23"/>
                <w:color w:val="auto"/>
              </w:rPr>
            </w:pPr>
          </w:p>
        </w:tc>
        <w:tc>
          <w:tcPr>
            <w:tcW w:w="314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b w:val="1"/>
                <w:bCs w:val="1"/>
                <w:color w:val="auto"/>
              </w:rPr>
              <w:t>Delaware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4"/>
            <w:vMerge w:val="restart"/>
          </w:tcPr>
          <w:p>
            <w:pPr>
              <w:jc w:val="center"/>
              <w:ind w:right="600"/>
              <w:spacing w:after="0"/>
              <w:rPr>
                <w:sz w:val="20"/>
                <w:szCs w:val="20"/>
                <w:color w:val="auto"/>
              </w:rPr>
            </w:pPr>
            <w:r>
              <w:rPr>
                <w:rFonts w:ascii="Arial" w:cs="Arial" w:eastAsia="Arial" w:hAnsi="Arial"/>
                <w:sz w:val="18"/>
                <w:szCs w:val="18"/>
                <w:color w:val="auto"/>
                <w:w w:val="98"/>
              </w:rPr>
              <w:t>NUMBER OF</w:t>
            </w:r>
          </w:p>
        </w:tc>
        <w:tc>
          <w:tcPr>
            <w:tcW w:w="2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4"/>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4"/>
            <w:vMerge w:val="continue"/>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gridSpan w:val="3"/>
            <w:vMerge w:val="restart"/>
          </w:tcPr>
          <w:p>
            <w:pPr>
              <w:jc w:val="center"/>
              <w:ind w:right="900"/>
              <w:spacing w:after="0"/>
              <w:rPr>
                <w:sz w:val="20"/>
                <w:szCs w:val="20"/>
                <w:color w:val="auto"/>
              </w:rPr>
            </w:pPr>
            <w:r>
              <w:rPr>
                <w:rFonts w:ascii="Arial" w:cs="Arial" w:eastAsia="Arial" w:hAnsi="Arial"/>
                <w:sz w:val="18"/>
                <w:szCs w:val="18"/>
                <w:color w:val="auto"/>
                <w:w w:val="91"/>
              </w:rPr>
              <w:t>SHARES</w:t>
            </w:r>
          </w:p>
        </w:tc>
        <w:tc>
          <w:tcPr>
            <w:tcW w:w="260" w:type="dxa"/>
            <w:vAlign w:val="bottom"/>
          </w:tcPr>
          <w:p>
            <w:pPr>
              <w:spacing w:after="0"/>
              <w:rPr>
                <w:sz w:val="11"/>
                <w:szCs w:val="11"/>
                <w:color w:val="auto"/>
              </w:rPr>
            </w:pPr>
          </w:p>
        </w:tc>
        <w:tc>
          <w:tcPr>
            <w:tcW w:w="62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4"/>
          </w:tcPr>
          <w:p>
            <w:pPr>
              <w:jc w:val="center"/>
              <w:ind w:right="600"/>
              <w:spacing w:after="0"/>
              <w:rPr>
                <w:sz w:val="20"/>
                <w:szCs w:val="20"/>
                <w:color w:val="auto"/>
              </w:rPr>
            </w:pPr>
            <w:r>
              <w:rPr>
                <w:rFonts w:ascii="Arial" w:cs="Arial" w:eastAsia="Arial" w:hAnsi="Arial"/>
                <w:sz w:val="18"/>
                <w:szCs w:val="18"/>
                <w:color w:val="auto"/>
                <w:w w:val="99"/>
              </w:rPr>
              <w:t>BENEFICIALLY</w:t>
            </w:r>
          </w:p>
        </w:tc>
        <w:tc>
          <w:tcPr>
            <w:tcW w:w="2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1,497,519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4"/>
            <w:vMerge w:val="restart"/>
          </w:tcPr>
          <w:p>
            <w:pPr>
              <w:jc w:val="center"/>
              <w:ind w:right="600"/>
              <w:spacing w:after="0" w:line="190" w:lineRule="exact"/>
              <w:rPr>
                <w:sz w:val="20"/>
                <w:szCs w:val="20"/>
                <w:color w:val="auto"/>
              </w:rPr>
            </w:pPr>
            <w:r>
              <w:rPr>
                <w:rFonts w:ascii="Arial" w:cs="Arial" w:eastAsia="Arial" w:hAnsi="Arial"/>
                <w:sz w:val="18"/>
                <w:szCs w:val="18"/>
                <w:color w:val="auto"/>
                <w:w w:val="99"/>
              </w:rPr>
              <w:t>OWNED BY</w:t>
            </w:r>
          </w:p>
        </w:tc>
        <w:tc>
          <w:tcPr>
            <w:tcW w:w="26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4"/>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EACH</w:t>
            </w:r>
          </w:p>
        </w:tc>
        <w:tc>
          <w:tcPr>
            <w:tcW w:w="260" w:type="dxa"/>
            <w:vAlign w:val="bottom"/>
          </w:tcPr>
          <w:p>
            <w:pPr>
              <w:spacing w:after="0"/>
              <w:rPr>
                <w:sz w:val="19"/>
                <w:szCs w:val="19"/>
                <w:color w:val="auto"/>
              </w:rPr>
            </w:pPr>
          </w:p>
        </w:tc>
        <w:tc>
          <w:tcPr>
            <w:tcW w:w="6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4"/>
          </w:tcPr>
          <w:p>
            <w:pPr>
              <w:jc w:val="center"/>
              <w:ind w:right="620"/>
              <w:spacing w:after="0"/>
              <w:rPr>
                <w:sz w:val="20"/>
                <w:szCs w:val="20"/>
                <w:color w:val="auto"/>
              </w:rPr>
            </w:pPr>
            <w:r>
              <w:rPr>
                <w:rFonts w:ascii="Arial" w:cs="Arial" w:eastAsia="Arial" w:hAnsi="Arial"/>
                <w:sz w:val="18"/>
                <w:szCs w:val="18"/>
                <w:color w:val="auto"/>
                <w:w w:val="93"/>
              </w:rPr>
              <w:t>REPORTING</w:t>
            </w:r>
          </w:p>
        </w:tc>
        <w:tc>
          <w:tcPr>
            <w:tcW w:w="2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gridSpan w:val="3"/>
          </w:tcPr>
          <w:p>
            <w:pPr>
              <w:jc w:val="center"/>
              <w:ind w:right="900"/>
              <w:spacing w:after="0"/>
              <w:rPr>
                <w:sz w:val="20"/>
                <w:szCs w:val="20"/>
                <w:color w:val="auto"/>
              </w:rPr>
            </w:pPr>
            <w:r>
              <w:rPr>
                <w:rFonts w:ascii="Arial" w:cs="Arial" w:eastAsia="Arial" w:hAnsi="Arial"/>
                <w:sz w:val="18"/>
                <w:szCs w:val="18"/>
                <w:color w:val="auto"/>
                <w:w w:val="89"/>
              </w:rPr>
              <w:t>PERSON</w:t>
            </w:r>
          </w:p>
        </w:tc>
        <w:tc>
          <w:tcPr>
            <w:tcW w:w="2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gridSpan w:val="3"/>
            <w:vMerge w:val="restart"/>
          </w:tcPr>
          <w:p>
            <w:pPr>
              <w:jc w:val="center"/>
              <w:ind w:right="920"/>
              <w:spacing w:after="0"/>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b w:val="1"/>
                <w:bCs w:val="1"/>
                <w:color w:val="auto"/>
              </w:rPr>
              <w:t>See Row 6 above</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30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30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3.3%</w:t>
            </w:r>
            <w:r>
              <w:rPr>
                <w:rFonts w:ascii="Arial" w:cs="Arial" w:eastAsia="Arial" w:hAnsi="Arial"/>
                <w:sz w:val="29"/>
                <w:szCs w:val="29"/>
                <w:color w:val="auto"/>
                <w:w w:val="88"/>
                <w:vertAlign w:val="superscript"/>
              </w:rPr>
              <w:t>1</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600" w:type="dxa"/>
            <w:vAlign w:val="bottom"/>
            <w:tcBorders>
              <w:left w:val="single" w:sz="8" w:color="auto"/>
              <w:bottom w:val="single" w:sz="8" w:color="auto"/>
            </w:tcBorders>
          </w:tcPr>
          <w:p>
            <w:pPr>
              <w:spacing w:after="0"/>
              <w:rPr>
                <w:sz w:val="6"/>
                <w:szCs w:val="6"/>
                <w:color w:val="auto"/>
              </w:rPr>
            </w:pPr>
          </w:p>
        </w:tc>
        <w:tc>
          <w:tcPr>
            <w:tcW w:w="320" w:type="dxa"/>
            <w:vAlign w:val="bottom"/>
            <w:tcBorders>
              <w:bottom w:val="single" w:sz="8" w:color="auto"/>
              <w:right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240" w:type="dxa"/>
            <w:vAlign w:val="bottom"/>
            <w:tcBorders>
              <w:bottom w:val="single" w:sz="8" w:color="auto"/>
            </w:tcBorders>
          </w:tcPr>
          <w:p>
            <w:pPr>
              <w:spacing w:after="0"/>
              <w:rPr>
                <w:sz w:val="6"/>
                <w:szCs w:val="6"/>
                <w:color w:val="auto"/>
              </w:rPr>
            </w:pPr>
          </w:p>
        </w:tc>
        <w:tc>
          <w:tcPr>
            <w:tcW w:w="314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7"/>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40" w:type="dxa"/>
            <w:vAlign w:val="bottom"/>
            <w:gridSpan w:val="4"/>
          </w:tcPr>
          <w:p>
            <w:pPr>
              <w:ind w:left="60"/>
              <w:spacing w:after="0"/>
              <w:rPr>
                <w:sz w:val="20"/>
                <w:szCs w:val="20"/>
                <w:color w:val="auto"/>
              </w:rPr>
            </w:pPr>
            <w:r>
              <w:rPr>
                <w:rFonts w:ascii="Arial" w:cs="Arial" w:eastAsia="Arial" w:hAnsi="Arial"/>
                <w:sz w:val="18"/>
                <w:szCs w:val="18"/>
                <w:b w:val="1"/>
                <w:bCs w:val="1"/>
                <w:color w:val="auto"/>
              </w:rPr>
              <w:t>IA; OO; HC</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20" w:firstLine="8"/>
        <w:spacing w:after="0" w:line="221" w:lineRule="auto"/>
        <w:tabs>
          <w:tab w:leader="none" w:pos="117"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The percentages reported in this Schedule 13G are based upon 45,775,461 Shares outstanding as of May 8, 2023 (according to the issuer’s Form 10-Q as filed with the Securities and Exchange Commission on May 10, 2023). Except as described in the preceding sentence, all Shares for the holdings of the reporting persons reported in this Schedule 13G are as of the opening of the market on May 19,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47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3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460" w:type="dxa"/>
            <w:vAlign w:val="bottom"/>
            <w:gridSpan w:val="3"/>
          </w:tcPr>
          <w:p>
            <w:pPr>
              <w:ind w:left="60"/>
              <w:spacing w:after="0"/>
              <w:rPr>
                <w:sz w:val="20"/>
                <w:szCs w:val="20"/>
                <w:color w:val="auto"/>
              </w:rPr>
            </w:pPr>
            <w:r>
              <w:rPr>
                <w:rFonts w:ascii="Arial" w:cs="Arial" w:eastAsia="Arial" w:hAnsi="Arial"/>
                <w:sz w:val="18"/>
                <w:szCs w:val="18"/>
                <w:b w:val="1"/>
                <w:bCs w:val="1"/>
                <w:color w:val="auto"/>
                <w:w w:val="93"/>
              </w:rPr>
              <w:t>Citadel Advisors Holdings LP</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0" w:type="dxa"/>
            <w:vAlign w:val="bottom"/>
            <w:tcBorders>
              <w:left w:val="single" w:sz="8" w:color="auto"/>
              <w:bottom w:val="single" w:sz="8" w:color="auto"/>
            </w:tcBorders>
          </w:tcPr>
          <w:p>
            <w:pPr>
              <w:spacing w:after="0"/>
              <w:rPr>
                <w:sz w:val="23"/>
                <w:szCs w:val="23"/>
                <w:color w:val="auto"/>
              </w:rPr>
            </w:pPr>
          </w:p>
        </w:tc>
        <w:tc>
          <w:tcPr>
            <w:tcW w:w="320" w:type="dxa"/>
            <w:vAlign w:val="bottom"/>
            <w:tcBorders>
              <w:bottom w:val="single" w:sz="8" w:color="auto"/>
              <w:right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spacing w:after="0"/>
              <w:rPr>
                <w:sz w:val="23"/>
                <w:szCs w:val="23"/>
                <w:color w:val="auto"/>
              </w:rPr>
            </w:pPr>
          </w:p>
        </w:tc>
        <w:tc>
          <w:tcPr>
            <w:tcW w:w="4380" w:type="dxa"/>
            <w:vAlign w:val="bottom"/>
            <w:tcBorders>
              <w:bottom w:val="single" w:sz="8" w:color="auto"/>
            </w:tcBorders>
            <w:gridSpan w:val="2"/>
          </w:tcPr>
          <w:p>
            <w:pPr>
              <w:spacing w:after="0"/>
              <w:rPr>
                <w:sz w:val="23"/>
                <w:szCs w:val="23"/>
                <w:color w:val="auto"/>
              </w:rPr>
            </w:pPr>
          </w:p>
        </w:tc>
        <w:tc>
          <w:tcPr>
            <w:tcW w:w="3140" w:type="dxa"/>
            <w:vAlign w:val="bottom"/>
            <w:tcBorders>
              <w:bottom w:val="single" w:sz="8" w:color="auto"/>
            </w:tcBorders>
          </w:tcPr>
          <w:p>
            <w:pPr>
              <w:spacing w:after="0"/>
              <w:rPr>
                <w:sz w:val="23"/>
                <w:szCs w:val="23"/>
                <w:color w:val="auto"/>
              </w:rPr>
            </w:pPr>
          </w:p>
        </w:tc>
        <w:tc>
          <w:tcPr>
            <w:tcW w:w="3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1,497,519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2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9"/>
                <w:szCs w:val="19"/>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PN; HC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4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Citadel GP LLC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1,497,519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2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9"/>
                <w:szCs w:val="19"/>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3.3%</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OO; HC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95"/>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3"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58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5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w w:val="94"/>
              </w:rPr>
              <w:t>Citadel Securities LLC</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30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192,295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3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300" w:type="dxa"/>
            <w:vAlign w:val="bottom"/>
          </w:tcPr>
          <w:p>
            <w:pPr>
              <w:spacing w:after="0"/>
              <w:rPr>
                <w:sz w:val="19"/>
                <w:szCs w:val="19"/>
                <w:color w:val="auto"/>
              </w:rPr>
            </w:pPr>
          </w:p>
        </w:tc>
        <w:tc>
          <w:tcPr>
            <w:tcW w:w="58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Arial" w:cs="Arial" w:eastAsia="Arial" w:hAnsi="Arial"/>
                <w:sz w:val="18"/>
                <w:szCs w:val="18"/>
                <w:b w:val="1"/>
                <w:bCs w:val="1"/>
                <w:color w:val="auto"/>
              </w:rPr>
              <w:t>BD; OO</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0"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6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4380" w:type="dxa"/>
            <w:vAlign w:val="bottom"/>
            <w:tcBorders>
              <w:bottom w:val="single" w:sz="8" w:color="auto"/>
            </w:tcBorders>
            <w:gridSpan w:val="2"/>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46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Citadel Securities Group LP</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762,222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2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9"/>
                <w:szCs w:val="19"/>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PN; HC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7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4380" w:type="dxa"/>
            <w:vAlign w:val="bottom"/>
            <w:tcBorders>
              <w:bottom w:val="single" w:sz="8" w:color="auto"/>
            </w:tcBorders>
            <w:gridSpan w:val="2"/>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2460" w:type="dxa"/>
            <w:vAlign w:val="bottom"/>
            <w:gridSpan w:val="3"/>
          </w:tcPr>
          <w:p>
            <w:pPr>
              <w:ind w:left="60"/>
              <w:spacing w:after="0"/>
              <w:rPr>
                <w:sz w:val="20"/>
                <w:szCs w:val="20"/>
                <w:color w:val="auto"/>
              </w:rPr>
            </w:pPr>
            <w:r>
              <w:rPr>
                <w:rFonts w:ascii="Arial" w:cs="Arial" w:eastAsia="Arial" w:hAnsi="Arial"/>
                <w:sz w:val="18"/>
                <w:szCs w:val="18"/>
                <w:b w:val="1"/>
                <w:bCs w:val="1"/>
                <w:color w:val="auto"/>
              </w:rPr>
              <w:t>Citadel Securities GP LLC</w:t>
            </w: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Delaware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762,222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2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9"/>
                <w:szCs w:val="19"/>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OO; HC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600" w:type="dxa"/>
            <w:vAlign w:val="bottom"/>
            <w:tcBorders>
              <w:top w:val="single" w:sz="8" w:color="auto"/>
              <w:left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Page 8 of 13 Pages</w:t>
            </w:r>
          </w:p>
        </w:tc>
        <w:tc>
          <w:tcPr>
            <w:tcW w:w="3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PERSONS</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Kenneth Griffin</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3140" w:type="dxa"/>
            <w:vAlign w:val="bottom"/>
            <w:vMerge w:val="restart"/>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162"/>
        </w:trPr>
        <w:tc>
          <w:tcPr>
            <w:tcW w:w="600" w:type="dxa"/>
            <w:vAlign w:val="bottom"/>
            <w:tcBorders>
              <w:left w:val="single" w:sz="8" w:color="auto"/>
            </w:tcBorders>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140" w:type="dxa"/>
            <w:vAlign w:val="bottom"/>
            <w:vMerge w:val="continue"/>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jc w:val="right"/>
              <w:ind w:right="30"/>
              <w:spacing w:after="0"/>
              <w:rPr>
                <w:sz w:val="20"/>
                <w:szCs w:val="20"/>
                <w:color w:val="auto"/>
              </w:rPr>
            </w:pPr>
            <w:r>
              <w:rPr>
                <w:rFonts w:ascii="Arial" w:cs="Arial" w:eastAsia="Arial" w:hAnsi="Arial"/>
                <w:sz w:val="18"/>
                <w:szCs w:val="18"/>
                <w:color w:val="auto"/>
              </w:rPr>
              <w:t>(b)</w:t>
            </w:r>
          </w:p>
        </w:tc>
        <w:tc>
          <w:tcPr>
            <w:tcW w:w="340" w:type="dxa"/>
            <w:vAlign w:val="bottom"/>
            <w:tcBorders>
              <w:right w:val="single" w:sz="8" w:color="auto"/>
            </w:tcBorders>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37"/>
        </w:trPr>
        <w:tc>
          <w:tcPr>
            <w:tcW w:w="60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3.</w:t>
            </w:r>
          </w:p>
        </w:tc>
        <w:tc>
          <w:tcPr>
            <w:tcW w:w="320" w:type="dxa"/>
            <w:vAlign w:val="bottom"/>
            <w:tcBorders>
              <w:right w:val="single" w:sz="8" w:color="auto"/>
            </w:tcBorders>
          </w:tcPr>
          <w:p>
            <w:pPr>
              <w:spacing w:after="0"/>
              <w:rPr>
                <w:sz w:val="22"/>
                <w:szCs w:val="22"/>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4380" w:type="dxa"/>
            <w:vAlign w:val="bottom"/>
            <w:tcBorders>
              <w:bottom w:val="single" w:sz="8" w:color="auto"/>
            </w:tcBorders>
            <w:gridSpan w:val="2"/>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4.</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U.S. Citizen</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5.</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VOTING POWER</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1900" w:type="dxa"/>
            <w:vAlign w:val="bottom"/>
            <w:tcBorders>
              <w:right w:val="single" w:sz="8" w:color="auto"/>
            </w:tcBorders>
            <w:gridSpan w:val="2"/>
            <w:vMerge w:val="restart"/>
          </w:tcPr>
          <w:p>
            <w:pPr>
              <w:jc w:val="center"/>
              <w:ind w:right="510"/>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6.</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Borders>
              <w:right w:val="single" w:sz="8" w:color="auto"/>
            </w:tcBorders>
            <w:vMerge w:val="restart"/>
          </w:tcPr>
          <w:p>
            <w:pPr>
              <w:jc w:val="center"/>
              <w:ind w:right="810"/>
              <w:spacing w:after="0"/>
              <w:rPr>
                <w:sz w:val="20"/>
                <w:szCs w:val="20"/>
                <w:color w:val="auto"/>
              </w:rPr>
            </w:pPr>
            <w:r>
              <w:rPr>
                <w:rFonts w:ascii="Arial" w:cs="Arial" w:eastAsia="Arial" w:hAnsi="Arial"/>
                <w:sz w:val="18"/>
                <w:szCs w:val="18"/>
                <w:color w:val="auto"/>
                <w:w w:val="91"/>
              </w:rPr>
              <w:t>SHARES</w:t>
            </w:r>
          </w:p>
        </w:tc>
        <w:tc>
          <w:tcPr>
            <w:tcW w:w="240" w:type="dxa"/>
            <w:vAlign w:val="bottom"/>
          </w:tcPr>
          <w:p>
            <w:pPr>
              <w:spacing w:after="0"/>
              <w:rPr>
                <w:sz w:val="11"/>
                <w:szCs w:val="11"/>
                <w:color w:val="auto"/>
              </w:rPr>
            </w:pPr>
          </w:p>
        </w:tc>
        <w:tc>
          <w:tcPr>
            <w:tcW w:w="640" w:type="dxa"/>
            <w:vAlign w:val="bottom"/>
            <w:tcBorders>
              <w:right w:val="single" w:sz="8" w:color="auto"/>
            </w:tcBorders>
            <w:vMerge w:val="continue"/>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600" w:type="dxa"/>
            <w:vAlign w:val="bottom"/>
            <w:tcBorders>
              <w:left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580" w:type="dxa"/>
            <w:vAlign w:val="bottom"/>
            <w:tcBorders>
              <w:right w:val="single" w:sz="8" w:color="auto"/>
            </w:tcBorders>
            <w:vMerge w:val="continue"/>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424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2,259,741 Shares</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00" w:type="dxa"/>
            <w:vAlign w:val="bottom"/>
            <w:tcBorders>
              <w:left w:val="single" w:sz="8" w:color="auto"/>
            </w:tcBorders>
          </w:tcPr>
          <w:p>
            <w:pPr>
              <w:spacing w:after="0"/>
              <w:rPr>
                <w:sz w:val="11"/>
                <w:szCs w:val="11"/>
                <w:color w:val="auto"/>
              </w:rPr>
            </w:pPr>
          </w:p>
        </w:tc>
        <w:tc>
          <w:tcPr>
            <w:tcW w:w="1900" w:type="dxa"/>
            <w:vAlign w:val="bottom"/>
            <w:tcBorders>
              <w:right w:val="single" w:sz="8" w:color="auto"/>
            </w:tcBorders>
            <w:gridSpan w:val="2"/>
            <w:vMerge w:val="restart"/>
          </w:tcPr>
          <w:p>
            <w:pPr>
              <w:jc w:val="center"/>
              <w:ind w:right="510"/>
              <w:spacing w:after="0" w:line="190" w:lineRule="exact"/>
              <w:rPr>
                <w:sz w:val="20"/>
                <w:szCs w:val="20"/>
                <w:color w:val="auto"/>
              </w:rPr>
            </w:pPr>
            <w:r>
              <w:rPr>
                <w:rFonts w:ascii="Arial" w:cs="Arial" w:eastAsia="Arial" w:hAnsi="Arial"/>
                <w:sz w:val="18"/>
                <w:szCs w:val="18"/>
                <w:color w:val="auto"/>
                <w:w w:val="99"/>
              </w:rPr>
              <w:t>OWNED BY</w:t>
            </w:r>
          </w:p>
        </w:tc>
        <w:tc>
          <w:tcPr>
            <w:tcW w:w="2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4380" w:type="dxa"/>
            <w:vAlign w:val="bottom"/>
            <w:gridSpan w:val="2"/>
            <w:vMerge w:val="continue"/>
          </w:tcPr>
          <w:p>
            <w:pPr>
              <w:spacing w:after="0"/>
              <w:rPr>
                <w:sz w:val="11"/>
                <w:szCs w:val="11"/>
                <w:color w:val="auto"/>
              </w:rPr>
            </w:pPr>
          </w:p>
        </w:tc>
        <w:tc>
          <w:tcPr>
            <w:tcW w:w="314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tcBorders>
          </w:tcPr>
          <w:p>
            <w:pPr>
              <w:spacing w:after="0"/>
              <w:rPr>
                <w:sz w:val="4"/>
                <w:szCs w:val="4"/>
                <w:color w:val="auto"/>
              </w:rPr>
            </w:pPr>
          </w:p>
        </w:tc>
        <w:tc>
          <w:tcPr>
            <w:tcW w:w="190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600" w:type="dxa"/>
            <w:vAlign w:val="bottom"/>
            <w:tcBorders>
              <w:lef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9"/>
                <w:szCs w:val="19"/>
                <w:color w:val="auto"/>
              </w:rPr>
            </w:pPr>
          </w:p>
        </w:tc>
        <w:tc>
          <w:tcPr>
            <w:tcW w:w="64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7.</w:t>
            </w:r>
          </w:p>
        </w:tc>
        <w:tc>
          <w:tcPr>
            <w:tcW w:w="4380" w:type="dxa"/>
            <w:vAlign w:val="bottom"/>
            <w:gridSpan w:val="2"/>
          </w:tcPr>
          <w:p>
            <w:pPr>
              <w:ind w:left="60"/>
              <w:spacing w:after="0"/>
              <w:rPr>
                <w:sz w:val="20"/>
                <w:szCs w:val="20"/>
                <w:color w:val="auto"/>
              </w:rPr>
            </w:pPr>
            <w:r>
              <w:rPr>
                <w:rFonts w:ascii="Arial" w:cs="Arial" w:eastAsia="Arial" w:hAnsi="Arial"/>
                <w:sz w:val="18"/>
                <w:szCs w:val="18"/>
                <w:color w:val="auto"/>
              </w:rPr>
              <w:t>SOLE DISPOSITIVE POWER</w:t>
            </w:r>
          </w:p>
        </w:tc>
        <w:tc>
          <w:tcPr>
            <w:tcW w:w="314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190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right w:val="single" w:sz="8" w:color="auto"/>
            </w:tcBorders>
          </w:tcPr>
          <w:p>
            <w:pPr>
              <w:jc w:val="center"/>
              <w:ind w:right="810"/>
              <w:spacing w:after="0"/>
              <w:rPr>
                <w:sz w:val="20"/>
                <w:szCs w:val="20"/>
                <w:color w:val="auto"/>
              </w:rPr>
            </w:pPr>
            <w:r>
              <w:rPr>
                <w:rFonts w:ascii="Arial" w:cs="Arial" w:eastAsia="Arial" w:hAnsi="Arial"/>
                <w:sz w:val="18"/>
                <w:szCs w:val="18"/>
                <w:color w:val="auto"/>
                <w:w w:val="89"/>
              </w:rPr>
              <w:t>PERSON</w:t>
            </w:r>
          </w:p>
        </w:tc>
        <w:tc>
          <w:tcPr>
            <w:tcW w:w="2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0</w:t>
            </w:r>
          </w:p>
        </w:tc>
        <w:tc>
          <w:tcPr>
            <w:tcW w:w="31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00" w:type="dxa"/>
            <w:vAlign w:val="bottom"/>
            <w:tcBorders>
              <w:lef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240" w:type="dxa"/>
            <w:vAlign w:val="bottom"/>
            <w:tcBorders>
              <w:bottom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4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600" w:type="dxa"/>
            <w:vAlign w:val="bottom"/>
            <w:tcBorders>
              <w:lef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290"/>
              <w:spacing w:after="0"/>
              <w:rPr>
                <w:sz w:val="20"/>
                <w:szCs w:val="20"/>
                <w:color w:val="auto"/>
              </w:rPr>
            </w:pPr>
            <w:r>
              <w:rPr>
                <w:rFonts w:ascii="Arial" w:cs="Arial" w:eastAsia="Arial" w:hAnsi="Arial"/>
                <w:sz w:val="18"/>
                <w:szCs w:val="18"/>
                <w:color w:val="auto"/>
              </w:rPr>
              <w:t>8.</w:t>
            </w:r>
          </w:p>
        </w:tc>
        <w:tc>
          <w:tcPr>
            <w:tcW w:w="4380" w:type="dxa"/>
            <w:vAlign w:val="bottom"/>
            <w:gridSpan w:val="2"/>
            <w:vMerge w:val="restart"/>
          </w:tcPr>
          <w:p>
            <w:pPr>
              <w:ind w:left="60"/>
              <w:spacing w:after="0"/>
              <w:rPr>
                <w:sz w:val="20"/>
                <w:szCs w:val="20"/>
                <w:color w:val="auto"/>
              </w:rPr>
            </w:pPr>
            <w:r>
              <w:rPr>
                <w:rFonts w:ascii="Arial" w:cs="Arial" w:eastAsia="Arial" w:hAnsi="Arial"/>
                <w:sz w:val="18"/>
                <w:szCs w:val="18"/>
                <w:color w:val="auto"/>
              </w:rPr>
              <w:t>SHARED DISPOSITIVE POWER</w:t>
            </w:r>
          </w:p>
        </w:tc>
        <w:tc>
          <w:tcPr>
            <w:tcW w:w="31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43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438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gridSpan w:val="2"/>
          </w:tcPr>
          <w:p>
            <w:pPr>
              <w:spacing w:after="0"/>
              <w:rPr>
                <w:sz w:val="4"/>
                <w:szCs w:val="4"/>
                <w:color w:val="auto"/>
              </w:rPr>
            </w:pPr>
          </w:p>
        </w:tc>
        <w:tc>
          <w:tcPr>
            <w:tcW w:w="4380" w:type="dxa"/>
            <w:vAlign w:val="bottom"/>
            <w:tcBorders>
              <w:bottom w:val="single" w:sz="8" w:color="auto"/>
            </w:tcBorders>
            <w:gridSpan w:val="2"/>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92"/>
              </w:rPr>
              <w:t>9.</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9"/>
              </w:rPr>
              <w:t>AGGREGATE AMOUNT BENEFICIALLY OWNED BY EACH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See Row 6 above</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10.</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w w:val="97"/>
              </w:rPr>
              <w:t>CHECK IF THE AGGREGATE AMOUNT IN ROW (9) EXCLUDES CERTAIN SHARES</w:t>
            </w:r>
          </w:p>
        </w:tc>
        <w:tc>
          <w:tcPr>
            <w:tcW w:w="3140" w:type="dxa"/>
            <w:vAlign w:val="bottom"/>
          </w:tcPr>
          <w:p>
            <w:pPr>
              <w:spacing w:after="0"/>
              <w:rPr>
                <w:sz w:val="22"/>
                <w:szCs w:val="22"/>
                <w:color w:val="auto"/>
              </w:rPr>
            </w:pPr>
          </w:p>
        </w:tc>
        <w:tc>
          <w:tcPr>
            <w:tcW w:w="340" w:type="dxa"/>
            <w:vAlign w:val="bottom"/>
            <w:tcBorders>
              <w:right w:val="single" w:sz="8" w:color="auto"/>
            </w:tcBorders>
            <w:vMerge w:val="restart"/>
          </w:tcPr>
          <w:p>
            <w:pPr>
              <w:ind w:left="12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4"/>
        </w:trPr>
        <w:tc>
          <w:tcPr>
            <w:tcW w:w="600" w:type="dxa"/>
            <w:vAlign w:val="bottom"/>
            <w:tcBorders>
              <w:left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00" w:type="dxa"/>
            <w:vAlign w:val="bottom"/>
            <w:tcBorders>
              <w:left w:val="single" w:sz="8" w:color="auto"/>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6840" w:type="dxa"/>
            <w:vAlign w:val="bottom"/>
            <w:tcBorders>
              <w:bottom w:val="single" w:sz="8" w:color="auto"/>
            </w:tcBorders>
            <w:gridSpan w:val="5"/>
          </w:tcPr>
          <w:p>
            <w:pPr>
              <w:spacing w:after="0"/>
              <w:rPr>
                <w:sz w:val="21"/>
                <w:szCs w:val="21"/>
                <w:color w:val="auto"/>
              </w:rPr>
            </w:pPr>
          </w:p>
        </w:tc>
        <w:tc>
          <w:tcPr>
            <w:tcW w:w="3140" w:type="dxa"/>
            <w:vAlign w:val="bottom"/>
            <w:tcBorders>
              <w:bottom w:val="single" w:sz="8" w:color="auto"/>
            </w:tcBorders>
          </w:tcPr>
          <w:p>
            <w:pPr>
              <w:spacing w:after="0"/>
              <w:rPr>
                <w:sz w:val="21"/>
                <w:szCs w:val="21"/>
                <w:color w:val="auto"/>
              </w:rPr>
            </w:pPr>
          </w:p>
        </w:tc>
        <w:tc>
          <w:tcPr>
            <w:tcW w:w="3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11.</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Arial" w:cs="Arial" w:eastAsia="Arial" w:hAnsi="Arial"/>
                <w:sz w:val="18"/>
                <w:szCs w:val="18"/>
                <w:b w:val="1"/>
                <w:bCs w:val="1"/>
                <w:color w:val="auto"/>
              </w:rPr>
              <w:t>4.9%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840" w:type="dxa"/>
            <w:vAlign w:val="bottom"/>
            <w:tcBorders>
              <w:bottom w:val="single" w:sz="8" w:color="auto"/>
            </w:tcBorders>
            <w:gridSpan w:val="5"/>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00" w:type="dxa"/>
            <w:vAlign w:val="bottom"/>
            <w:tcBorders>
              <w:left w:val="single" w:sz="8" w:color="auto"/>
            </w:tcBorders>
          </w:tcPr>
          <w:p>
            <w:pPr>
              <w:jc w:val="center"/>
              <w:ind w:left="250"/>
              <w:spacing w:after="0"/>
              <w:rPr>
                <w:sz w:val="20"/>
                <w:szCs w:val="20"/>
                <w:color w:val="auto"/>
              </w:rPr>
            </w:pPr>
            <w:r>
              <w:rPr>
                <w:rFonts w:ascii="Arial" w:cs="Arial" w:eastAsia="Arial" w:hAnsi="Arial"/>
                <w:sz w:val="18"/>
                <w:szCs w:val="18"/>
                <w:color w:val="auto"/>
                <w:w w:val="87"/>
              </w:rPr>
              <w:t>12.</w:t>
            </w:r>
          </w:p>
        </w:tc>
        <w:tc>
          <w:tcPr>
            <w:tcW w:w="320" w:type="dxa"/>
            <w:vAlign w:val="bottom"/>
            <w:tcBorders>
              <w:right w:val="single" w:sz="8" w:color="auto"/>
            </w:tcBorders>
          </w:tcPr>
          <w:p>
            <w:pPr>
              <w:spacing w:after="0"/>
              <w:rPr>
                <w:sz w:val="22"/>
                <w:szCs w:val="22"/>
                <w:color w:val="auto"/>
              </w:rPr>
            </w:pPr>
          </w:p>
        </w:tc>
        <w:tc>
          <w:tcPr>
            <w:tcW w:w="6840" w:type="dxa"/>
            <w:vAlign w:val="bottom"/>
            <w:gridSpan w:val="5"/>
          </w:tcPr>
          <w:p>
            <w:pPr>
              <w:ind w:left="60"/>
              <w:spacing w:after="0"/>
              <w:rPr>
                <w:sz w:val="20"/>
                <w:szCs w:val="20"/>
                <w:color w:val="auto"/>
              </w:rPr>
            </w:pPr>
            <w:r>
              <w:rPr>
                <w:rFonts w:ascii="Arial" w:cs="Arial" w:eastAsia="Arial" w:hAnsi="Arial"/>
                <w:sz w:val="18"/>
                <w:szCs w:val="18"/>
                <w:color w:val="auto"/>
              </w:rPr>
              <w:t>TYPE OF REPORTING PERSON</w:t>
            </w:r>
          </w:p>
        </w:tc>
        <w:tc>
          <w:tcPr>
            <w:tcW w:w="3140" w:type="dxa"/>
            <w:vAlign w:val="bottom"/>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600" w:type="dxa"/>
            <w:vAlign w:val="bottom"/>
            <w:tcBorders>
              <w:left w:val="single" w:sz="8" w:color="auto"/>
            </w:tcBorders>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1820" w:type="dxa"/>
            <w:vAlign w:val="bottom"/>
            <w:gridSpan w:val="2"/>
          </w:tcPr>
          <w:p>
            <w:pPr>
              <w:ind w:left="60"/>
              <w:spacing w:after="0"/>
              <w:rPr>
                <w:sz w:val="20"/>
                <w:szCs w:val="20"/>
                <w:color w:val="auto"/>
              </w:rPr>
            </w:pPr>
            <w:r>
              <w:rPr>
                <w:rFonts w:ascii="Arial" w:cs="Arial" w:eastAsia="Arial" w:hAnsi="Arial"/>
                <w:sz w:val="18"/>
                <w:szCs w:val="18"/>
                <w:b w:val="1"/>
                <w:bCs w:val="1"/>
                <w:color w:val="auto"/>
              </w:rPr>
              <w:t>IN; HC</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68"/>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9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PMV Pharmaceuticals,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One Research Way, Princeton, NJ 08540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right="40"/>
        <w:spacing w:after="0" w:line="255" w:lineRule="auto"/>
        <w:rPr>
          <w:sz w:val="20"/>
          <w:szCs w:val="20"/>
          <w:color w:val="auto"/>
        </w:rPr>
      </w:pPr>
      <w:r>
        <w:rPr>
          <w:rFonts w:ascii="Arial" w:cs="Arial" w:eastAsia="Arial" w:hAnsi="Arial"/>
          <w:sz w:val="18"/>
          <w:szCs w:val="18"/>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Citadel Securities and CRBU Holdings LLC, a Delaware limited liability company (“CRBH”). Such owned Shares may include other instruments exercisable for or convertible into Shares.</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w:t>
      </w:r>
    </w:p>
    <w:p>
      <w:pPr>
        <w:spacing w:after="0" w:line="23" w:lineRule="exact"/>
        <w:rPr>
          <w:sz w:val="20"/>
          <w:szCs w:val="20"/>
          <w:color w:val="auto"/>
        </w:rPr>
      </w:pPr>
    </w:p>
    <w:p>
      <w:pPr>
        <w:ind w:left="980" w:right="460"/>
        <w:spacing w:after="0" w:line="260" w:lineRule="auto"/>
        <w:rPr>
          <w:sz w:val="20"/>
          <w:szCs w:val="20"/>
          <w:color w:val="auto"/>
        </w:rPr>
      </w:pPr>
      <w:r>
        <w:rPr>
          <w:rFonts w:ascii="Arial" w:cs="Arial" w:eastAsia="Arial" w:hAnsi="Arial"/>
          <w:sz w:val="18"/>
          <w:szCs w:val="18"/>
          <w:color w:val="auto"/>
        </w:rPr>
        <w:t>CAH. CALC4 is the non-member manager of Citadel Securities and CRBH. CSGP is the general partner of CALC4. Mr. Griffin is the President and Chief Executive Officer of CGP, and owns a controlling interest in CGP and CSGP.</w:t>
      </w:r>
    </w:p>
    <w:p>
      <w:pPr>
        <w:spacing w:after="0" w:line="185"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address of each of the Reporting Persons is Southeast Financial Center, 200 S. Biscayne Blvd., Suite 3300, Miami, Florida 33131.</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42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Page 10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84" w:lineRule="exact"/>
        <w:rPr>
          <w:sz w:val="20"/>
          <w:szCs w:val="20"/>
          <w:color w:val="auto"/>
        </w:rPr>
      </w:pPr>
    </w:p>
    <w:tbl>
      <w:tblPr>
        <w:tblLayout w:type="fixed"/>
        <w:tblInd w:w="1240" w:type="dxa"/>
        <w:tblCellMar>
          <w:top w:w="0" w:type="dxa"/>
          <w:left w:w="0" w:type="dxa"/>
          <w:bottom w:w="0" w:type="dxa"/>
          <w:right w:w="0" w:type="dxa"/>
        </w:tblCellMar>
      </w:tblPr>
      <w:tr>
        <w:trPr>
          <w:trHeight w:val="221"/>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An employee benefit plan or endowment fund in accordance with § 240.13d-1(b)(1)(ii)(F);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3"/>
              </w:rPr>
              <w:t>A savings association as defined in Section 3(b) of the Federal Deposit Insurance Act (12 U.S.C. 1813);</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Investment Company Act (15 U.S.C. 80a-3);</w:t>
            </w:r>
          </w:p>
        </w:tc>
        <w:tc>
          <w:tcPr>
            <w:tcW w:w="0" w:type="dxa"/>
            <w:vAlign w:val="bottom"/>
          </w:tcPr>
          <w:p>
            <w:pPr>
              <w:spacing w:after="0"/>
              <w:rPr>
                <w:sz w:val="1"/>
                <w:szCs w:val="1"/>
                <w:color w:val="auto"/>
              </w:rPr>
            </w:pPr>
          </w:p>
        </w:tc>
      </w:tr>
      <w:tr>
        <w:trPr>
          <w:trHeight w:val="176"/>
        </w:trPr>
        <w:tc>
          <w:tcPr>
            <w:tcW w:w="500" w:type="dxa"/>
            <w:vAlign w:val="bottom"/>
          </w:tcPr>
          <w:p>
            <w:pPr>
              <w:spacing w:after="0" w:line="176" w:lineRule="exact"/>
              <w:rPr>
                <w:sz w:val="20"/>
                <w:szCs w:val="20"/>
                <w:color w:val="auto"/>
              </w:rPr>
            </w:pPr>
            <w:r>
              <w:rPr>
                <w:rFonts w:ascii="Arial" w:cs="Arial" w:eastAsia="Arial" w:hAnsi="Arial"/>
                <w:sz w:val="18"/>
                <w:szCs w:val="18"/>
                <w:color w:val="auto"/>
              </w:rPr>
              <w:t>(j)</w:t>
            </w:r>
          </w:p>
        </w:tc>
        <w:tc>
          <w:tcPr>
            <w:tcW w:w="760" w:type="dxa"/>
            <w:vAlign w:val="bottom"/>
            <w:vMerge w:val="continue"/>
          </w:tcPr>
          <w:p>
            <w:pPr>
              <w:spacing w:after="0"/>
              <w:rPr>
                <w:sz w:val="15"/>
                <w:szCs w:val="15"/>
                <w:color w:val="auto"/>
              </w:rPr>
            </w:pPr>
          </w:p>
        </w:tc>
        <w:tc>
          <w:tcPr>
            <w:tcW w:w="8080" w:type="dxa"/>
            <w:vAlign w:val="bottom"/>
          </w:tcPr>
          <w:p>
            <w:pPr>
              <w:ind w:left="320"/>
              <w:spacing w:after="0" w:line="176" w:lineRule="exact"/>
              <w:rPr>
                <w:sz w:val="20"/>
                <w:szCs w:val="20"/>
                <w:color w:val="auto"/>
              </w:rPr>
            </w:pPr>
            <w:r>
              <w:rPr>
                <w:rFonts w:ascii="Arial" w:cs="Arial" w:eastAsia="Arial" w:hAnsi="Arial"/>
                <w:sz w:val="18"/>
                <w:szCs w:val="18"/>
                <w:color w:val="auto"/>
              </w:rPr>
              <w:t>A non-U.S. institution in accordance with § 240.13d-1(b)(1)(ii)(J);</w:t>
            </w:r>
          </w:p>
        </w:tc>
        <w:tc>
          <w:tcPr>
            <w:tcW w:w="0" w:type="dxa"/>
            <w:vAlign w:val="bottom"/>
          </w:tcPr>
          <w:p>
            <w:pPr>
              <w:spacing w:after="0"/>
              <w:rPr>
                <w:sz w:val="1"/>
                <w:szCs w:val="1"/>
                <w:color w:val="auto"/>
              </w:rPr>
            </w:pPr>
          </w:p>
        </w:tc>
      </w:tr>
      <w:tr>
        <w:trPr>
          <w:trHeight w:val="303"/>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20"/>
              <w:spacing w:after="0"/>
              <w:rPr>
                <w:sz w:val="20"/>
                <w:szCs w:val="20"/>
                <w:color w:val="auto"/>
              </w:rPr>
            </w:pPr>
            <w:r>
              <w:rPr>
                <w:rFonts w:ascii="Arial" w:cs="Arial" w:eastAsia="Arial" w:hAnsi="Arial"/>
                <w:sz w:val="18"/>
                <w:szCs w:val="18"/>
                <w:color w:val="auto"/>
              </w:rPr>
              <w:t>Group, in accordance with § 240.13d-1(b)(1)(ii)(K).</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020" w:hanging="777"/>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820" w:right="220" w:hanging="790"/>
        <w:spacing w:after="0" w:line="277" w:lineRule="auto"/>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1,497,519 Shares.</w:t>
      </w:r>
    </w:p>
    <w:p>
      <w:pPr>
        <w:spacing w:after="0" w:line="170" w:lineRule="exact"/>
        <w:rPr>
          <w:rFonts w:ascii="Arial" w:cs="Arial" w:eastAsia="Arial" w:hAnsi="Arial"/>
          <w:sz w:val="18"/>
          <w:szCs w:val="18"/>
          <w:color w:val="auto"/>
        </w:rPr>
      </w:pPr>
    </w:p>
    <w:p>
      <w:pPr>
        <w:ind w:left="2820" w:right="180" w:hanging="790"/>
        <w:spacing w:after="0" w:line="277" w:lineRule="auto"/>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3.3% of the Shares outstanding.</w:t>
      </w:r>
    </w:p>
    <w:p>
      <w:pPr>
        <w:spacing w:after="0" w:line="170" w:lineRule="exact"/>
        <w:rPr>
          <w:rFonts w:ascii="Arial" w:cs="Arial" w:eastAsia="Arial" w:hAnsi="Arial"/>
          <w:sz w:val="18"/>
          <w:szCs w:val="18"/>
          <w:color w:val="auto"/>
        </w:rPr>
      </w:pPr>
    </w:p>
    <w:p>
      <w:pPr>
        <w:ind w:left="2820" w:hanging="790"/>
        <w:spacing w:after="0"/>
        <w:tabs>
          <w:tab w:leader="none" w:pos="2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1,497,519</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1,497,519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Page 11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202" w:lineRule="exact"/>
        <w:rPr>
          <w:sz w:val="20"/>
          <w:szCs w:val="20"/>
          <w:color w:val="auto"/>
        </w:rPr>
      </w:pPr>
    </w:p>
    <w:p>
      <w:pPr>
        <w:ind w:left="2020" w:hanging="777"/>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820" w:hanging="790"/>
        <w:spacing w:after="0"/>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192,295 Shares.</w:t>
      </w:r>
    </w:p>
    <w:p>
      <w:pPr>
        <w:spacing w:after="0" w:line="225" w:lineRule="exact"/>
        <w:rPr>
          <w:rFonts w:ascii="Arial" w:cs="Arial" w:eastAsia="Arial" w:hAnsi="Arial"/>
          <w:sz w:val="18"/>
          <w:szCs w:val="18"/>
          <w:color w:val="auto"/>
        </w:rPr>
      </w:pPr>
    </w:p>
    <w:p>
      <w:pPr>
        <w:ind w:left="2820" w:right="500" w:hanging="790"/>
        <w:spacing w:after="0" w:line="277" w:lineRule="auto"/>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0.4% of the Shares outstanding.</w:t>
      </w:r>
    </w:p>
    <w:p>
      <w:pPr>
        <w:spacing w:after="0" w:line="170" w:lineRule="exact"/>
        <w:rPr>
          <w:rFonts w:ascii="Arial" w:cs="Arial" w:eastAsia="Arial" w:hAnsi="Arial"/>
          <w:sz w:val="18"/>
          <w:szCs w:val="18"/>
          <w:color w:val="auto"/>
        </w:rPr>
      </w:pPr>
    </w:p>
    <w:p>
      <w:pPr>
        <w:ind w:left="2820" w:hanging="790"/>
        <w:spacing w:after="0"/>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of Shares as to which such person has:</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192,295</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192,295</w:t>
      </w:r>
    </w:p>
    <w:p>
      <w:pPr>
        <w:spacing w:after="0" w:line="225" w:lineRule="exact"/>
        <w:rPr>
          <w:rFonts w:ascii="Arial" w:cs="Arial" w:eastAsia="Arial" w:hAnsi="Arial"/>
          <w:sz w:val="18"/>
          <w:szCs w:val="18"/>
          <w:color w:val="auto"/>
        </w:rPr>
      </w:pPr>
    </w:p>
    <w:p>
      <w:pPr>
        <w:ind w:left="2020" w:hanging="777"/>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2820" w:right="280" w:hanging="790"/>
        <w:spacing w:after="0" w:line="277" w:lineRule="auto"/>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Each of Citadel Securities Group LP and Citadel Securities GP LLC may be deemed to beneficially own 762,222 Shares.</w:t>
      </w:r>
    </w:p>
    <w:p>
      <w:pPr>
        <w:spacing w:after="0" w:line="170" w:lineRule="exact"/>
        <w:rPr>
          <w:rFonts w:ascii="Arial" w:cs="Arial" w:eastAsia="Arial" w:hAnsi="Arial"/>
          <w:sz w:val="18"/>
          <w:szCs w:val="18"/>
          <w:color w:val="auto"/>
        </w:rPr>
      </w:pPr>
    </w:p>
    <w:p>
      <w:pPr>
        <w:ind w:left="2820" w:right="240" w:hanging="790"/>
        <w:spacing w:after="0" w:line="277" w:lineRule="auto"/>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1.7% of the Shares outstanding.</w:t>
      </w:r>
    </w:p>
    <w:p>
      <w:pPr>
        <w:spacing w:after="0" w:line="170" w:lineRule="exact"/>
        <w:rPr>
          <w:rFonts w:ascii="Arial" w:cs="Arial" w:eastAsia="Arial" w:hAnsi="Arial"/>
          <w:sz w:val="18"/>
          <w:szCs w:val="18"/>
          <w:color w:val="auto"/>
        </w:rPr>
      </w:pPr>
    </w:p>
    <w:p>
      <w:pPr>
        <w:ind w:left="2820" w:hanging="790"/>
        <w:spacing w:after="0"/>
        <w:tabs>
          <w:tab w:leader="none" w:pos="2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762,222</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600" w:hanging="784"/>
        <w:spacing w:after="0"/>
        <w:tabs>
          <w:tab w:leader="none" w:pos="3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762,222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283"/>
        </w:trPr>
        <w:tc>
          <w:tcPr>
            <w:tcW w:w="760" w:type="dxa"/>
            <w:vAlign w:val="bottom"/>
            <w:tcBorders>
              <w:top w:val="single" w:sz="8" w:color="auto"/>
              <w:left w:val="single" w:sz="8" w:color="auto"/>
            </w:tcBorders>
          </w:tcPr>
          <w:p>
            <w:pPr>
              <w:spacing w:after="0"/>
              <w:rPr>
                <w:sz w:val="24"/>
                <w:szCs w:val="24"/>
                <w:color w:val="auto"/>
              </w:rPr>
            </w:pPr>
          </w:p>
        </w:tc>
        <w:tc>
          <w:tcPr>
            <w:tcW w:w="19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9"/>
              </w:rPr>
              <w:t>CUSIP N</w:t>
            </w:r>
            <w:r>
              <w:rPr>
                <w:rFonts w:ascii="Arial" w:cs="Arial" w:eastAsia="Arial" w:hAnsi="Arial"/>
                <w:sz w:val="12"/>
                <w:szCs w:val="12"/>
                <w:color w:val="auto"/>
                <w:w w:val="99"/>
              </w:rPr>
              <w:t>o</w:t>
            </w:r>
            <w:r>
              <w:rPr>
                <w:rFonts w:ascii="Arial" w:cs="Arial" w:eastAsia="Arial" w:hAnsi="Arial"/>
                <w:sz w:val="18"/>
                <w:szCs w:val="18"/>
                <w:color w:val="auto"/>
                <w:w w:val="99"/>
              </w:rPr>
              <w:t>. 69353Y103</w:t>
            </w:r>
          </w:p>
        </w:tc>
        <w:tc>
          <w:tcPr>
            <w:tcW w:w="800" w:type="dxa"/>
            <w:vAlign w:val="bottom"/>
            <w:tcBorders>
              <w:top w:val="single" w:sz="8" w:color="auto"/>
              <w:right w:val="single" w:sz="8" w:color="auto"/>
            </w:tcBorders>
          </w:tcPr>
          <w:p>
            <w:pPr>
              <w:spacing w:after="0"/>
              <w:rPr>
                <w:sz w:val="24"/>
                <w:szCs w:val="24"/>
                <w:color w:val="auto"/>
              </w:rPr>
            </w:pPr>
          </w:p>
        </w:tc>
        <w:tc>
          <w:tcPr>
            <w:tcW w:w="4060" w:type="dxa"/>
            <w:vAlign w:val="bottom"/>
          </w:tcPr>
          <w:p>
            <w:pPr>
              <w:ind w:left="1940"/>
              <w:spacing w:after="0"/>
              <w:rPr>
                <w:sz w:val="20"/>
                <w:szCs w:val="20"/>
                <w:color w:val="auto"/>
              </w:rPr>
            </w:pPr>
            <w:r>
              <w:rPr>
                <w:rFonts w:ascii="Arial" w:cs="Arial" w:eastAsia="Arial" w:hAnsi="Arial"/>
                <w:sz w:val="18"/>
                <w:szCs w:val="18"/>
                <w:b w:val="1"/>
                <w:bCs w:val="1"/>
                <w:color w:val="auto"/>
              </w:rPr>
              <w:t>13G</w:t>
            </w:r>
          </w:p>
        </w:tc>
        <w:tc>
          <w:tcPr>
            <w:tcW w:w="18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Page 12 of 13 Pages</w:t>
            </w:r>
          </w:p>
        </w:tc>
      </w:tr>
      <w:tr>
        <w:trPr>
          <w:trHeight w:val="54"/>
        </w:trPr>
        <w:tc>
          <w:tcPr>
            <w:tcW w:w="760" w:type="dxa"/>
            <w:vAlign w:val="bottom"/>
            <w:tcBorders>
              <w:left w:val="single" w:sz="8" w:color="auto"/>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0" w:type="dxa"/>
            <w:vAlign w:val="bottom"/>
            <w:tcBorders>
              <w:bottom w:val="single" w:sz="8" w:color="auto"/>
              <w:right w:val="single" w:sz="8" w:color="auto"/>
            </w:tcBorders>
            <w:gridSpan w:val="2"/>
          </w:tcPr>
          <w:p>
            <w:pPr>
              <w:spacing w:after="0"/>
              <w:rPr>
                <w:sz w:val="4"/>
                <w:szCs w:val="4"/>
                <w:color w:val="auto"/>
              </w:rPr>
            </w:pPr>
          </w:p>
        </w:tc>
        <w:tc>
          <w:tcPr>
            <w:tcW w:w="406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r>
        <w:trPr>
          <w:trHeight w:val="426"/>
        </w:trPr>
        <w:tc>
          <w:tcPr>
            <w:tcW w:w="760" w:type="dxa"/>
            <w:vAlign w:val="bottom"/>
          </w:tcPr>
          <w:p>
            <w:pPr>
              <w:spacing w:after="0"/>
              <w:rPr>
                <w:sz w:val="24"/>
                <w:szCs w:val="24"/>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D.</w:t>
            </w:r>
          </w:p>
        </w:tc>
        <w:tc>
          <w:tcPr>
            <w:tcW w:w="1800" w:type="dxa"/>
            <w:vAlign w:val="bottom"/>
            <w:gridSpan w:val="2"/>
          </w:tcPr>
          <w:p>
            <w:pPr>
              <w:ind w:left="300"/>
              <w:spacing w:after="0"/>
              <w:rPr>
                <w:sz w:val="20"/>
                <w:szCs w:val="20"/>
                <w:color w:val="auto"/>
              </w:rPr>
            </w:pPr>
            <w:r>
              <w:rPr>
                <w:rFonts w:ascii="Arial" w:cs="Arial" w:eastAsia="Arial" w:hAnsi="Arial"/>
                <w:sz w:val="18"/>
                <w:szCs w:val="18"/>
                <w:color w:val="auto"/>
              </w:rPr>
              <w:t>Kenneth Griffin</w:t>
            </w: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(a)</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w w:val="91"/>
              </w:rPr>
              <w:t>Mr. Griffin may be deemed to beneficially own 2,259,741 Shares.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(b)</w:t>
            </w:r>
          </w:p>
        </w:tc>
        <w:tc>
          <w:tcPr>
            <w:tcW w:w="8520" w:type="dxa"/>
            <w:vAlign w:val="bottom"/>
            <w:gridSpan w:val="4"/>
          </w:tcPr>
          <w:p>
            <w:pPr>
              <w:ind w:left="100"/>
              <w:spacing w:after="0"/>
              <w:rPr>
                <w:sz w:val="20"/>
                <w:szCs w:val="20"/>
                <w:color w:val="auto"/>
              </w:rPr>
            </w:pPr>
            <w:r>
              <w:rPr>
                <w:rFonts w:ascii="Arial" w:cs="Arial" w:eastAsia="Arial" w:hAnsi="Arial"/>
                <w:sz w:val="18"/>
                <w:szCs w:val="18"/>
                <w:color w:val="auto"/>
              </w:rPr>
              <w:t>The number of Shares that Mr. Griffin may be deemed to beneficially own constitutes 4.9% of the Shares</w:t>
            </w:r>
          </w:p>
        </w:tc>
      </w:tr>
      <w:tr>
        <w:trPr>
          <w:trHeight w:val="230"/>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ind w:left="300"/>
              <w:spacing w:after="0"/>
              <w:rPr>
                <w:sz w:val="20"/>
                <w:szCs w:val="20"/>
                <w:color w:val="auto"/>
              </w:rPr>
            </w:pPr>
            <w:r>
              <w:rPr>
                <w:rFonts w:ascii="Arial" w:cs="Arial" w:eastAsia="Arial" w:hAnsi="Arial"/>
                <w:sz w:val="18"/>
                <w:szCs w:val="18"/>
                <w:color w:val="auto"/>
              </w:rPr>
              <w:t>(c)</w:t>
            </w:r>
          </w:p>
        </w:tc>
        <w:tc>
          <w:tcPr>
            <w:tcW w:w="4860" w:type="dxa"/>
            <w:vAlign w:val="bottom"/>
            <w:gridSpan w:val="2"/>
          </w:tcPr>
          <w:p>
            <w:pPr>
              <w:ind w:left="100"/>
              <w:spacing w:after="0"/>
              <w:rPr>
                <w:sz w:val="20"/>
                <w:szCs w:val="20"/>
                <w:color w:val="auto"/>
              </w:rPr>
            </w:pPr>
            <w:r>
              <w:rPr>
                <w:rFonts w:ascii="Arial" w:cs="Arial" w:eastAsia="Arial" w:hAnsi="Arial"/>
                <w:sz w:val="18"/>
                <w:szCs w:val="18"/>
                <w:color w:val="auto"/>
              </w:rPr>
              <w:t>Number of Shares as to which such person has: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w:t>
            </w:r>
          </w:p>
        </w:tc>
        <w:tc>
          <w:tcPr>
            <w:tcW w:w="4060" w:type="dxa"/>
            <w:vAlign w:val="bottom"/>
          </w:tcPr>
          <w:p>
            <w:pPr>
              <w:ind w:left="80"/>
              <w:spacing w:after="0"/>
              <w:rPr>
                <w:sz w:val="20"/>
                <w:szCs w:val="20"/>
                <w:color w:val="auto"/>
              </w:rPr>
            </w:pPr>
            <w:r>
              <w:rPr>
                <w:rFonts w:ascii="Arial" w:cs="Arial" w:eastAsia="Arial" w:hAnsi="Arial"/>
                <w:sz w:val="18"/>
                <w:szCs w:val="18"/>
                <w:color w:val="auto"/>
              </w:rPr>
              <w:t>sole power to vote or to direct the vote: 0</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(ii)</w:t>
            </w:r>
          </w:p>
        </w:tc>
        <w:tc>
          <w:tcPr>
            <w:tcW w:w="4060" w:type="dxa"/>
            <w:vAlign w:val="bottom"/>
          </w:tcPr>
          <w:p>
            <w:pPr>
              <w:ind w:left="80"/>
              <w:spacing w:after="0"/>
              <w:rPr>
                <w:sz w:val="20"/>
                <w:szCs w:val="20"/>
                <w:color w:val="auto"/>
              </w:rPr>
            </w:pPr>
            <w:r>
              <w:rPr>
                <w:rFonts w:ascii="Arial" w:cs="Arial" w:eastAsia="Arial" w:hAnsi="Arial"/>
                <w:sz w:val="18"/>
                <w:szCs w:val="18"/>
                <w:color w:val="auto"/>
                <w:w w:val="94"/>
              </w:rPr>
              <w:t>shared power to vote or to direct the vote: 2,259,741</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(iii)</w:t>
            </w:r>
          </w:p>
        </w:tc>
        <w:tc>
          <w:tcPr>
            <w:tcW w:w="4060" w:type="dxa"/>
            <w:vAlign w:val="bottom"/>
          </w:tcPr>
          <w:p>
            <w:pPr>
              <w:ind w:left="80"/>
              <w:spacing w:after="0"/>
              <w:rPr>
                <w:sz w:val="20"/>
                <w:szCs w:val="20"/>
                <w:color w:val="auto"/>
              </w:rPr>
            </w:pPr>
            <w:r>
              <w:rPr>
                <w:rFonts w:ascii="Arial" w:cs="Arial" w:eastAsia="Arial" w:hAnsi="Arial"/>
                <w:sz w:val="18"/>
                <w:szCs w:val="18"/>
                <w:color w:val="auto"/>
                <w:w w:val="93"/>
              </w:rPr>
              <w:t>sole power to dispose or to direct the disposition of: 0</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(iv)</w:t>
            </w:r>
          </w:p>
        </w:tc>
        <w:tc>
          <w:tcPr>
            <w:tcW w:w="4060" w:type="dxa"/>
            <w:vAlign w:val="bottom"/>
          </w:tcPr>
          <w:p>
            <w:pPr>
              <w:ind w:left="80"/>
              <w:spacing w:after="0"/>
              <w:rPr>
                <w:sz w:val="20"/>
                <w:szCs w:val="20"/>
                <w:color w:val="auto"/>
              </w:rPr>
            </w:pPr>
            <w:r>
              <w:rPr>
                <w:rFonts w:ascii="Arial" w:cs="Arial" w:eastAsia="Arial" w:hAnsi="Arial"/>
                <w:sz w:val="18"/>
                <w:szCs w:val="18"/>
                <w:color w:val="auto"/>
                <w:w w:val="91"/>
              </w:rPr>
              <w:t>shared power to dispose or to direct the disposition of:</w:t>
            </w:r>
          </w:p>
        </w:tc>
        <w:tc>
          <w:tcPr>
            <w:tcW w:w="3660" w:type="dxa"/>
            <w:vAlign w:val="bottom"/>
            <w:gridSpan w:val="2"/>
          </w:tcPr>
          <w:p>
            <w:pPr>
              <w:jc w:val="right"/>
              <w:ind w:right="2830"/>
              <w:spacing w:after="0"/>
              <w:rPr>
                <w:sz w:val="20"/>
                <w:szCs w:val="20"/>
                <w:color w:val="auto"/>
              </w:rPr>
            </w:pPr>
            <w:r>
              <w:rPr>
                <w:rFonts w:ascii="Arial" w:cs="Arial" w:eastAsia="Arial" w:hAnsi="Arial"/>
                <w:sz w:val="18"/>
                <w:szCs w:val="18"/>
                <w:color w:val="auto"/>
                <w:w w:val="89"/>
              </w:rPr>
              <w:t>2,259,741</w:t>
            </w: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78"/>
        </w:trPr>
        <w:tc>
          <w:tcPr>
            <w:tcW w:w="760" w:type="dxa"/>
            <w:vAlign w:val="bottom"/>
          </w:tcPr>
          <w:p>
            <w:pPr>
              <w:spacing w:after="0"/>
              <w:rPr>
                <w:sz w:val="24"/>
                <w:szCs w:val="24"/>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303"/>
        </w:trPr>
        <w:tc>
          <w:tcPr>
            <w:tcW w:w="760" w:type="dxa"/>
            <w:vAlign w:val="bottom"/>
          </w:tcPr>
          <w:p>
            <w:pPr>
              <w:spacing w:after="0"/>
              <w:rPr>
                <w:sz w:val="24"/>
                <w:szCs w:val="24"/>
                <w:color w:val="auto"/>
              </w:rPr>
            </w:pPr>
          </w:p>
        </w:tc>
        <w:tc>
          <w:tcPr>
            <w:tcW w:w="6820" w:type="dxa"/>
            <w:vAlign w:val="bottom"/>
            <w:gridSpan w:val="4"/>
          </w:tcPr>
          <w:p>
            <w:pPr>
              <w:ind w:left="48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99"/>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4"/>
        </w:trPr>
        <w:tc>
          <w:tcPr>
            <w:tcW w:w="76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80" w:type="dxa"/>
            <w:vAlign w:val="bottom"/>
            <w:gridSpan w:val="6"/>
          </w:tcPr>
          <w:p>
            <w:pPr>
              <w:ind w:left="48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760" w:type="dxa"/>
            <w:vAlign w:val="bottom"/>
          </w:tcPr>
          <w:p>
            <w:pPr>
              <w:spacing w:after="0"/>
              <w:rPr>
                <w:sz w:val="20"/>
                <w:szCs w:val="20"/>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b w:val="1"/>
                <w:bCs w:val="1"/>
                <w:color w:val="auto"/>
              </w:rPr>
              <w:t>Company:</w:t>
            </w:r>
          </w:p>
        </w:tc>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6820" w:type="dxa"/>
            <w:vAlign w:val="bottom"/>
            <w:gridSpan w:val="4"/>
          </w:tcPr>
          <w:p>
            <w:pPr>
              <w:ind w:left="480"/>
              <w:spacing w:after="0"/>
              <w:rPr>
                <w:sz w:val="20"/>
                <w:szCs w:val="20"/>
                <w:color w:val="auto"/>
              </w:rPr>
            </w:pPr>
            <w:r>
              <w:rPr>
                <w:rFonts w:ascii="Arial" w:cs="Arial" w:eastAsia="Arial" w:hAnsi="Arial"/>
                <w:sz w:val="18"/>
                <w:szCs w:val="18"/>
                <w:b w:val="1"/>
                <w:bCs w:val="1"/>
                <w:color w:val="auto"/>
              </w:rPr>
              <w:t>Notice of Dissolution of Group:</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4"/>
                <w:szCs w:val="24"/>
                <w:color w:val="auto"/>
              </w:rPr>
            </w:pPr>
          </w:p>
        </w:tc>
        <w:tc>
          <w:tcPr>
            <w:tcW w:w="1960" w:type="dxa"/>
            <w:vAlign w:val="bottom"/>
            <w:gridSpan w:val="2"/>
          </w:tcPr>
          <w:p>
            <w:pPr>
              <w:ind w:left="48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960" w:type="dxa"/>
            <w:vAlign w:val="bottom"/>
            <w:gridSpan w:val="2"/>
          </w:tcPr>
          <w:p>
            <w:pPr>
              <w:ind w:left="480"/>
              <w:spacing w:after="0"/>
              <w:rPr>
                <w:sz w:val="20"/>
                <w:szCs w:val="20"/>
                <w:color w:val="auto"/>
              </w:rPr>
            </w:pPr>
            <w:r>
              <w:rPr>
                <w:rFonts w:ascii="Arial" w:cs="Arial" w:eastAsia="Arial" w:hAnsi="Arial"/>
                <w:sz w:val="18"/>
                <w:szCs w:val="18"/>
                <w:b w:val="1"/>
                <w:bCs w:val="1"/>
                <w:color w:val="auto"/>
              </w:rPr>
              <w:t>Certifications:</w:t>
            </w:r>
          </w:p>
        </w:tc>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418"/>
        </w:trPr>
        <w:tc>
          <w:tcPr>
            <w:tcW w:w="760" w:type="dxa"/>
            <w:vAlign w:val="bottom"/>
          </w:tcPr>
          <w:p>
            <w:pPr>
              <w:spacing w:after="0"/>
              <w:rPr>
                <w:sz w:val="24"/>
                <w:szCs w:val="24"/>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w:t>
            </w:r>
          </w:p>
        </w:tc>
      </w:tr>
      <w:tr>
        <w:trPr>
          <w:trHeight w:val="216"/>
        </w:trPr>
        <w:tc>
          <w:tcPr>
            <w:tcW w:w="760" w:type="dxa"/>
            <w:vAlign w:val="bottom"/>
          </w:tcPr>
          <w:p>
            <w:pPr>
              <w:spacing w:after="0"/>
              <w:rPr>
                <w:sz w:val="18"/>
                <w:szCs w:val="18"/>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w w:val="91"/>
              </w:rPr>
              <w:t>for the purpose of or with the effect of changing or influencing the control of the issuer of the securities and were not acquired and are not</w:t>
            </w:r>
          </w:p>
        </w:tc>
      </w:tr>
      <w:tr>
        <w:trPr>
          <w:trHeight w:val="230"/>
        </w:trPr>
        <w:tc>
          <w:tcPr>
            <w:tcW w:w="760" w:type="dxa"/>
            <w:vAlign w:val="bottom"/>
          </w:tcPr>
          <w:p>
            <w:pPr>
              <w:spacing w:after="0"/>
              <w:rPr>
                <w:sz w:val="20"/>
                <w:szCs w:val="20"/>
                <w:color w:val="auto"/>
              </w:rPr>
            </w:pPr>
          </w:p>
        </w:tc>
        <w:tc>
          <w:tcPr>
            <w:tcW w:w="10480" w:type="dxa"/>
            <w:vAlign w:val="bottom"/>
            <w:gridSpan w:val="6"/>
          </w:tcPr>
          <w:p>
            <w:pPr>
              <w:ind w:left="48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tc>
      </w:tr>
      <w:tr>
        <w:trPr>
          <w:trHeight w:val="675"/>
        </w:trPr>
        <w:tc>
          <w:tcPr>
            <w:tcW w:w="7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69353Y103</w:t>
            </w:r>
          </w:p>
        </w:tc>
        <w:tc>
          <w:tcPr>
            <w:tcW w:w="4240" w:type="dxa"/>
            <w:vAlign w:val="bottom"/>
            <w:tcBorders>
              <w:right w:val="single" w:sz="8" w:color="auto"/>
            </w:tcBorders>
          </w:tcPr>
          <w:p>
            <w:pPr>
              <w:ind w:left="1940"/>
              <w:spacing w:after="0"/>
              <w:rPr>
                <w:sz w:val="20"/>
                <w:szCs w:val="20"/>
                <w:color w:val="auto"/>
              </w:rPr>
            </w:pPr>
            <w:r>
              <w:rPr>
                <w:rFonts w:ascii="Arial" w:cs="Arial" w:eastAsia="Arial" w:hAnsi="Arial"/>
                <w:sz w:val="18"/>
                <w:szCs w:val="18"/>
                <w:b w:val="1"/>
                <w:bCs w:val="1"/>
                <w:color w:val="auto"/>
              </w:rPr>
              <w:t>13G</w:t>
            </w:r>
          </w:p>
        </w:tc>
        <w:tc>
          <w:tcPr>
            <w:tcW w:w="3480" w:type="dxa"/>
            <w:vAlign w:val="bottom"/>
            <w:tcBorders>
              <w:top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Page 13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right w:val="single" w:sz="8" w:color="auto"/>
            </w:tcBorders>
          </w:tcPr>
          <w:p>
            <w:pPr>
              <w:spacing w:after="0"/>
              <w:rPr>
                <w:sz w:val="4"/>
                <w:szCs w:val="4"/>
                <w:color w:val="auto"/>
              </w:rPr>
            </w:pPr>
          </w:p>
        </w:tc>
        <w:tc>
          <w:tcPr>
            <w:tcW w:w="348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19, 2023.</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bl>
    <w:p>
      <w:pPr>
        <w:spacing w:after="0" w:line="200" w:lineRule="exact"/>
        <w:rPr>
          <w:sz w:val="20"/>
          <w:szCs w:val="20"/>
          <w:color w:val="auto"/>
        </w:rPr>
      </w:pPr>
    </w:p>
    <w:p>
      <w:pPr>
        <w:spacing w:after="0" w:line="2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42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Noah Goldberg, attorney-in-fact</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-63500</wp:posOffset>
            </wp:positionV>
            <wp:extent cx="47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208" w:lineRule="exact"/>
        <w:rPr>
          <w:sz w:val="20"/>
          <w:szCs w:val="20"/>
          <w:color w:val="auto"/>
        </w:rPr>
      </w:pPr>
    </w:p>
    <w:p>
      <w:pPr>
        <w:ind w:right="60" w:firstLine="8"/>
        <w:spacing w:after="0" w:line="211"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47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Shares of PMV Pharmaceuticals, Inc., a Delaware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May 19, 2023.</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r>
        <w:trPr>
          <w:trHeight w:val="68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840" w:type="dxa"/>
            <w:vAlign w:val="bottom"/>
            <w:gridSpan w:val="3"/>
          </w:tcPr>
          <w:p>
            <w:pPr>
              <w:ind w:left="48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Guy Miller</w:t>
            </w:r>
          </w:p>
        </w:tc>
        <w:tc>
          <w:tcPr>
            <w:tcW w:w="900" w:type="dxa"/>
            <w:vAlign w:val="bottom"/>
          </w:tcPr>
          <w:p>
            <w:pPr>
              <w:ind w:left="48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/s/ Noah Goldberg</w:t>
            </w:r>
          </w:p>
        </w:tc>
      </w:tr>
      <w:tr>
        <w:trPr>
          <w:trHeight w:val="224"/>
        </w:trPr>
        <w:tc>
          <w:tcPr>
            <w:tcW w:w="560" w:type="dxa"/>
            <w:vAlign w:val="bottom"/>
          </w:tcPr>
          <w:p>
            <w:pPr>
              <w:spacing w:after="0"/>
              <w:rPr>
                <w:sz w:val="19"/>
                <w:szCs w:val="19"/>
                <w:color w:val="auto"/>
              </w:rPr>
            </w:pPr>
          </w:p>
        </w:tc>
        <w:tc>
          <w:tcPr>
            <w:tcW w:w="4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Guy Miller, Authorized Signatory</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Noah Goldberg, Authorized Signatory</w:t>
            </w:r>
          </w:p>
        </w:tc>
      </w:tr>
    </w:tbl>
    <w:p>
      <w:pPr>
        <w:spacing w:after="0" w:line="200" w:lineRule="exact"/>
        <w:rPr>
          <w:sz w:val="20"/>
          <w:szCs w:val="20"/>
          <w:color w:val="auto"/>
        </w:rPr>
      </w:pPr>
    </w:p>
    <w:p>
      <w:pPr>
        <w:spacing w:after="0" w:line="25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860"/>
        <w:spacing w:after="0"/>
        <w:tabs>
          <w:tab w:leader="none" w:pos="6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Noah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14605</wp:posOffset>
            </wp:positionV>
            <wp:extent cx="30429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4"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Noah Goldberg, attorney-in-fact</w:t>
      </w:r>
      <w:r>
        <w:rPr>
          <w:rFonts w:ascii="Arial" w:cs="Arial" w:eastAsia="Arial" w:hAnsi="Arial"/>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5556885</wp:posOffset>
            </wp:positionH>
            <wp:positionV relativeFrom="paragraph">
              <wp:posOffset>-63500</wp:posOffset>
            </wp:positionV>
            <wp:extent cx="476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8890"/>
                    </a:xfrm>
                    <a:prstGeom prst="rect">
                      <a:avLst/>
                    </a:prstGeom>
                    <a:noFill/>
                  </pic:spPr>
                </pic:pic>
              </a:graphicData>
            </a:graphic>
          </wp:anchor>
        </w:drawing>
      </w:r>
    </w:p>
    <w:p>
      <w:pPr>
        <w:spacing w:after="0" w:line="208" w:lineRule="exact"/>
        <w:rPr>
          <w:sz w:val="20"/>
          <w:szCs w:val="20"/>
          <w:color w:val="auto"/>
        </w:rPr>
      </w:pPr>
    </w:p>
    <w:p>
      <w:pPr>
        <w:ind w:right="60" w:firstLine="8"/>
        <w:spacing w:after="0" w:line="211"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Noah Goldberg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Zentalis Pharmaceuticals Inc. on April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476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2023-05-19T15:12:54Z</dcterms:created>
  <dcterms:modified xsi:type="dcterms:W3CDTF">2023-05-19T15:12:54Z</dcterms:modified>
</cp:coreProperties>
</file>