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178435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highlight w:val="black"/>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§240.14a-11(c) or §240.14a-2</w:t>
      </w:r>
    </w:p>
    <w:p>
      <w:pPr>
        <w:spacing w:after="0" w:line="23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4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87"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245110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374015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102870</wp:posOffset>
            </wp:positionV>
            <wp:extent cx="3394710" cy="625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471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400 Alexander Park Drive, Suite 301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(609) 642-6670</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Stockholders of PMV Pharmaceuticals, Inc.:</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are pleased to invite you to attend the 2026 annual meeting of stockholders of PMV Pharmaceuticals, Inc.</w:t>
      </w:r>
    </w:p>
    <w:p>
      <w:pPr>
        <w:spacing w:after="0" w:line="27"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(the “Annual Meeting”) to be held on Thursday, June 4, 2026 at 10:00 a.m., Eastern. The Annual Meeting will be a virtual meeting conducted exclusively via the Internet. There will not be a physical meeting location, and stockholders will not be able to physically attend the Annual Meeting in person. Details regarding admission to the Annual Meeting and the business to be conducted are more fully described in the accompanying Notice of Annual Meeting of Stockholders and proxy statement.</w:t>
      </w:r>
    </w:p>
    <w:p>
      <w:pPr>
        <w:spacing w:after="0" w:line="7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plan to virtually attend the Annual Meeting, we hope you will vote as soon as possible. You may vote over the Internet or by mailing a proxy or voting instruction card. Voting over the Internet or by written proxy will ensure your representation at the Annual Meeting regardless of whether you attend virtually. Please review the instructions on the proxy or voting instruction card regarding each of these voting options.</w:t>
      </w:r>
    </w:p>
    <w:p>
      <w:pPr>
        <w:spacing w:after="0" w:line="75"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We are also pleased to furnish proxy materials to stockholders primarily over the Internet. This process expedites stockholders’ receipt of proxy materials, while lowering the costs of our Annual Meeting and conserving natural resources. On or around April 22, 2026, we will mail our stockholders a notice containing instructions on how to access our proxy materials and Annual Report for the fiscal year ended December 31, 2025 and vote online. The notice also provides instructions on how to vote online, by phone or by mail, and includes instructions on how you can receive a paper copy of proxy materials by mail.</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this year’s Annual Meeting, the agenda includes the following proposals: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20" w:type="dxa"/>
            <w:vAlign w:val="bottom"/>
            <w:vMerge w:val="restart"/>
          </w:tcPr>
          <w:p>
            <w:pPr>
              <w:ind w:left="328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90"/>
        </w:trPr>
        <w:tc>
          <w:tcPr>
            <w:tcW w:w="7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23"/>
        </w:trPr>
        <w:tc>
          <w:tcPr>
            <w:tcW w:w="7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Election of David H. Mack, Ph.D. and Laurie Stelzer as Class III directors</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32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 approve, on a non-binding advisory basis, the compensation of our named executive officers</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32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Ernst &amp; Young LLP as our independent registered public accounting firm</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50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PMV Pharmaceuticals.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1088390"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40" w:type="dxa"/>
            <w:vAlign w:val="bottom"/>
            <w:gridSpan w:val="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PMV PHARMACEUTICALS, INC.</w:t>
            </w:r>
          </w:p>
        </w:tc>
      </w:tr>
      <w:tr>
        <w:trPr>
          <w:trHeight w:val="216"/>
        </w:trPr>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40" w:type="dxa"/>
            <w:vAlign w:val="bottom"/>
            <w:gridSpan w:val="3"/>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400 Alexander Park Drive, Suite 301</w:t>
            </w:r>
          </w:p>
        </w:tc>
      </w:tr>
      <w:tr>
        <w:trPr>
          <w:trHeight w:val="216"/>
        </w:trPr>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40" w:type="dxa"/>
            <w:vAlign w:val="bottom"/>
            <w:gridSpan w:val="3"/>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Princeton, New Jersey 08540</w:t>
            </w:r>
          </w:p>
        </w:tc>
      </w:tr>
      <w:tr>
        <w:trPr>
          <w:trHeight w:val="216"/>
        </w:trPr>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16"/>
        </w:trPr>
        <w:tc>
          <w:tcPr>
            <w:tcW w:w="1760" w:type="dxa"/>
            <w:vAlign w:val="bottom"/>
          </w:tcPr>
          <w:p>
            <w:pPr>
              <w:spacing w:after="0"/>
              <w:rPr>
                <w:sz w:val="18"/>
                <w:szCs w:val="18"/>
                <w:color w:val="auto"/>
              </w:rPr>
            </w:pPr>
          </w:p>
        </w:tc>
        <w:tc>
          <w:tcPr>
            <w:tcW w:w="664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NOTICE OF ANNUAL MEETING OF STOCKHOLDERS</w:t>
            </w:r>
          </w:p>
        </w:tc>
      </w:tr>
      <w:tr>
        <w:trPr>
          <w:trHeight w:val="238"/>
        </w:trPr>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4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JUNE 4, 2026</w:t>
            </w:r>
          </w:p>
        </w:tc>
      </w:tr>
      <w:tr>
        <w:trPr>
          <w:trHeight w:val="268"/>
        </w:trPr>
        <w:tc>
          <w:tcPr>
            <w:tcW w:w="1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Time and Date</w:t>
            </w: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10:00 a.m., Eastern, on Thursday, June 4, 2026.</w:t>
            </w:r>
          </w:p>
        </w:tc>
      </w:tr>
      <w:tr>
        <w:trPr>
          <w:trHeight w:val="405"/>
        </w:trPr>
        <w:tc>
          <w:tcPr>
            <w:tcW w:w="1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Place</w:t>
            </w: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www.virtualshareholdermeeting.com/PMVP2026</w:t>
            </w:r>
          </w:p>
        </w:tc>
      </w:tr>
      <w:tr>
        <w:trPr>
          <w:trHeight w:val="382"/>
        </w:trPr>
        <w:tc>
          <w:tcPr>
            <w:tcW w:w="1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Items of Business</w:t>
            </w: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1.   To elect two Class III directors, David H. Mack, Ph.D. and Laurie Stelzer, to hold office</w:t>
            </w:r>
          </w:p>
        </w:tc>
      </w:tr>
      <w:tr>
        <w:trPr>
          <w:trHeight w:val="203"/>
        </w:trPr>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until our 2029 annual meeting of stockholders and until their respective successors are</w:t>
            </w:r>
          </w:p>
        </w:tc>
      </w:tr>
      <w:tr>
        <w:trPr>
          <w:trHeight w:val="203"/>
        </w:trPr>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elected and qualified;</w:t>
            </w:r>
          </w:p>
        </w:tc>
      </w:tr>
      <w:tr>
        <w:trPr>
          <w:trHeight w:val="203"/>
        </w:trPr>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76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w:t>
            </w: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To approve, on a non-binding advisory basis, the compensation of our named executive</w:t>
            </w:r>
          </w:p>
        </w:tc>
      </w:tr>
      <w:tr>
        <w:trPr>
          <w:trHeight w:val="203"/>
        </w:trPr>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officers;</w:t>
            </w:r>
          </w:p>
        </w:tc>
      </w:tr>
      <w:tr>
        <w:trPr>
          <w:trHeight w:val="203"/>
        </w:trPr>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76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w:t>
            </w: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To ratify the appointment of Ernst &amp; Young LLP as our independent registered public</w:t>
            </w:r>
          </w:p>
        </w:tc>
      </w:tr>
      <w:tr>
        <w:trPr>
          <w:trHeight w:val="203"/>
        </w:trPr>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accounting firm for our fiscal year ending December 31, 2026; and</w:t>
            </w:r>
          </w:p>
        </w:tc>
      </w:tr>
      <w:tr>
        <w:trPr>
          <w:trHeight w:val="203"/>
        </w:trPr>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76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4.</w:t>
            </w: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To conduct any other business properly brought before the Annual Meeting and any</w:t>
            </w:r>
          </w:p>
        </w:tc>
      </w:tr>
      <w:tr>
        <w:trPr>
          <w:trHeight w:val="226"/>
        </w:trPr>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adjournment or postponement thereof.</w:t>
            </w:r>
          </w:p>
        </w:tc>
      </w:tr>
      <w:tr>
        <w:trPr>
          <w:trHeight w:val="380"/>
        </w:trPr>
        <w:tc>
          <w:tcPr>
            <w:tcW w:w="1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Adjournment and</w:t>
            </w: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Any action on the items of business described above may be considered at the Annual</w:t>
            </w:r>
          </w:p>
        </w:tc>
      </w:tr>
      <w:tr>
        <w:trPr>
          <w:trHeight w:val="204"/>
        </w:trPr>
        <w:tc>
          <w:tcPr>
            <w:tcW w:w="1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Postponements</w:t>
            </w: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Meeting at the time and on the date specified above or at any time and date to which the</w:t>
            </w:r>
          </w:p>
        </w:tc>
      </w:tr>
      <w:tr>
        <w:trPr>
          <w:trHeight w:val="226"/>
        </w:trPr>
        <w:tc>
          <w:tcPr>
            <w:tcW w:w="1760" w:type="dxa"/>
            <w:vAlign w:val="bottom"/>
          </w:tcPr>
          <w:p>
            <w:pPr>
              <w:spacing w:after="0"/>
              <w:rPr>
                <w:sz w:val="19"/>
                <w:szCs w:val="19"/>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Annual Meeting may be properly adjourned or postponed.</w:t>
            </w:r>
          </w:p>
        </w:tc>
      </w:tr>
      <w:tr>
        <w:trPr>
          <w:trHeight w:val="382"/>
        </w:trPr>
        <w:tc>
          <w:tcPr>
            <w:tcW w:w="1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You are entitled to notice of and to vote at the Annual Meeting and at any adjournment or</w:t>
            </w:r>
          </w:p>
        </w:tc>
      </w:tr>
      <w:tr>
        <w:trPr>
          <w:trHeight w:val="203"/>
        </w:trPr>
        <w:tc>
          <w:tcPr>
            <w:tcW w:w="1760" w:type="dxa"/>
            <w:vAlign w:val="bottom"/>
          </w:tcPr>
          <w:p>
            <w:pPr>
              <w:spacing w:after="0"/>
              <w:rPr>
                <w:sz w:val="17"/>
                <w:szCs w:val="17"/>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postponement that may take place only if you were a stockholder as of the close of business</w:t>
            </w:r>
          </w:p>
        </w:tc>
      </w:tr>
      <w:tr>
        <w:trPr>
          <w:trHeight w:val="226"/>
        </w:trPr>
        <w:tc>
          <w:tcPr>
            <w:tcW w:w="1760" w:type="dxa"/>
            <w:vAlign w:val="bottom"/>
          </w:tcPr>
          <w:p>
            <w:pPr>
              <w:spacing w:after="0"/>
              <w:rPr>
                <w:sz w:val="19"/>
                <w:szCs w:val="19"/>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on April 7, 2026.</w:t>
            </w:r>
          </w:p>
        </w:tc>
      </w:tr>
      <w:tr>
        <w:trPr>
          <w:trHeight w:val="380"/>
        </w:trPr>
        <w:tc>
          <w:tcPr>
            <w:tcW w:w="1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Availability of Proxy</w:t>
            </w: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i w:val="1"/>
                <w:iCs w:val="1"/>
                <w:color w:val="auto"/>
              </w:rPr>
              <w:t>The Notice of Internet Availability of Proxy Materials containing instructions on how to</w:t>
            </w:r>
          </w:p>
        </w:tc>
      </w:t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Materials and Annual</w:t>
            </w: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i w:val="1"/>
                <w:iCs w:val="1"/>
                <w:color w:val="auto"/>
              </w:rPr>
              <w:t>access our proxy statement, notice of annual meeting, form of proxy and our annual report, is</w:t>
            </w:r>
          </w:p>
        </w:tc>
      </w:t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Report</w:t>
            </w: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i w:val="1"/>
                <w:iCs w:val="1"/>
                <w:color w:val="auto"/>
              </w:rPr>
              <w:t>first being sent or given on or about April 22, 2026 to all stockholders entitled to vote at the</w:t>
            </w:r>
          </w:p>
        </w:tc>
      </w:tr>
      <w:tr>
        <w:trPr>
          <w:trHeight w:val="228"/>
        </w:trPr>
        <w:tc>
          <w:tcPr>
            <w:tcW w:w="1760" w:type="dxa"/>
            <w:vAlign w:val="bottom"/>
          </w:tcPr>
          <w:p>
            <w:pPr>
              <w:spacing w:after="0"/>
              <w:rPr>
                <w:sz w:val="19"/>
                <w:szCs w:val="19"/>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i w:val="1"/>
                <w:iCs w:val="1"/>
                <w:color w:val="auto"/>
              </w:rPr>
              <w:t>Annual Meeting</w:t>
            </w:r>
            <w:r>
              <w:rPr>
                <w:rFonts w:ascii="Times New Roman" w:cs="Times New Roman" w:eastAsia="Times New Roman" w:hAnsi="Times New Roman"/>
                <w:sz w:val="17"/>
                <w:szCs w:val="17"/>
                <w:color w:val="auto"/>
              </w:rPr>
              <w:t>.</w:t>
            </w:r>
          </w:p>
        </w:tc>
      </w:tr>
      <w:tr>
        <w:trPr>
          <w:trHeight w:val="405"/>
        </w:trPr>
        <w:tc>
          <w:tcPr>
            <w:tcW w:w="1760" w:type="dxa"/>
            <w:vAlign w:val="bottom"/>
          </w:tcPr>
          <w:p>
            <w:pPr>
              <w:spacing w:after="0"/>
              <w:rPr>
                <w:sz w:val="24"/>
                <w:szCs w:val="24"/>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The proxy materials and our annual report can be accessed by visiting ir.pmvpharma.com.</w:t>
            </w:r>
          </w:p>
        </w:tc>
      </w:tr>
      <w:tr>
        <w:trPr>
          <w:trHeight w:val="382"/>
        </w:trPr>
        <w:tc>
          <w:tcPr>
            <w:tcW w:w="1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 xml:space="preserve">Your vote is very important. </w:t>
            </w:r>
            <w:r>
              <w:rPr>
                <w:rFonts w:ascii="Times New Roman" w:cs="Times New Roman" w:eastAsia="Times New Roman" w:hAnsi="Times New Roman"/>
                <w:sz w:val="17"/>
                <w:szCs w:val="17"/>
                <w:color w:val="auto"/>
              </w:rPr>
              <w:t>Whether or not you plan to attend the Annual Meeting, we</w:t>
            </w:r>
          </w:p>
        </w:tc>
      </w:tr>
      <w:tr>
        <w:trPr>
          <w:trHeight w:val="203"/>
        </w:trPr>
        <w:tc>
          <w:tcPr>
            <w:tcW w:w="1760" w:type="dxa"/>
            <w:vAlign w:val="bottom"/>
          </w:tcPr>
          <w:p>
            <w:pPr>
              <w:spacing w:after="0"/>
              <w:rPr>
                <w:sz w:val="17"/>
                <w:szCs w:val="17"/>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encourage you to read this proxy statement and submit your proxy or voting instructions as</w:t>
            </w:r>
          </w:p>
        </w:tc>
      </w:tr>
      <w:tr>
        <w:trPr>
          <w:trHeight w:val="203"/>
        </w:trPr>
        <w:tc>
          <w:tcPr>
            <w:tcW w:w="1760" w:type="dxa"/>
            <w:vAlign w:val="bottom"/>
          </w:tcPr>
          <w:p>
            <w:pPr>
              <w:spacing w:after="0"/>
              <w:rPr>
                <w:sz w:val="17"/>
                <w:szCs w:val="17"/>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soon as possible. You may submit your proxy or voting instruction card for the Annual</w:t>
            </w:r>
          </w:p>
        </w:tc>
      </w:tr>
      <w:tr>
        <w:trPr>
          <w:trHeight w:val="203"/>
        </w:trPr>
        <w:tc>
          <w:tcPr>
            <w:tcW w:w="1760" w:type="dxa"/>
            <w:vAlign w:val="bottom"/>
          </w:tcPr>
          <w:p>
            <w:pPr>
              <w:spacing w:after="0"/>
              <w:rPr>
                <w:sz w:val="17"/>
                <w:szCs w:val="17"/>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Meeting by completing, signing, dating and returning your proxy or voting instruction card in</w:t>
            </w:r>
          </w:p>
        </w:tc>
      </w:tr>
      <w:tr>
        <w:trPr>
          <w:trHeight w:val="200"/>
        </w:trPr>
        <w:tc>
          <w:tcPr>
            <w:tcW w:w="1760" w:type="dxa"/>
            <w:vAlign w:val="bottom"/>
          </w:tcPr>
          <w:p>
            <w:pPr>
              <w:spacing w:after="0"/>
              <w:rPr>
                <w:sz w:val="17"/>
                <w:szCs w:val="17"/>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the pre-addressed envelope provided, or, in most cases, by using the Internet. For specific</w:t>
            </w:r>
          </w:p>
        </w:tc>
      </w:tr>
      <w:tr>
        <w:trPr>
          <w:trHeight w:val="203"/>
        </w:trPr>
        <w:tc>
          <w:tcPr>
            <w:tcW w:w="1760" w:type="dxa"/>
            <w:vAlign w:val="bottom"/>
          </w:tcPr>
          <w:p>
            <w:pPr>
              <w:spacing w:after="0"/>
              <w:rPr>
                <w:sz w:val="17"/>
                <w:szCs w:val="17"/>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instructions on how to vote your shares, please refer to the section entitled “</w:t>
            </w:r>
            <w:r>
              <w:rPr>
                <w:rFonts w:ascii="Times New Roman" w:cs="Times New Roman" w:eastAsia="Times New Roman" w:hAnsi="Times New Roman"/>
                <w:sz w:val="17"/>
                <w:szCs w:val="17"/>
                <w:i w:val="1"/>
                <w:iCs w:val="1"/>
                <w:color w:val="auto"/>
              </w:rPr>
              <w:t>Questions and</w:t>
            </w:r>
          </w:p>
        </w:tc>
      </w:tr>
      <w:tr>
        <w:trPr>
          <w:trHeight w:val="189"/>
        </w:trPr>
        <w:tc>
          <w:tcPr>
            <w:tcW w:w="1760" w:type="dxa"/>
            <w:vAlign w:val="bottom"/>
          </w:tcPr>
          <w:p>
            <w:pPr>
              <w:spacing w:after="0"/>
              <w:rPr>
                <w:sz w:val="16"/>
                <w:szCs w:val="16"/>
                <w:color w:val="auto"/>
              </w:rPr>
            </w:pPr>
          </w:p>
        </w:tc>
        <w:tc>
          <w:tcPr>
            <w:tcW w:w="6640" w:type="dxa"/>
            <w:vAlign w:val="bottom"/>
            <w:gridSpan w:val="4"/>
          </w:tcPr>
          <w:p>
            <w:pPr>
              <w:ind w:left="160"/>
              <w:spacing w:after="0" w:line="189" w:lineRule="exact"/>
              <w:rPr>
                <w:sz w:val="20"/>
                <w:szCs w:val="20"/>
                <w:color w:val="auto"/>
              </w:rPr>
            </w:pPr>
            <w:r>
              <w:rPr>
                <w:rFonts w:ascii="Times New Roman" w:cs="Times New Roman" w:eastAsia="Times New Roman" w:hAnsi="Times New Roman"/>
                <w:sz w:val="17"/>
                <w:szCs w:val="17"/>
                <w:i w:val="1"/>
                <w:iCs w:val="1"/>
                <w:color w:val="auto"/>
              </w:rPr>
              <w:t>Answers About the Proxy Materials and our Annual Meeting</w:t>
            </w:r>
            <w:r>
              <w:rPr>
                <w:rFonts w:ascii="Times New Roman" w:cs="Times New Roman" w:eastAsia="Times New Roman" w:hAnsi="Times New Roman"/>
                <w:sz w:val="17"/>
                <w:szCs w:val="17"/>
                <w:color w:val="auto"/>
              </w:rPr>
              <w:t>” beginning on page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0000EE"/>
              </w:rPr>
              <w:t>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w:t>
            </w:r>
          </w:p>
        </w:tc>
      </w:tr>
      <w:tr>
        <w:trPr>
          <w:trHeight w:val="20"/>
        </w:trPr>
        <w:tc>
          <w:tcPr>
            <w:tcW w:w="176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8"/>
        </w:trPr>
        <w:tc>
          <w:tcPr>
            <w:tcW w:w="1760" w:type="dxa"/>
            <w:vAlign w:val="bottom"/>
          </w:tcPr>
          <w:p>
            <w:pPr>
              <w:spacing w:after="0"/>
              <w:rPr>
                <w:sz w:val="17"/>
                <w:szCs w:val="17"/>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accompanying proxy statement and the instructions on the proxy or voting instruction card.</w:t>
            </w:r>
          </w:p>
        </w:tc>
      </w:tr>
      <w:tr>
        <w:trPr>
          <w:trHeight w:val="203"/>
        </w:trPr>
        <w:tc>
          <w:tcPr>
            <w:tcW w:w="1760" w:type="dxa"/>
            <w:vAlign w:val="bottom"/>
          </w:tcPr>
          <w:p>
            <w:pPr>
              <w:spacing w:after="0"/>
              <w:rPr>
                <w:sz w:val="17"/>
                <w:szCs w:val="17"/>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You can revoke a proxy prior to its exercise at the Annual Meeting by following the</w:t>
            </w:r>
          </w:p>
        </w:tc>
      </w:tr>
      <w:tr>
        <w:trPr>
          <w:trHeight w:val="226"/>
        </w:trPr>
        <w:tc>
          <w:tcPr>
            <w:tcW w:w="1760" w:type="dxa"/>
            <w:vAlign w:val="bottom"/>
          </w:tcPr>
          <w:p>
            <w:pPr>
              <w:spacing w:after="0"/>
              <w:rPr>
                <w:sz w:val="19"/>
                <w:szCs w:val="19"/>
                <w:color w:val="auto"/>
              </w:rPr>
            </w:pPr>
          </w:p>
        </w:tc>
        <w:tc>
          <w:tcPr>
            <w:tcW w:w="6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instructions in the accompanying proxy statement.</w:t>
            </w:r>
          </w:p>
        </w:tc>
      </w:tr>
    </w:tbl>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131127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Robert Ticktin</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Counsel and Chief Operating Officer, Corporate Secretary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June 4, 2026:</w:t>
      </w:r>
    </w:p>
    <w:p>
      <w:pPr>
        <w:spacing w:after="0" w:line="9" w:lineRule="exact"/>
        <w:rPr>
          <w:sz w:val="20"/>
          <w:szCs w:val="20"/>
          <w:color w:val="auto"/>
        </w:rPr>
      </w:pPr>
    </w:p>
    <w:p>
      <w:pPr>
        <w:jc w:val="center"/>
        <w:ind w:left="300" w:right="359"/>
        <w:spacing w:after="0" w:line="255" w:lineRule="auto"/>
        <w:rPr>
          <w:sz w:val="20"/>
          <w:szCs w:val="20"/>
          <w:color w:val="auto"/>
        </w:rPr>
      </w:pPr>
      <w:r>
        <w:rPr>
          <w:rFonts w:ascii="Times New Roman" w:cs="Times New Roman" w:eastAsia="Times New Roman" w:hAnsi="Times New Roman"/>
          <w:sz w:val="18"/>
          <w:szCs w:val="18"/>
          <w:b w:val="1"/>
          <w:bCs w:val="1"/>
          <w:color w:val="auto"/>
        </w:rPr>
        <w:t>This Notice of 2026 Annual Stockholders’ Meeting and Proxy Statement and Fiscal Year 2025 Annual Report on Form 10-K are available at 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104140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7620" w:type="dxa"/>
            <w:vAlign w:val="bottom"/>
            <w:gridSpan w:val="4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 PROXY MATERIALS AND OUR ANNUAL MEETING</w:t>
            </w:r>
          </w:p>
        </w:tc>
        <w:tc>
          <w:tcPr>
            <w:tcW w:w="5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62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DIRECTORS AND CORPORATE GOVERNANCE</w:t>
            </w:r>
          </w:p>
        </w:tc>
        <w:tc>
          <w:tcPr>
            <w:tcW w:w="500" w:type="dxa"/>
            <w:vAlign w:val="bottom"/>
          </w:tcPr>
          <w:p>
            <w:pPr>
              <w:spacing w:after="0"/>
              <w:rPr>
                <w:sz w:val="16"/>
                <w:szCs w:val="16"/>
                <w:color w:val="auto"/>
              </w:rPr>
            </w:pP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Composition</w:t>
            </w: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Nominees for Election to a Three-Year Term Ending at the 2029 Annual Meeting</w:t>
            </w:r>
          </w:p>
        </w:tc>
        <w:tc>
          <w:tcPr>
            <w:tcW w:w="2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Directors Continuing in Office</w:t>
            </w:r>
          </w:p>
        </w:tc>
        <w:tc>
          <w:tcPr>
            <w:tcW w:w="2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Board of Directors Diversity Matrix</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6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6300" w:type="dxa"/>
            <w:vAlign w:val="bottom"/>
            <w:gridSpan w:val="37"/>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Committees and Meetings</w:t>
            </w: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Identifying and Evaluating Director Nominees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60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5340" w:type="dxa"/>
            <w:vAlign w:val="bottom"/>
            <w:gridSpan w:val="27"/>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Role of Independent Compensation Consultant</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Stockholder Recommendations and Nominations to our Board of Directors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3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2560" w:type="dxa"/>
            <w:vAlign w:val="bottom"/>
            <w:gridSpan w:val="6"/>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552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Corporate Governance Guidelines and Code of Business Conduct and Ethics</w:t>
            </w:r>
          </w:p>
        </w:tc>
        <w:tc>
          <w:tcPr>
            <w:tcW w:w="2420" w:type="dxa"/>
            <w:vAlign w:val="bottom"/>
            <w:gridSpan w:val="4"/>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52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2420" w:type="dxa"/>
            <w:vAlign w:val="bottom"/>
            <w:gridSpan w:val="4"/>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Outside Director Compensation Policy</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w w:val="99"/>
              </w:rPr>
              <w:t>Scientific &amp; Clinical Advisory Boards</w:t>
            </w:r>
          </w:p>
        </w:tc>
        <w:tc>
          <w:tcPr>
            <w:tcW w:w="5160" w:type="dxa"/>
            <w:vAlign w:val="bottom"/>
            <w:gridSpan w:val="24"/>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Indemnification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Environmental, Social and Governance (ESG) Initiatives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5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2025 Say on Pay Vote</w:t>
            </w:r>
          </w:p>
        </w:tc>
        <w:tc>
          <w:tcPr>
            <w:tcW w:w="6360" w:type="dxa"/>
            <w:vAlign w:val="bottom"/>
            <w:gridSpan w:val="38"/>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4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680" w:type="dxa"/>
            <w:vAlign w:val="bottom"/>
            <w:gridSpan w:val="30"/>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w w:val="99"/>
              </w:rPr>
              <w:t>Summary Compensation Table</w:t>
            </w:r>
          </w:p>
        </w:tc>
        <w:tc>
          <w:tcPr>
            <w:tcW w:w="5680" w:type="dxa"/>
            <w:vAlign w:val="bottom"/>
            <w:gridSpan w:val="30"/>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2025 Bonus Plan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Employment Arrangements with our Named Executive Officers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2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Grants of Plan-Based Awards for Fiscal 2025</w:t>
            </w:r>
          </w:p>
        </w:tc>
        <w:tc>
          <w:tcPr>
            <w:tcW w:w="4680" w:type="dxa"/>
            <w:vAlign w:val="bottom"/>
            <w:gridSpan w:val="19"/>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Outstanding Equity Awards at Fiscal 2025 Year-End</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22</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401(k) Plan</w:t>
            </w:r>
          </w:p>
        </w:tc>
        <w:tc>
          <w:tcPr>
            <w:tcW w:w="7100" w:type="dxa"/>
            <w:vAlign w:val="bottom"/>
            <w:gridSpan w:val="43"/>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Potential Payments upon Termination or Change in Control</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Insider Trading Policies and Procedures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Policy Prohibiting Hedging or Pledging of Securities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Policies and Practices for Granting Certain Equity Awards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18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Pay Versus Performance</w:t>
            </w:r>
          </w:p>
        </w:tc>
        <w:tc>
          <w:tcPr>
            <w:tcW w:w="3760" w:type="dxa"/>
            <w:vAlign w:val="bottom"/>
            <w:gridSpan w:val="12"/>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BENEFICIAL OWNERSHIP OF SHARES OF COMMON STOCK</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Related Party Transactions Policy</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Transactions and Relationships with Directors, Officers and 5% Stockholders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5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1: ELECTION OF CLASS III DIRECTORS</w:t>
            </w:r>
          </w:p>
        </w:tc>
        <w:tc>
          <w:tcPr>
            <w:tcW w:w="3600" w:type="dxa"/>
            <w:vAlign w:val="bottom"/>
            <w:gridSpan w:val="10"/>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34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Number of Directors; Board Structure</w:t>
            </w:r>
          </w:p>
        </w:tc>
        <w:tc>
          <w:tcPr>
            <w:tcW w:w="3600" w:type="dxa"/>
            <w:vAlign w:val="bottom"/>
            <w:gridSpan w:val="10"/>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Nominees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PROPOSAL NO. 2: NON-BINDING ADVISORY VOTE TO APPROVE THE COMPENSATION OF OUR</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2600" w:type="dxa"/>
            <w:vAlign w:val="bottom"/>
            <w:tcBorders>
              <w:top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NAMED EXECUTIVE OFFICERS</w:t>
            </w:r>
          </w:p>
        </w:tc>
        <w:tc>
          <w:tcPr>
            <w:tcW w:w="5080" w:type="dxa"/>
            <w:vAlign w:val="bottom"/>
            <w:tcBorders>
              <w:top w:val="single" w:sz="8" w:color="0000EE"/>
            </w:tcBorders>
            <w:gridSpan w:val="7"/>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6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5340" w:type="dxa"/>
            <w:vAlign w:val="bottom"/>
            <w:gridSpan w:val="8"/>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36</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700" w:type="dxa"/>
            <w:vAlign w:val="bottom"/>
            <w:tcBorders>
              <w:bottom w:val="single" w:sz="8" w:color="0000EE"/>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3: RATIFICATION OF APPOINTMENT OF INDEPENDENT REGISTERED PUBLIC</w:t>
            </w:r>
          </w:p>
        </w:tc>
        <w:tc>
          <w:tcPr>
            <w:tcW w:w="4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79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3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37</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Audit and Audit-Related Fees</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1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Auditor Independence</w:t>
            </w:r>
          </w:p>
        </w:tc>
        <w:tc>
          <w:tcPr>
            <w:tcW w:w="5800" w:type="dxa"/>
            <w:vAlign w:val="bottom"/>
            <w:gridSpan w:val="9"/>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37</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Audit Committee Policy on Pre-Approval of Audit and Permissible Non-Audit Services of Independent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7440" w:type="dxa"/>
            <w:vAlign w:val="bottom"/>
            <w:tcBorders>
              <w:top w:val="single" w:sz="8" w:color="0000EE"/>
            </w:tcBorders>
            <w:gridSpan w:val="14"/>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w:t>
            </w:r>
          </w:p>
        </w:tc>
        <w:tc>
          <w:tcPr>
            <w:tcW w:w="500" w:type="dxa"/>
            <w:vAlign w:val="bottom"/>
            <w:tcBorders>
              <w:top w:val="single" w:sz="8" w:color="CCEEFF"/>
            </w:tcBorders>
            <w:gridSpan w:val="3"/>
            <w:shd w:val="clear" w:color="auto" w:fill="CCEEFF"/>
          </w:tcPr>
          <w:p>
            <w:pPr>
              <w:spacing w:after="0"/>
              <w:rPr>
                <w:sz w:val="17"/>
                <w:szCs w:val="17"/>
                <w:color w:val="auto"/>
              </w:rPr>
            </w:pPr>
          </w:p>
        </w:tc>
        <w:tc>
          <w:tcPr>
            <w:tcW w:w="300" w:type="dxa"/>
            <w:vAlign w:val="bottom"/>
            <w:tcBorders>
              <w:top w:val="single" w:sz="8" w:color="CCEE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38</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39</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4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OTHER MATTERS</w:t>
            </w:r>
          </w:p>
        </w:tc>
        <w:tc>
          <w:tcPr>
            <w:tcW w:w="6660" w:type="dxa"/>
            <w:vAlign w:val="bottom"/>
            <w:gridSpan w:val="14"/>
            <w:shd w:val="clear" w:color="auto" w:fill="CCEEFF"/>
          </w:tcPr>
          <w:p>
            <w:pPr>
              <w:spacing w:after="0"/>
              <w:rPr>
                <w:sz w:val="16"/>
                <w:szCs w:val="16"/>
                <w:color w:val="auto"/>
              </w:rPr>
            </w:pP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40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Stockholder Proposals or Director Nominations for 2027 Annual Meeting</w:t>
            </w: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40</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960" w:type="dxa"/>
            <w:vAlign w:val="bottom"/>
            <w:tcBorders>
              <w:top w:val="single" w:sz="8" w:color="0000EE"/>
            </w:tcBorders>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3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Availability of Amended and Restated Bylaws</w:t>
            </w:r>
          </w:p>
        </w:tc>
        <w:tc>
          <w:tcPr>
            <w:tcW w:w="4600" w:type="dxa"/>
            <w:vAlign w:val="bottom"/>
            <w:gridSpan w:val="5"/>
            <w:shd w:val="clear" w:color="auto" w:fill="CCEEFF"/>
          </w:tcPr>
          <w:p>
            <w:pPr>
              <w:spacing w:after="0"/>
              <w:rPr>
                <w:sz w:val="16"/>
                <w:szCs w:val="16"/>
                <w:color w:val="auto"/>
              </w:rPr>
            </w:pPr>
          </w:p>
        </w:tc>
        <w:tc>
          <w:tcPr>
            <w:tcW w:w="3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40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3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2025 Annual Report</w:t>
            </w:r>
          </w:p>
        </w:tc>
        <w:tc>
          <w:tcPr>
            <w:tcW w:w="4600" w:type="dxa"/>
            <w:vAlign w:val="bottom"/>
            <w:gridSpan w:val="5"/>
          </w:tcPr>
          <w:p>
            <w:pPr>
              <w:spacing w:after="0"/>
              <w:rPr>
                <w:sz w:val="16"/>
                <w:szCs w:val="16"/>
                <w:color w:val="auto"/>
              </w:rPr>
            </w:pPr>
          </w:p>
        </w:tc>
        <w:tc>
          <w:tcPr>
            <w:tcW w:w="3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41</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FOR 2026 ANNUAL MEETING OF STOCKHOLDERS</w:t>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To be held at 10:00 am, Eastern, on Thursday, June 4, 2026</w:t>
      </w:r>
    </w:p>
    <w:p>
      <w:pPr>
        <w:spacing w:after="0" w:line="99" w:lineRule="exact"/>
        <w:rPr>
          <w:sz w:val="20"/>
          <w:szCs w:val="20"/>
          <w:color w:val="auto"/>
        </w:rPr>
      </w:pPr>
    </w:p>
    <w:p>
      <w:pPr>
        <w:ind w:left="300" w:right="339"/>
        <w:spacing w:after="0" w:line="312" w:lineRule="auto"/>
        <w:rPr>
          <w:sz w:val="20"/>
          <w:szCs w:val="20"/>
          <w:color w:val="auto"/>
        </w:rPr>
      </w:pPr>
      <w:r>
        <w:rPr>
          <w:rFonts w:ascii="Times New Roman" w:cs="Times New Roman" w:eastAsia="Times New Roman" w:hAnsi="Times New Roman"/>
          <w:sz w:val="17"/>
          <w:szCs w:val="17"/>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ANNUAL MEETING</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300" w:right="619"/>
        <w:spacing w:after="0" w:line="258" w:lineRule="auto"/>
        <w:rPr>
          <w:sz w:val="20"/>
          <w:szCs w:val="20"/>
          <w:color w:val="auto"/>
        </w:rPr>
      </w:pPr>
      <w:r>
        <w:rPr>
          <w:rFonts w:ascii="Times New Roman" w:cs="Times New Roman" w:eastAsia="Times New Roman" w:hAnsi="Times New Roman"/>
          <w:sz w:val="18"/>
          <w:szCs w:val="18"/>
          <w:color w:val="auto"/>
        </w:rPr>
        <w:t>The board of directors of PMV Pharmaceuticals, Inc., a Delaware corporation (“PMV Pharmaceuticals,” the “Company,” “we,” “us,” or “our”), has made these proxy materials available to you on the Internet or, upon your request, by delivering printed versions of these materials to you by mail, in connection with the solicitation of proxies for use at our 2026 Annual Meeting of Stockholders (the “Annual Meeting”) which will take place on Thursday, June 4, 2026 at 10:00 a.m., Eastern.</w:t>
      </w:r>
    </w:p>
    <w:p>
      <w:pPr>
        <w:spacing w:after="0" w:line="179"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printed proxy materials?</w:t>
      </w:r>
    </w:p>
    <w:p>
      <w:pPr>
        <w:spacing w:after="0" w:line="5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Pursuant to the “notice and access” rules adopted by the U.S. Securities and Exchange Commission (the “SEC”), we have elected to provide stockholders access to our proxy materials over the Internet. Accordingly, we sent a Notice of Internet Availability of Proxy Materials (the “Notice”) to all of our stockholders as of April 7, 2026 (the “Record Date”). The Notice includes instructions on how to access our proxy materials over the Internet and how to request a printed copy of these materials. Internet distribution of our proxy materials is designed to expedite receipt by stockholders, lower the cost of the Annual Meeting and conserve natural resources. However, if you would prefer to receive paper copies of proxy materials, please follow the instructions included in the Notice.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stockholders to vote on the following proposals to:</w:t>
      </w:r>
    </w:p>
    <w:p>
      <w:pPr>
        <w:spacing w:after="0" w:line="117"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David H. Mack, Ph.D. and Laurie Stelzer as Class III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Ernst &amp; Young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any other business as may properly come before the Annual Meeting.</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these proposals?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recommends that you vote your shares:</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David H. Mack, Ph.D. and Laurie Stelzer as Class III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our fiscal year ending December 31, 2026.</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Holders of our common stock as of the Record Date are entitled to receive the Notice and may vote their shares at the Annual Meeting. As of the Record Date, there were 53,329,392 shares of our common stock outstanding. Each share of common stock is entitled to one vote on each matter properly brought before the Annual Meeting. Stockholders are not permitted to cumulate votes with respect to the election of directors.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1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your shares are registered directly in your name with our transfer agent, Equiniti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LLC, then you are considered the stockholder of record with respect to those shares, and the Notice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75" w:lineRule="exact"/>
        <w:rPr>
          <w:sz w:val="20"/>
          <w:szCs w:val="20"/>
          <w:color w:val="auto"/>
        </w:rPr>
      </w:pPr>
    </w:p>
    <w:p>
      <w:pPr>
        <w:ind w:left="300" w:right="339"/>
        <w:spacing w:after="0" w:line="257"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your shares are held in a brokerage account or by a broker, bank or other nominee,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considered the “beneficial owner” of shares held in street name, and the Notice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instructions for accessing proxy materials and voting can be found in the Notice that you received either by mail or e-mail. In order to access proxy materials and vote, you will need the control number provided on the Notice. There are four ways a stockholder of record can vote:</w:t>
      </w:r>
    </w:p>
    <w:p>
      <w:pPr>
        <w:spacing w:after="0" w:line="66" w:lineRule="exact"/>
        <w:rPr>
          <w:sz w:val="20"/>
          <w:szCs w:val="20"/>
          <w:color w:val="auto"/>
        </w:rPr>
      </w:pPr>
    </w:p>
    <w:p>
      <w:pPr>
        <w:ind w:left="1000" w:right="43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You may vote over the Internet by following the instructions provided in the Notice or if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printed copies of proxy materials, the instructions provided in the proxy card.</w:t>
      </w:r>
    </w:p>
    <w:p>
      <w:pPr>
        <w:spacing w:after="0" w:line="50" w:lineRule="exact"/>
        <w:rPr>
          <w:rFonts w:ascii="Times New Roman" w:cs="Times New Roman" w:eastAsia="Times New Roman" w:hAnsi="Times New Roman"/>
          <w:sz w:val="18"/>
          <w:szCs w:val="18"/>
          <w:color w:val="auto"/>
        </w:rPr>
      </w:pPr>
    </w:p>
    <w:p>
      <w:pPr>
        <w:ind w:left="1000" w:right="55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can vote by telephone by following the instructions in the Notice or if you requested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printed copies of proxy materials, the instructions provided in the proxy card.</w:t>
      </w:r>
    </w:p>
    <w:p>
      <w:pPr>
        <w:spacing w:after="0" w:line="50" w:lineRule="exact"/>
        <w:rPr>
          <w:rFonts w:ascii="Times New Roman" w:cs="Times New Roman" w:eastAsia="Times New Roman" w:hAnsi="Times New Roman"/>
          <w:sz w:val="18"/>
          <w:szCs w:val="18"/>
          <w:color w:val="auto"/>
        </w:rPr>
      </w:pPr>
    </w:p>
    <w:p>
      <w:pPr>
        <w:ind w:left="1000" w:right="53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printed copies of proxy materials, you can vote by mailing your proxy card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proxy materials.</w:t>
      </w:r>
    </w:p>
    <w:p>
      <w:pPr>
        <w:spacing w:after="0" w:line="50"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the meeting</w:t>
      </w:r>
      <w:r>
        <w:rPr>
          <w:rFonts w:ascii="Times New Roman" w:cs="Times New Roman" w:eastAsia="Times New Roman" w:hAnsi="Times New Roman"/>
          <w:sz w:val="18"/>
          <w:szCs w:val="18"/>
          <w:color w:val="auto"/>
        </w:rPr>
        <w:t>: If you are a stockholder as of the Record Date, you may vote online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by following the provided instructions to join the Annual Meeting at www.virtualshareholdermeeting.com/PMVP2026, starting at 10:00 a.m., Eastern, on Thursday, June 4, 2026. The webcast will open 15 minutes before the start of the Annual Meeting. Submitting a proxy will not prevent a stockholder from attending the Annual Meeting, revoking their earlier-submitted proxy, and voting in person. You may also be represented by another person at the Annual Meeting by executing a legal proxy designating that person.</w:t>
      </w:r>
    </w:p>
    <w:p>
      <w:pPr>
        <w:spacing w:after="0" w:line="7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In order to be counted, proxies submitted by telephone or Internet must be received by 11:59 p.m., Eastern, on Wednesday, June 3, 2026. If you vote by telephone or Internet, you do not need to return your proxy card or voting instruction card. Proxies submitted by mail must be received before the start of the virtual Annual Meeting. If you are a street name stockholder, then you will receive voting instructions from your broker, bank or other nominee. The availability of telephone or Internet voting options will depend on the voting process of your broker, bank or other nominee. We therefore recommend that you follow the voting instructions in the materials you receive. If your voting instruction form or the Notice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 All shares that have been properly voted and not revoked will be cast as votes at the Annual Meeting.</w:t>
      </w:r>
    </w:p>
    <w:p>
      <w:pPr>
        <w:spacing w:after="0" w:line="188"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What happens if I decide to attend the virtual Annual Meeting, but I have already voted or submitted a proxy covering my shares?</w:t>
      </w:r>
    </w:p>
    <w:p>
      <w:pPr>
        <w:spacing w:after="0" w:line="51"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You may still attend the virtual Annual Meeting. Please be aware that attendance at the Annual Meeting will not, by itself, revoke a proxy.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will the Annual Meeting be held?</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The Annual Meeting will be a completely “virtual meeting” of shareholders. You will be able to attend the Annual Meeting, vote and submit your questions during the Annual Meeting via live webcast by visiting www.virtualshareholdermeeting.com/PMVP2026.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Annual Meeting a virtual, online meeting?</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We have decided to hold the Annual Meeting virtually this year and there will not be a physical location for attending the 2026 Annual Meeting. We believe that by conducting our Annual Meeting solely online via the Internet, we eliminate many of the costs associated with a physical meeting. We also anticipate that a virtual meeting will provide greater accessibility for stockholders, encourage stockholder participation from around the world, and improve our ability to communicate more effectively with our stockholders, all while reducing the environmental impact of the Annual Meeting.</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Annual Meeting for the meeting to be properly held under our amended and restated bylaws and Delaware law. The presence, in person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spacing w:after="0" w:line="332"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49" w:lineRule="exact"/>
        <w:rPr>
          <w:sz w:val="20"/>
          <w:szCs w:val="20"/>
          <w:color w:val="auto"/>
        </w:rPr>
      </w:pPr>
    </w:p>
    <w:p>
      <w:pPr>
        <w:ind w:left="300" w:right="659"/>
        <w:spacing w:after="0" w:line="284" w:lineRule="auto"/>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and you submit a proxy, but you do not provide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your shares will be voted:</w:t>
      </w:r>
    </w:p>
    <w:p>
      <w:pPr>
        <w:spacing w:after="0" w:line="48"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Class III director nominee named in this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our independent registered public accounting firm for our fiscal year ending December 31, 2026.</w:t>
      </w:r>
    </w:p>
    <w:p>
      <w:pPr>
        <w:spacing w:after="0" w:line="5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5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Brokers, banks and other nominees holding shares of common stock in street name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are 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2026.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you can change your vote or revoke your proxy before the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Annual Meeting by:</w:t>
      </w:r>
    </w:p>
    <w:p>
      <w:pPr>
        <w:spacing w:after="0" w:line="99" w:lineRule="exact"/>
        <w:rPr>
          <w:sz w:val="20"/>
          <w:szCs w:val="20"/>
          <w:color w:val="auto"/>
        </w:rPr>
      </w:pPr>
    </w:p>
    <w:p>
      <w:pPr>
        <w:ind w:left="1000" w:right="5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 (subject to the applicable deadlines for each method as set forth above);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 which must be received prior to the Annual Meeting;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our corporate secretary at PMV Pharmaceuticals, Inc.,</w:t>
      </w:r>
    </w:p>
    <w:p>
      <w:pPr>
        <w:spacing w:after="0" w:line="27" w:lineRule="exact"/>
        <w:rPr>
          <w:rFonts w:ascii="Times New Roman" w:cs="Times New Roman" w:eastAsia="Times New Roman" w:hAnsi="Times New Roman"/>
          <w:sz w:val="18"/>
          <w:szCs w:val="18"/>
          <w:color w:val="auto"/>
        </w:rPr>
      </w:pPr>
    </w:p>
    <w:p>
      <w:pPr>
        <w:ind w:left="1000" w:right="3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Alexander Park Drive, Suite 301, Princeton, New Jersey 08540, Attention: Corporate Secretary, which must be received prior to the Annual Meeting.</w:t>
      </w:r>
    </w:p>
    <w:p>
      <w:pPr>
        <w:spacing w:after="0" w:line="71" w:lineRule="exact"/>
        <w:rPr>
          <w:sz w:val="20"/>
          <w:szCs w:val="20"/>
          <w:color w:val="auto"/>
        </w:rPr>
      </w:pPr>
    </w:p>
    <w:p>
      <w:pPr>
        <w:ind w:left="300" w:right="339"/>
        <w:spacing w:after="0" w:line="28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your broker, bank or other nominee can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with instructions on how to change or revoke your proxy.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meeting?</w:t>
      </w:r>
    </w:p>
    <w:p>
      <w:pPr>
        <w:spacing w:after="0" w:line="121" w:lineRule="exact"/>
        <w:rPr>
          <w:sz w:val="20"/>
          <w:szCs w:val="20"/>
          <w:color w:val="auto"/>
        </w:rPr>
      </w:pPr>
    </w:p>
    <w:p>
      <w:pPr>
        <w:jc w:val="both"/>
        <w:ind w:left="300" w:right="779"/>
        <w:spacing w:after="0" w:line="261"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on the Annual Meeting log-in page. Technical support will be available starting at 9:30 a.m., Eastern, on Thursday, June 4, 2026.</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virtual Annual Meeting online?</w:t>
      </w:r>
    </w:p>
    <w:p>
      <w:pPr>
        <w:spacing w:after="0" w:line="121"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We will be hosting the Annual Meeting via live webcast only. Any stockholder can attend the virtual Annual Meeting live online at www.virtualshareholdermeeting.com/PMVP2026. The meeting will start at 10:00 a.m., Eastern, on Thursday, June 4, 2026. Stockholders attending the virtual Annual Meeting will be afforded the same rights and opportunities to participate as they would at an in-person meeting.</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order to enter the Annual Meeting, you will need the 16-digit control number, which is included in the Notice or on your proxy card if you are a stockholder of record of shares of common stock, or included with your voting instruction card and voting instructions received from your broker, bank or other agent if you hold your shares of common stock in a “street name.”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also vote by proxy as described above so that your vote will be counted if you later decide not to attend the Annual Meeting. We urge you to submit your proxy as soon as possible. We recommend that you log in before 10:00 a.m., Eastern, to ensure you are logged in when the Annual Meeting starts. Online check-in will begin at 9:45 a.m., Eastern, and you should also allow ample time for the online check-in procedures.</w:t>
      </w:r>
    </w:p>
    <w:p>
      <w:pPr>
        <w:spacing w:after="0" w:line="86"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If you would like to submit a question during the Annual Meeting, you may log in at www.virtualshareholdermeeting.com/PMVP2026 using your 16-digit control number, click on the “</w:t>
      </w:r>
      <w:r>
        <w:rPr>
          <w:rFonts w:ascii="Times New Roman" w:cs="Times New Roman" w:eastAsia="Times New Roman" w:hAnsi="Times New Roman"/>
          <w:sz w:val="18"/>
          <w:szCs w:val="18"/>
          <w:b w:val="1"/>
          <w:bCs w:val="1"/>
          <w:i w:val="1"/>
          <w:iCs w:val="1"/>
          <w:color w:val="auto"/>
        </w:rPr>
        <w:t>Q&amp;A</w:t>
      </w:r>
      <w:r>
        <w:rPr>
          <w:rFonts w:ascii="Times New Roman" w:cs="Times New Roman" w:eastAsia="Times New Roman" w:hAnsi="Times New Roman"/>
          <w:sz w:val="18"/>
          <w:szCs w:val="18"/>
          <w:color w:val="auto"/>
        </w:rPr>
        <w:t>” button to open the panel, enter your question in the field labelled “</w:t>
      </w:r>
      <w:r>
        <w:rPr>
          <w:rFonts w:ascii="Times New Roman" w:cs="Times New Roman" w:eastAsia="Times New Roman" w:hAnsi="Times New Roman"/>
          <w:sz w:val="18"/>
          <w:szCs w:val="18"/>
          <w:b w:val="1"/>
          <w:bCs w:val="1"/>
          <w:i w:val="1"/>
          <w:iCs w:val="1"/>
          <w:color w:val="auto"/>
        </w:rPr>
        <w:t>ASK a question</w:t>
      </w:r>
      <w:r>
        <w:rPr>
          <w:rFonts w:ascii="Times New Roman" w:cs="Times New Roman" w:eastAsia="Times New Roman" w:hAnsi="Times New Roman"/>
          <w:sz w:val="18"/>
          <w:szCs w:val="18"/>
          <w:color w:val="auto"/>
        </w:rPr>
        <w:t>” and click “</w:t>
      </w:r>
      <w:r>
        <w:rPr>
          <w:rFonts w:ascii="Times New Roman" w:cs="Times New Roman" w:eastAsia="Times New Roman" w:hAnsi="Times New Roman"/>
          <w:sz w:val="18"/>
          <w:szCs w:val="18"/>
          <w:b w:val="1"/>
          <w:bCs w:val="1"/>
          <w:i w:val="1"/>
          <w:iCs w:val="1"/>
          <w:color w:val="auto"/>
        </w:rPr>
        <w:t>SUBMIT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68" w:lineRule="exact"/>
        <w:rPr>
          <w:sz w:val="20"/>
          <w:szCs w:val="20"/>
          <w:color w:val="auto"/>
        </w:rPr>
      </w:pPr>
    </w:p>
    <w:p>
      <w:pPr>
        <w:ind w:left="1000" w:right="4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questions and comments electronically through the meeting portal or by calling the toll-free number listed there during the Annual Meeting.</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Annual Meeting and their proxy holders may submit questions or comments.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direct all questions to David H. Mack, Ph.D., our President, Chief Executive Officer and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include your name and affiliation, if any, when submitting a question or comment.</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Annual Meeting and/or our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Annual Meeting participants.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audio or video recordings of the Annual Meeting are permitted.</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can I do if I change my mind after I vote my shares?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are a stockholder of record, you can change your vote or revoke your proxy before it is exercised by:</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to the Corporate Secretary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delivery of a valid, later-dated proxy or a later-dated vote on the Internet; or</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person at the virtual Annual Meeting; however, simply attending the virtual meeting will not, by itself, revoke your proxy.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If you are a street name stockholder, you should follow the instructions of your bank, broker or other nominee to change or revoke your voting instructions. You may also vote in person at the Annual Meeting if you obtain a legal proxy as described in the answer to the previous question.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Proxies are solicited on behalf of the Company and our board of directors. David H. Mack, Ph.D., our President, Chief Executive Officer and Director, and Michael Carulli, our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Annual Meeting?</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Annual Meeting will be available online during the Annual Meeting at www.virtualshareholdermeeting.com/PMVP2026, for those stockholders attending the Annual Meeting. A list of names of stockholders of record entitled to vote at the Annual Meeting will be made available for examination by any stockholder for any purpose germane to the meeting for a period of at least ten days prior to the Annual Meeting between the hours of 9:30 a.m. and 4:30 p.m., Eastern, at our principal executive offices at</w:t>
      </w:r>
    </w:p>
    <w:p>
      <w:pPr>
        <w:spacing w:after="0" w:line="3" w:lineRule="exact"/>
        <w:rPr>
          <w:sz w:val="20"/>
          <w:szCs w:val="20"/>
          <w:color w:val="auto"/>
        </w:rPr>
      </w:pPr>
    </w:p>
    <w:p>
      <w:pPr>
        <w:ind w:left="300" w:right="599"/>
        <w:spacing w:after="0" w:line="260" w:lineRule="auto"/>
        <w:rPr>
          <w:sz w:val="20"/>
          <w:szCs w:val="20"/>
          <w:color w:val="auto"/>
        </w:rPr>
      </w:pPr>
      <w:r>
        <w:rPr>
          <w:rFonts w:ascii="Times New Roman" w:cs="Times New Roman" w:eastAsia="Times New Roman" w:hAnsi="Times New Roman"/>
          <w:sz w:val="18"/>
          <w:szCs w:val="18"/>
          <w:color w:val="auto"/>
        </w:rPr>
        <w:t>400 Alexander Park Drive, Suite 301, Princeton, New Jersey 08540, by contacting the Corporate Secretary of the Company.</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are required to approve the proposals being voted upon at the Annual Meeting?</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presence of the holders of a majority of the outstanding shares of common stock entitled to vote at the Annual Meeting, present in person or represented by proxy, is necessary to constitute a quorum. Assuming there is a proper quorum of shares represented at the Annual Meeting, the voting requirements for approval of the proposals at the Annual Meeting are as follows: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 required</w:t>
            </w:r>
          </w:p>
        </w:tc>
      </w:tr>
      <w:tr>
        <w:trPr>
          <w:trHeight w:val="23"/>
        </w:trPr>
        <w:tc>
          <w:tcPr>
            <w:tcW w:w="14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of directors</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Plurality of votes cast</w:t>
            </w:r>
          </w:p>
        </w:tc>
      </w:tr>
      <w:tr>
        <w:trPr>
          <w:trHeight w:val="324"/>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of our named executive officers</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 of votes cast</w:t>
            </w:r>
          </w:p>
        </w:tc>
      </w:tr>
      <w:tr>
        <w:trPr>
          <w:trHeight w:val="306"/>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Ratification of Ernst &amp; Young LLP as our independent registered public</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 of votes cast</w:t>
            </w:r>
          </w:p>
        </w:tc>
      </w:tr>
      <w:tr>
        <w:trPr>
          <w:trHeight w:val="234"/>
        </w:trPr>
        <w:tc>
          <w:tcPr>
            <w:tcW w:w="140" w:type="dxa"/>
            <w:vAlign w:val="bottom"/>
          </w:tcPr>
          <w:p>
            <w:pPr>
              <w:spacing w:after="0"/>
              <w:rPr>
                <w:sz w:val="20"/>
                <w:szCs w:val="20"/>
                <w:color w:val="auto"/>
              </w:rPr>
            </w:pPr>
          </w:p>
        </w:tc>
        <w:tc>
          <w:tcPr>
            <w:tcW w:w="5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firm for fiscal year 2026</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121" w:lineRule="exact"/>
        <w:rPr>
          <w:sz w:val="20"/>
          <w:szCs w:val="20"/>
          <w:color w:val="auto"/>
        </w:rPr>
      </w:pPr>
    </w:p>
    <w:p>
      <w:pPr>
        <w:ind w:left="300" w:right="459"/>
        <w:spacing w:after="0" w:line="289" w:lineRule="auto"/>
        <w:rPr>
          <w:sz w:val="20"/>
          <w:szCs w:val="20"/>
          <w:color w:val="auto"/>
        </w:rPr>
      </w:pPr>
      <w:r>
        <w:rPr>
          <w:rFonts w:ascii="Times New Roman" w:cs="Times New Roman" w:eastAsia="Times New Roman" w:hAnsi="Times New Roman"/>
          <w:sz w:val="17"/>
          <w:szCs w:val="17"/>
          <w:color w:val="auto"/>
        </w:rPr>
        <w:t>At the date of this proxy statement, we did not know of any matters to be raised at the Annual Meeting other than those referred to in this proxy statement. If other matters are properly presented at the Annual Meeting for consideration, the proxy holders named on the proxy card will have the discretion to vote on those matters for you.</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121" w:lineRule="exact"/>
        <w:rPr>
          <w:sz w:val="20"/>
          <w:szCs w:val="20"/>
          <w:color w:val="auto"/>
        </w:rPr>
      </w:pPr>
    </w:p>
    <w:p>
      <w:pPr>
        <w:ind w:left="300" w:right="619"/>
        <w:spacing w:after="0" w:line="256" w:lineRule="auto"/>
        <w:rPr>
          <w:sz w:val="20"/>
          <w:szCs w:val="20"/>
          <w:color w:val="auto"/>
        </w:rPr>
      </w:pPr>
      <w:r>
        <w:rPr>
          <w:rFonts w:ascii="Times New Roman" w:cs="Times New Roman" w:eastAsia="Times New Roman" w:hAnsi="Times New Roman"/>
          <w:sz w:val="18"/>
          <w:szCs w:val="18"/>
          <w:color w:val="auto"/>
        </w:rPr>
        <w:t>We will pay the cost of soliciting proxies. Our directors, senior executives or employees, acting without special compensation, may also solicit proxies. Proxies may be solicited by personal interview, mail, electronic transmission, facsimile transmission or telephone. We are required to send copies of proxy-related materials or additional solicitation materials to brokers, fiduciaries and custodians who will forward these materials to the beneficial owners of our shares. On request, we will reimburse brokers and other persons representing beneficial owners of shares for their reasonable expenses in forwarding these materials to beneficial owners.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PMV Pharmaceuticals has designated Lou Larsen, a representative from Broadridge Financial Solutions, Inc., as the Inspector of Election who will tabulate the votes.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contact PMV Pharmaceuticals’ transfer agent?</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You may contact our transfer agent, Equiniti Trust Company, LLC, by telephone at (800) 937-5449, or by writing Equiniti Trust Company, LLC, at 55 Challenger Road, 2nd Floor, Ridgefield Park, New Jersey 07660.</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or more than one set of printed proxy materials?</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If you receive more than one Notice or more than one set of printed proxy materials, then your shares may be registered in more than one name and/or are registered in different accounts. Please follow the voting instructions on each Notice or each set of printed proxy materials, as applicable, to ensure that all of your shares are voted.</w:t>
      </w:r>
    </w:p>
    <w:p>
      <w:pPr>
        <w:spacing w:after="0" w:line="334" w:lineRule="exact"/>
        <w:rPr>
          <w:sz w:val="20"/>
          <w:szCs w:val="20"/>
          <w:color w:val="auto"/>
        </w:rPr>
      </w:pPr>
    </w:p>
    <w:p>
      <w:pPr>
        <w:ind w:left="300" w:right="339"/>
        <w:spacing w:after="0" w:line="317" w:lineRule="auto"/>
        <w:rPr>
          <w:sz w:val="20"/>
          <w:szCs w:val="20"/>
          <w:color w:val="auto"/>
        </w:rPr>
      </w:pPr>
      <w:r>
        <w:rPr>
          <w:rFonts w:ascii="Times New Roman" w:cs="Times New Roman" w:eastAsia="Times New Roman" w:hAnsi="Times New Roman"/>
          <w:sz w:val="17"/>
          <w:szCs w:val="17"/>
          <w:b w:val="1"/>
          <w:bCs w:val="1"/>
          <w:color w:val="auto"/>
        </w:rPr>
        <w:t>I share an address with another stockholder, and we received only one copy of the Notice or proxy statement and annual report. How may I obtain an additional copy of the Notice or proxy statement and annual report?</w:t>
      </w:r>
    </w:p>
    <w:p>
      <w:pPr>
        <w:spacing w:after="0" w:line="28"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which we can deliver a single copy of the Notice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if applicable, the proxy statement and annual report, to any stockholder at a shared address to which we delivered a single copy of these documents. To receive a separate copy, or, if you are receiving multiple copies, to request that we only send a single copy of next year’s Notice proxy statement and annual report, as applicable, you may contact us as follows:</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Tel: (609) 642-6670</w:t>
      </w:r>
    </w:p>
    <w:p>
      <w:pPr>
        <w:spacing w:after="0" w:line="99" w:lineRule="exact"/>
        <w:rPr>
          <w:sz w:val="20"/>
          <w:szCs w:val="20"/>
          <w:color w:val="auto"/>
        </w:rPr>
      </w:pPr>
    </w:p>
    <w:p>
      <w:pPr>
        <w:ind w:left="300" w:right="1319"/>
        <w:spacing w:after="0" w:line="282" w:lineRule="auto"/>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CORPORATE GOVERNANCE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Dr. Heyman’s term of office as a Class III director, and service as the chairperson of our board of directors, will expire at the Annual Meeting. Dr. Heyman will not stand for re-election, and effective as of the Annual Meeting, the authorized number of directors will be reduced from seven to six. Our directors are divided into three classes serving staggered three-year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84" w:lineRule="exact"/>
        <w:rPr>
          <w:sz w:val="20"/>
          <w:szCs w:val="20"/>
          <w:color w:val="auto"/>
        </w:rPr>
      </w:pPr>
    </w:p>
    <w:p>
      <w:pPr>
        <w:ind w:left="300" w:right="519"/>
        <w:spacing w:after="0" w:line="277" w:lineRule="auto"/>
        <w:rPr>
          <w:sz w:val="20"/>
          <w:szCs w:val="20"/>
          <w:color w:val="auto"/>
        </w:rPr>
      </w:pPr>
      <w:r>
        <w:rPr>
          <w:rFonts w:ascii="Times New Roman" w:cs="Times New Roman" w:eastAsia="Times New Roman" w:hAnsi="Times New Roman"/>
          <w:sz w:val="17"/>
          <w:szCs w:val="17"/>
          <w:color w:val="auto"/>
        </w:rPr>
        <w:t>Our nominating and corporate governance committee has recommended, and our board of directors has approved, David H. Mack, Ph.D. and Laurie Stelzer as nominees for election as Class III directors at the Annual Meeting. In addition, our nominating and corporate governance committee has recommended, and our board of directors has approved, the appointment of Ms. Stelzer as the chairperson of our board of directors, effective immediately following the expiration of Dr. Heyman’s term of office as a Class III director at the Annual Meeting.</w:t>
      </w:r>
    </w:p>
    <w:p>
      <w:pPr>
        <w:spacing w:after="0" w:line="60" w:lineRule="exact"/>
        <w:rPr>
          <w:sz w:val="20"/>
          <w:szCs w:val="20"/>
          <w:color w:val="auto"/>
        </w:rPr>
      </w:pPr>
    </w:p>
    <w:p>
      <w:pPr>
        <w:ind w:left="300" w:right="739"/>
        <w:spacing w:after="0" w:line="266" w:lineRule="auto"/>
        <w:rPr>
          <w:sz w:val="20"/>
          <w:szCs w:val="20"/>
          <w:color w:val="auto"/>
        </w:rPr>
      </w:pPr>
      <w:r>
        <w:rPr>
          <w:rFonts w:ascii="Times New Roman" w:cs="Times New Roman" w:eastAsia="Times New Roman" w:hAnsi="Times New Roman"/>
          <w:sz w:val="18"/>
          <w:szCs w:val="18"/>
          <w:color w:val="auto"/>
        </w:rPr>
        <w:t>The principal occupations and certain other information about the nominees and the additional members of our board of directors (including the skills and qualifications that led to the conclusion that they should serve as directors) are set forth below.</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Expiration</w:t>
            </w: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 Term</w:t>
            </w: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Term</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 Which</w:t>
            </w:r>
          </w:p>
        </w:tc>
      </w:tr>
      <w:tr>
        <w:trPr>
          <w:trHeight w:val="170"/>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Class</w:t>
            </w:r>
          </w:p>
        </w:tc>
        <w:tc>
          <w:tcPr>
            <w:tcW w:w="1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120" w:type="dxa"/>
            <w:vAlign w:val="bottom"/>
          </w:tcPr>
          <w:p>
            <w:pPr>
              <w:spacing w:after="0"/>
              <w:rPr>
                <w:sz w:val="14"/>
                <w:szCs w:val="14"/>
                <w:color w:val="auto"/>
              </w:rPr>
            </w:pPr>
          </w:p>
        </w:tc>
        <w:tc>
          <w:tcPr>
            <w:tcW w:w="236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Position(s)</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Since</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Expires</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Nominated</w:t>
            </w:r>
          </w:p>
        </w:tc>
      </w:tr>
      <w:tr>
        <w:trPr>
          <w:trHeight w:val="29"/>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Nominees for Director</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02"/>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David H. Mack, Ph.D.</w:t>
            </w:r>
          </w:p>
        </w:tc>
        <w:tc>
          <w:tcPr>
            <w:tcW w:w="12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5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64</w:t>
            </w:r>
          </w:p>
        </w:tc>
        <w:tc>
          <w:tcPr>
            <w:tcW w:w="1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2013</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2026</w:t>
            </w:r>
          </w:p>
        </w:tc>
        <w:tc>
          <w:tcPr>
            <w:tcW w:w="760" w:type="dxa"/>
            <w:vAlign w:val="bottom"/>
            <w:gridSpan w:val="2"/>
          </w:tcPr>
          <w:p>
            <w:pPr>
              <w:jc w:val="right"/>
              <w:ind w:right="86"/>
              <w:spacing w:after="0"/>
              <w:rPr>
                <w:sz w:val="20"/>
                <w:szCs w:val="20"/>
                <w:color w:val="auto"/>
              </w:rPr>
            </w:pPr>
            <w:r>
              <w:rPr>
                <w:rFonts w:ascii="Times New Roman" w:cs="Times New Roman" w:eastAsia="Times New Roman" w:hAnsi="Times New Roman"/>
                <w:sz w:val="16"/>
                <w:szCs w:val="16"/>
                <w:color w:val="auto"/>
              </w:rPr>
              <w:t>2029</w:t>
            </w:r>
          </w:p>
        </w:tc>
      </w:tr>
      <w:tr>
        <w:trPr>
          <w:trHeight w:val="210"/>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and Class III Director</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r>
      <w:tr>
        <w:trPr>
          <w:trHeight w:val="283"/>
        </w:trPr>
        <w:tc>
          <w:tcPr>
            <w:tcW w:w="258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Laurie Stelzer</w:t>
            </w:r>
            <w:r>
              <w:rPr>
                <w:rFonts w:ascii="Times New Roman" w:cs="Times New Roman" w:eastAsia="Times New Roman" w:hAnsi="Times New Roman"/>
                <w:sz w:val="26"/>
                <w:szCs w:val="26"/>
                <w:color w:val="auto"/>
                <w:vertAlign w:val="superscript"/>
              </w:rPr>
              <w:t>(1)(2)*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58</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III Director</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2026</w:t>
            </w:r>
          </w:p>
        </w:tc>
        <w:tc>
          <w:tcPr>
            <w:tcW w:w="7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2029</w:t>
            </w:r>
          </w:p>
        </w:tc>
      </w:tr>
      <w:tr>
        <w:trPr>
          <w:trHeight w:val="243"/>
        </w:trPr>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2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Directors</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Arnold Levine, Ph.D.</w:t>
            </w:r>
          </w:p>
        </w:tc>
        <w:tc>
          <w:tcPr>
            <w:tcW w:w="1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II</w:t>
            </w:r>
          </w:p>
        </w:tc>
        <w:tc>
          <w:tcPr>
            <w:tcW w:w="5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86</w:t>
            </w:r>
          </w:p>
        </w:tc>
        <w:tc>
          <w:tcPr>
            <w:tcW w:w="1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Class II Director</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2013</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tcPr>
          <w:p>
            <w:pPr>
              <w:spacing w:after="0"/>
              <w:rPr>
                <w:sz w:val="18"/>
                <w:szCs w:val="18"/>
                <w:color w:val="auto"/>
              </w:rPr>
            </w:pP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83"/>
        </w:trPr>
        <w:tc>
          <w:tcPr>
            <w:tcW w:w="258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Charles M. Baum, M.D., Ph.D.</w:t>
            </w:r>
            <w:r>
              <w:rPr>
                <w:rFonts w:ascii="Times New Roman" w:cs="Times New Roman" w:eastAsia="Times New Roman" w:hAnsi="Times New Roman"/>
                <w:sz w:val="26"/>
                <w:szCs w:val="26"/>
                <w:color w:val="auto"/>
                <w:vertAlign w:val="superscript"/>
              </w:rPr>
              <w:t>(2)(3)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II</w:t>
            </w:r>
          </w:p>
        </w:tc>
        <w:tc>
          <w:tcPr>
            <w:tcW w:w="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68</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II Director</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2021</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2580" w:type="dxa"/>
            <w:vAlign w:val="bottom"/>
          </w:tcPr>
          <w:p>
            <w:pPr>
              <w:spacing w:after="0" w:line="283" w:lineRule="exact"/>
              <w:rPr>
                <w:sz w:val="20"/>
                <w:szCs w:val="20"/>
                <w:color w:val="auto"/>
              </w:rPr>
            </w:pPr>
            <w:r>
              <w:rPr>
                <w:rFonts w:ascii="Times New Roman" w:cs="Times New Roman" w:eastAsia="Times New Roman" w:hAnsi="Times New Roman"/>
                <w:sz w:val="16"/>
                <w:szCs w:val="16"/>
                <w:color w:val="auto"/>
              </w:rPr>
              <w:t>Kirsten Flowers</w:t>
            </w:r>
            <w:r>
              <w:rPr>
                <w:rFonts w:ascii="Times New Roman" w:cs="Times New Roman" w:eastAsia="Times New Roman" w:hAnsi="Times New Roman"/>
                <w:sz w:val="26"/>
                <w:szCs w:val="26"/>
                <w:color w:val="auto"/>
                <w:vertAlign w:val="superscript"/>
              </w:rPr>
              <w:t>(1)***</w:t>
            </w:r>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5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51</w:t>
            </w:r>
          </w:p>
        </w:tc>
        <w:tc>
          <w:tcPr>
            <w:tcW w:w="12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Class I Director</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2022</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tcPr>
          <w:p>
            <w:pPr>
              <w:spacing w:after="0"/>
              <w:rPr>
                <w:sz w:val="24"/>
                <w:szCs w:val="24"/>
                <w:color w:val="auto"/>
              </w:rPr>
            </w:pP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r>
      <w:tr>
        <w:trPr>
          <w:trHeight w:val="283"/>
        </w:trPr>
        <w:tc>
          <w:tcPr>
            <w:tcW w:w="258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Carol Gallagher, Pharm.D.</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5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61</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I Director</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2022</w:t>
            </w:r>
          </w:p>
        </w:tc>
        <w:tc>
          <w:tcPr>
            <w:tcW w:w="7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2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Departing Director</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355"/>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Richard Heyman, Ph.D.</w:t>
            </w:r>
            <w:r>
              <w:rPr>
                <w:rFonts w:ascii="Times New Roman" w:cs="Times New Roman" w:eastAsia="Times New Roman" w:hAnsi="Times New Roman"/>
                <w:sz w:val="26"/>
                <w:szCs w:val="26"/>
                <w:color w:val="auto"/>
                <w:vertAlign w:val="superscript"/>
              </w:rPr>
              <w:t>(1)(2)(3)</w:t>
            </w:r>
          </w:p>
        </w:tc>
        <w:tc>
          <w:tcPr>
            <w:tcW w:w="1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5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68</w:t>
            </w:r>
          </w:p>
        </w:tc>
        <w:tc>
          <w:tcPr>
            <w:tcW w:w="12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Chairperson and Class III Director</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7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Pr>
          <w:p>
            <w:pPr>
              <w:spacing w:after="0"/>
              <w:rPr>
                <w:sz w:val="24"/>
                <w:szCs w:val="24"/>
                <w:color w:val="auto"/>
              </w:rPr>
            </w:pP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117475</wp:posOffset>
            </wp:positionV>
            <wp:extent cx="822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9"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42" w:lineRule="exact"/>
        <w:rPr>
          <w:sz w:val="20"/>
          <w:szCs w:val="20"/>
          <w:color w:val="auto"/>
        </w:rPr>
      </w:pPr>
    </w:p>
    <w:p>
      <w:pPr>
        <w:ind w:left="640" w:right="35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expiration of Dr. Heyman’s term of office at the Annual Meeting, Ms. Stelzer will succeed Dr. Heyman as the chairperson of our board of directors and will also join the nominating and corporate governance committee.</w:t>
      </w:r>
    </w:p>
    <w:p>
      <w:pPr>
        <w:spacing w:after="0" w:line="1"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expiration of Dr. Heyman’s term of office at the Annual Meeting, Dr. Gallagher will join the audit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expiration of Dr. Heyman’s term of office at the Annual Meeting, Ms. Flowers will join the compensation committee.</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Election to a Three-Year Term Ending at the 2029 Annual Meeting</w:t>
      </w:r>
    </w:p>
    <w:p>
      <w:pPr>
        <w:spacing w:after="0" w:line="117" w:lineRule="exact"/>
        <w:rPr>
          <w:sz w:val="20"/>
          <w:szCs w:val="20"/>
          <w:color w:val="auto"/>
        </w:rPr>
      </w:pPr>
    </w:p>
    <w:p>
      <w:pPr>
        <w:ind w:left="300" w:right="29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H. Mack, Ph.D. </w:t>
      </w:r>
      <w:r>
        <w:rPr>
          <w:rFonts w:ascii="Times New Roman" w:cs="Times New Roman" w:eastAsia="Times New Roman" w:hAnsi="Times New Roman"/>
          <w:sz w:val="17"/>
          <w:szCs w:val="17"/>
          <w:color w:val="auto"/>
        </w:rPr>
        <w:t>has served as a member of our board of directors since June 2013 and as our President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Executive Officer since July 2013. Previously, Dr. Mack was a general partner at Alta Partners, a venture capital firm focusing on investments in biotechnology and life sciences companies, from 2002 to 2013.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has co-authored more than 30 scientific articles and reviews, including papers published in Cell, Science,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spacing w:after="0" w:line="75"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Laurie Stelzer </w:t>
      </w:r>
      <w:r>
        <w:rPr>
          <w:rFonts w:ascii="Times New Roman" w:cs="Times New Roman" w:eastAsia="Times New Roman" w:hAnsi="Times New Roman"/>
          <w:sz w:val="18"/>
          <w:szCs w:val="18"/>
          <w:color w:val="auto"/>
        </w:rPr>
        <w:t>has served as a member of our board of directors since August 2020. Ms. Stelzer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Kailera Therapeutics, Inc. a clinical-stage biopharmaceutical company, from January 2025 to October 2025. Ms. Stelzer previously served as the Chief Financial Officer of Orna Therapeutics, a biotechnology company, from May 2024 until January 2025. From September 2023 until May 2024, she served as the Chief Financial Officer of ReNAgade Therapeutics, Inc., a biotechnology company, until its acquisition by Orna Therapeutics. She previously served as the Chief Financial Officer of Mirati from May 2022 until September 2023. Ms. Stelzer formerly served as Executive Vice President and Chief Financial Officer of Arena Pharmaceuticals, Inc. (acquired by Pfizer) from March 2020 until the completion of Pfizer’s acquisition in March 2022. She also serves on the board of directors of Sionna Therapeutics (Nasdaq: SION), a clinical-stage biopharmaceutical company, Spyre Therapeutics Inc. (Nasdaq: SYRE), a biotechnology company, MBX Biosciences, Inc. (Nasdaq: MBX), a clinical-stage biopharmaceutical company, and served on the board of directors of Surface Oncology, Inc.</w:t>
      </w:r>
    </w:p>
    <w:p>
      <w:pPr>
        <w:spacing w:after="0" w:line="8"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(Nasdaq: SURF), a clinical-stage immuno-oncology company until its acquisition by Coherus BioSciences in September 2023. Prior to joining Arena Pharmaceuticals, Ms. Stelzer was the Chief Financial Officer at Halozyme Therapeutics, Inc. (Nasdaq: HALO), a biopharma technology platform company, from June 2015 to March 2020. Prior to joining Halozyme Therapeutics, Ms. Stelzer held senior management roles at Shire Plc (acquired by Takeda), including Senior Vice President of Finance, Division Chief Financial Officer for the Regenerative Medicine Division and Head of Investor Relations. Previously, she also worked at Amgen for 15 years, serving in positions of increasing responsibility in the areas of Finance, Treasury, Global Accounting and International/Emerging Markets. Ms. Stelzer received her B.S. in Accounting from Arizona State University and her M.B.A. from University of California, Los Angeles, Anderson School of Management. We believe that Ms. Stelzer is qualified to serve on our board of directors because of her extensive executive and financial experience at multiple public companies in the biopharmaceutical and biotechnology industries.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17"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Arnold Levine, Ph.D. </w:t>
      </w:r>
      <w:r>
        <w:rPr>
          <w:rFonts w:ascii="Times New Roman" w:cs="Times New Roman" w:eastAsia="Times New Roman" w:hAnsi="Times New Roman"/>
          <w:sz w:val="18"/>
          <w:szCs w:val="18"/>
          <w:color w:val="auto"/>
        </w:rPr>
        <w:t>has served as a member of our board of directors since June 2013. Since 2011, Dr. Levine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Professor Emeritus at The Simons Center for Systems Biology at the Institute for Advanced Study in Princeton, New Jersey. Dr. Levine trained as a Postdoctoral Fellow at California Institute of Technology in the laboratory of Robert Sinsheimer. Dr. Levine is a widely acclaimed leader in cancer research. Dr. Levine currently serves on the board of directors of GeneCentric Therapeutics, a private biomarker producer. Dr. Levine previously was a member of the board of directors of Adaptive Biotechnologies (Nasdaq: ADPT), a commercial-stage biotechnology company, and Meira GTX (Nasdaq: MGTX), a clinical-stage gene therapy company. In 1979,</w:t>
      </w:r>
    </w:p>
    <w:p>
      <w:pPr>
        <w:spacing w:after="0" w:line="1" w:lineRule="exact"/>
        <w:rPr>
          <w:sz w:val="20"/>
          <w:szCs w:val="20"/>
          <w:color w:val="auto"/>
        </w:rPr>
      </w:pPr>
    </w:p>
    <w:p>
      <w:pPr>
        <w:ind w:left="300" w:right="319"/>
        <w:spacing w:after="0" w:line="265" w:lineRule="auto"/>
        <w:rPr>
          <w:sz w:val="20"/>
          <w:szCs w:val="20"/>
          <w:color w:val="auto"/>
        </w:rPr>
      </w:pPr>
      <w:r>
        <w:rPr>
          <w:rFonts w:ascii="Times New Roman" w:cs="Times New Roman" w:eastAsia="Times New Roman" w:hAnsi="Times New Roman"/>
          <w:sz w:val="17"/>
          <w:szCs w:val="17"/>
          <w:color w:val="auto"/>
        </w:rPr>
        <w:t>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w:t>
      </w:r>
    </w:p>
    <w:p>
      <w:pPr>
        <w:spacing w:after="0" w:line="1" w:lineRule="exact"/>
        <w:rPr>
          <w:sz w:val="20"/>
          <w:szCs w:val="20"/>
          <w:color w:val="auto"/>
        </w:rPr>
      </w:pPr>
    </w:p>
    <w:p>
      <w:pPr>
        <w:ind w:left="300" w:right="519"/>
        <w:spacing w:after="0" w:line="253" w:lineRule="auto"/>
        <w:rPr>
          <w:sz w:val="20"/>
          <w:szCs w:val="20"/>
          <w:color w:val="auto"/>
        </w:rPr>
      </w:pPr>
      <w:r>
        <w:rPr>
          <w:rFonts w:ascii="Times New Roman" w:cs="Times New Roman" w:eastAsia="Times New Roman" w:hAnsi="Times New Roman"/>
          <w:sz w:val="18"/>
          <w:szCs w:val="18"/>
          <w:color w:val="auto"/>
        </w:rPr>
        <w:t>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spacing w:after="0" w:line="75" w:lineRule="exact"/>
        <w:rPr>
          <w:sz w:val="20"/>
          <w:szCs w:val="20"/>
          <w:color w:val="auto"/>
        </w:rPr>
      </w:pPr>
    </w:p>
    <w:p>
      <w:pPr>
        <w:ind w:left="30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M. Baum, M.D., Ph.D. </w:t>
      </w:r>
      <w:r>
        <w:rPr>
          <w:rFonts w:ascii="Times New Roman" w:cs="Times New Roman" w:eastAsia="Times New Roman" w:hAnsi="Times New Roman"/>
          <w:sz w:val="18"/>
          <w:szCs w:val="18"/>
          <w:color w:val="auto"/>
        </w:rPr>
        <w:t>has served as a member of our board of directors since April 2021. Since July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Baum has served as the Chief Executive Officer and board member of Terremoto Biosciences, Inc., a biotechnology company. Previously, Dr. Baum was the Founder, President and Chief Executive Officer of Mirati Therapeutics, Inc. (Nasdaq: MRTX), a commercial stage biotechnology company (“Mirati”), from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November 2012 to September 2021, and also from August 2023 through January 2024, when Mirati was acquired by Bristol-Myers-Squibb Company (NYSE: BMY), a multinational pharmaceutical company (“Bristol”). Dr. Baum also served as Mirati’s President, Founder and Head of Research and Development from September 2021 to August 2023, and was a board member from November 2012 to January 2024 when Mirati was acquired by Bristol. Dr. Baum currently serves on the board of directors of Acrivon Therapeutics, Inc. (Nasdaq: ACRV), a clinical-stage biopharmaceutical company. Previously, Dr. Baum served on the board of directors of Poseida Therapeutics, Inc. (Nasdaq: PSTX), a clinical-stage biopharmaceutical company, from May 2022 to January 2025, when PSTX was acquired by Roche Genentech (OTCMKTS: RHHBY). From June 2003 to September 2012, Dr. Baum worked at Pfizer Inc. (NYSE: PFE), a biopharmaceutical company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Dr. Baum was responsible for the development of several oncology compounds at Schering-Plough Corporation (acquired by Merck &amp; Co., Inc. (NYSE: MRK) (“Merck”)). Dr. Baum’s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received his M.D. and</w:t>
      </w:r>
    </w:p>
    <w:p>
      <w:pPr>
        <w:spacing w:after="0" w:line="1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Ph.D. (Immunology) degrees from Washington University School of Medicine in St. Louis, Missouri and completed his post-doctoral training at Stanford University. We believe that Dr. Baum is qualified to serve on our board of directors because of the perspective and executive-level experience he provides in the biotechnology industry as well as his experience serving on the board of directors of public companies.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Kirsten Flowers </w:t>
      </w:r>
      <w:r>
        <w:rPr>
          <w:rFonts w:ascii="Times New Roman" w:cs="Times New Roman" w:eastAsia="Times New Roman" w:hAnsi="Times New Roman"/>
          <w:sz w:val="18"/>
          <w:szCs w:val="18"/>
          <w:color w:val="auto"/>
        </w:rPr>
        <w:t>has served as a member of our board of directors since January 2022. Since June 2024,</w:t>
      </w:r>
    </w:p>
    <w:p>
      <w:pPr>
        <w:spacing w:after="0" w:line="31"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Ms. Flowers has served as the Chief Executive Officer and co-founder of Chiara Biosciences, Inc., a platform and therapeutics company leveraging a differentiated approach to targeted protein degradation. Ms. Flowers previously served as the Chief Commercial &amp; Corporate Strategy Officer of Kura Oncology, Inc. (Nasdaq: KURA), a clinical-stage biopharmaceutical company, from July 2022 to January 2023 and also served as its Chief Commercial Officer from January 2020 to June 2022. From September 2021 to June 2024, she served as a member of the board of directors of Comera Life Sciences (Nasdaq: CMRA) (formerly Reform Biologics Inc.), a biologic formulations company. Prior to joining Kura Oncology, Inc., Ms. Flowers was the Senior Vice President of Commercial Operations at Array Biopharma, Inc. (acquired by Pfizer) from April 2018 to October 2019 and was the Vice President of Global Marketing from August 2017 to April 2018. Previously, Ms. Flowers was at Pfizer and held several leadership positions, including Group Leader for the United States oncology business. Ms. Flowers has more than 25 years of pharmaceutical and biotech experience. Ms. Flowers received her B.S. in Molecular &amp; Cellular Biology / Psychology from the University of Arizona and her M.B.A. from Harvard Business School. We believe that Ms. Flowers is qualified to serve on our board of directors because of her extensive executive and commercial experience in the biopharmaceutical and biotechnology industries.</w:t>
      </w:r>
    </w:p>
    <w:p>
      <w:pPr>
        <w:spacing w:after="0" w:line="7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Carol Gallagher, Pharm.D. </w:t>
      </w:r>
      <w:r>
        <w:rPr>
          <w:rFonts w:ascii="Times New Roman" w:cs="Times New Roman" w:eastAsia="Times New Roman" w:hAnsi="Times New Roman"/>
          <w:sz w:val="18"/>
          <w:szCs w:val="18"/>
          <w:color w:val="auto"/>
        </w:rPr>
        <w:t>has served as a member of our board of directors since November 2022. Dr. Gallagher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on the board of directors of Atara Biotherapeutics, Inc. (Nasdaq: ATRA), an allogeneic T-cell immunotherapy company. Previously, Dr. Gallagher served on the boards of directors at Anaptys Bio Inc. (Nasdaq: ANAB) from 2011 until 2018, Tempest Therapeutics (formerly Millendo Therapeutics, Inc.) (Nasdaq: TPST) from 2012 until 2021, Annexon, Inc. (Nasdaq: ANNX) from 2018 to February 2021, Turning Point Therapeutics, Inc. from July 2019 until its acquisition by Bristol in August 2022, Certara, Inc. (Nasdaq: CERT) from June 2021 to</w:t>
      </w:r>
    </w:p>
    <w:p>
      <w:pPr>
        <w:spacing w:after="0" w:line="4"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color w:val="auto"/>
        </w:rPr>
        <w:t>April 2022, Frazier Life Sciences Acquisition Corp. (Nasdaq: FLAC), a special purpose acquisition company (currently, Nasdaq: NAMS), from October 2020 until December 2022, and Mirati from June 2023 until its acquisition by Bristol in January 2024. From October 2014 to December 2023, Dr. Gallagher served as a partner, venture partner and venture advisor at New Enterprise Associates, a venture capital firm. Prior to joining New Enterprise Associates, Dr. Gallagher served as a venture partner with Frazier Healthcare, a venture capital firm, from October 2013 to September 2014. Dr. Gallagher served as the President and Chief Executive Officer of Calistoga Pharmaceuticals, a biopharmaceutical company, from 2008 to 2011, when the company was acquired by Gilead Sciences, Inc. (Nasdaq: GILD), a biopharmaceutical company. From 2007 to 2008, Dr. Gallagher was the President and Chief Executive Officer of Metastatix, Inc., a biopharmaceutical company. Prior to that time starting in 1989, she served in various roles at pharmaceutical companies, including at Eli Lilly and Company (NYSE: LLY), a multinational pharmaceutical company, Amgen, Inc. (Nasdaq: AMGN), a global biopharmaceutical company (“Amgen”), and Pfizer. Dr. Gallagher attended Vanderbilt University and holds a B.S. and Doctor of Pharmacy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939"/>
        <w:spacing w:after="0" w:line="266" w:lineRule="auto"/>
        <w:rPr>
          <w:sz w:val="20"/>
          <w:szCs w:val="20"/>
          <w:color w:val="auto"/>
        </w:rPr>
      </w:pPr>
      <w:r>
        <w:rPr>
          <w:rFonts w:ascii="Times New Roman" w:cs="Times New Roman" w:eastAsia="Times New Roman" w:hAnsi="Times New Roman"/>
          <w:sz w:val="18"/>
          <w:szCs w:val="18"/>
          <w:color w:val="auto"/>
        </w:rPr>
        <w:t>degrees from the University of Kentucky. We believe that Dr. Gallagher is qualified to serve on our board of directors due to her extensive experience in the pharmaceuticals industry, her leadership and management experience, and her service as a director of other biopharmaceutical companies.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Departing Director</w:t>
      </w:r>
    </w:p>
    <w:p>
      <w:pPr>
        <w:spacing w:after="0" w:line="117"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Heyman, Ph.D. </w:t>
      </w:r>
      <w:r>
        <w:rPr>
          <w:rFonts w:ascii="Times New Roman" w:cs="Times New Roman" w:eastAsia="Times New Roman" w:hAnsi="Times New Roman"/>
          <w:sz w:val="18"/>
          <w:szCs w:val="18"/>
          <w:color w:val="auto"/>
        </w:rPr>
        <w:t>is a scientist with 25 years of experience in the biotech and life science field.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2020, Dr. Heyman has served as a member of our board of directors and as our Chairman. In August 2023, Dr. Heyman co-founded and since then has served as Chairman of Architect Therapeutics, Inc., a small molecule drug discovery company applying novel chemical editing technologies to expand the druggable space. Previously, he served as Chairman of Vividion Therapeutics, a biopharmaceutical company, which was acquired in August 2021 by Bayer AG, Amunix Pharmaceuticals, an immuno-oncology company, which was acquired by Sanofi S.A. in December 2021, and RayzeBio, Inc., a biopharmaceutical company, which was acquired in February 2024 by Bristol. He is the co-founder and Chairman of ORIC Pharmaceuticals (Nasdaq: ORIC), a clinical-stage biopharmaceutical company, and serves as Chairman of Alterome Therapeutics, Inc., a clinical-stage precision oncology biotech company, Enliven Therapeutics, Inc. (Nasdaq: ELVN), a pharmaceutical company, and is member of the board of directors at Pelage Pharmaceuticals, Inc., a clinical-stage regenerative medicine biotechnology company. Earlier in his career, Dr. Heyman was the co-founder and CEO of Aragon Pharmaceuticals, Inc., which was acquired by Johnson &amp; Johnson (NYSE: JNJ) in 2013, and Seragon Pharmaceuticals, which was acquired by Roche Genentech (OTCMKTS: RHHBY) in 2014. He has been involved in the discovery and development of multiple FDA approved therapies, including the prostate cancer drug, Erleada. Dr. Heyman is a Venture/Science Partner for Arch Ventures and Nextech Invest. Outside his corporate experience, Dr. Heyman is on the board of directors at the Salk Institute and the UCSD Moores Cancer Center and a founding member of both Life Science Cares, San Diego and Curebound. He has won numerous awards including E&amp;Y San Diego Regional Entrepreneur of the Year and is the author or inventor on more than 125 publications and patents. Dr. Heyman’s term of office will expire at the Annual Meeting. We are grateful for Dr. Heyman’s distinguished service and leadership as the chairperson of our board of directors throughout his tenure.</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Diversity Matrix</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As of (Date)</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2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gridSpan w:val="2"/>
          </w:tcPr>
          <w:p>
            <w:pPr>
              <w:jc w:val="center"/>
              <w:ind w:right="208"/>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Did Not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4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20" w:type="dxa"/>
            <w:vAlign w:val="bottom"/>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12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40" w:type="dxa"/>
            <w:vAlign w:val="bottom"/>
          </w:tcPr>
          <w:p>
            <w:pPr>
              <w:spacing w:after="0"/>
              <w:rPr>
                <w:sz w:val="12"/>
                <w:szCs w:val="12"/>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90"/>
        </w:trPr>
        <w:tc>
          <w:tcPr>
            <w:tcW w:w="4020" w:type="dxa"/>
            <w:vAlign w:val="bottom"/>
            <w:gridSpan w:val="3"/>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4</w:t>
            </w:r>
          </w:p>
        </w:tc>
        <w:tc>
          <w:tcPr>
            <w:tcW w:w="5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4</w:t>
            </w:r>
          </w:p>
        </w:tc>
        <w:tc>
          <w:tcPr>
            <w:tcW w:w="5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19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1900" w:type="dxa"/>
            <w:vAlign w:val="bottom"/>
            <w:tcBorders>
              <w:bottom w:val="single" w:sz="8" w:color="CCEEFF"/>
            </w:tcBorders>
            <w:gridSpan w:val="2"/>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5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7"/>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5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9"/>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5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7"/>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5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9"/>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5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7"/>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3</w:t>
            </w:r>
          </w:p>
        </w:tc>
        <w:tc>
          <w:tcPr>
            <w:tcW w:w="5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5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9"/>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1</w:t>
            </w:r>
          </w:p>
        </w:tc>
        <w:tc>
          <w:tcPr>
            <w:tcW w:w="56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5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47"/>
        </w:trPr>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center"/>
              <w:ind w:right="208"/>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Did Not Disclose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Demographic Background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center"/>
              <w:ind w:right="208"/>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rules of Nasdaq, independent directors must comprise a majority of a listed company’s board of directors. In addition, the rules of Nasdaq require that, subject to specified exceptions and phase-in periods, each member of a listed company’s audit committee, compensation committee and nominating and corporate governance committee be independent. Audit committee members must also satisfy the independence criteria set forth in Rule 10A-3 under the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72"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75"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84"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each of Charles M. Baum, M.D., Ph.D., Kirsten Flowers, Carol Gallagher, Pharm.D., Richard Heyman, Ph.D., Laurie Stelzer, and Arnold Levine, Ph.D., representing six of our seven directors, do not have a relationship that would interfere with the exercise of independent judgment in carrying out the responsibilities of a director and that each of these directors is “independent” as that term is defined under the rules of Nasdaq. Dr. Mack is not an independent director because he is our President and Chief Executive Officer.</w:t>
      </w:r>
    </w:p>
    <w:p>
      <w:pPr>
        <w:spacing w:after="0" w:line="86"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There are no family relationships among any of our directors or executive officers.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Our board of directors is currently chaired by Richard Heyman, Ph.D. Dr. Heyman’s term of office will expire at the Annual Meeting, and Laurie Stelzer will succeed Dr. Heyman as the chairperson of our board of directors.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David H. Mack, Ph.D. serves as our Chief Executive Officer while Dr. Heyman has served as the chairperson of our board of directors, but is not an officer. In addition, Ms. Stelzer, who is not an officer, will serve as the chairperson of our board of directors effective immediately following the Annual Meeting. We currently expect and intend the positions of chairperson of our board of directors and Chief Executive Officer to continue to be held by two individuals in the future. We believe that our board leadership structure is appropriate for our Company, particularly where we have a majority of independent directors who are all actively involved in meetings of the board of directors and its committees, which include active engagement with management for oversight of our key risk areas. In addition, our board of directors, including our leadership, is comprised of individuals who have expertise in research, product and clinical development, finance, accounting, commercialization, corporate development and general management of other biopharmaceutical companies.</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121" w:lineRule="exact"/>
        <w:rPr>
          <w:sz w:val="20"/>
          <w:szCs w:val="20"/>
          <w:color w:val="auto"/>
        </w:rPr>
      </w:pPr>
    </w:p>
    <w:p>
      <w:pPr>
        <w:ind w:left="300" w:right="739"/>
        <w:spacing w:after="0" w:line="312" w:lineRule="auto"/>
        <w:rPr>
          <w:sz w:val="20"/>
          <w:szCs w:val="20"/>
          <w:color w:val="auto"/>
        </w:rPr>
      </w:pPr>
      <w:r>
        <w:rPr>
          <w:rFonts w:ascii="Times New Roman" w:cs="Times New Roman" w:eastAsia="Times New Roman" w:hAnsi="Times New Roman"/>
          <w:sz w:val="17"/>
          <w:szCs w:val="17"/>
          <w:color w:val="auto"/>
        </w:rPr>
        <w:t>Our board of directors has established an audit committee, a compensation committee and a nominating and corporate governance committee. The composition and responsibilities of each committee are described below.</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Members serve on these committees until their resignation or until otherwise determined by our board of directors. Each of the audit committee, compensation committee and nominating and corporate governance committee is a standing committee and operates pursuant to a separate written charter adopted by our board of directors that is available on the Investors section of the Company’s website at ir.pmvpharma.com. The inclusion of our website address in this proxy statement does not include or incorporate by reference into this proxy statement the information on or accessible through our website.</w:t>
      </w:r>
    </w:p>
    <w:p>
      <w:pPr>
        <w:spacing w:after="0" w:line="7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Our board of directors met six times during fiscal year 2025. During fiscal year 2025, each of our directors attended 75% or more of the aggregate of (a) the total number of meetings of the board of directors held while a director (during the period in which the director served on the board of directors) and (b) the total number of meetings held by all committees on which the director served (during the period in which the director served on such committees). Pursuant to our corporate governance guidelines, each director is encouraged to attend each annual meeting of stockholders.</w:t>
      </w:r>
    </w:p>
    <w:p>
      <w:pPr>
        <w:spacing w:after="0" w:line="7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the annual meetings of stockholders, we encourage, but do not require, directors to attend. One of our seven directors attended our 2025 annual meeting of stockholders.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The audit committee currently consists of Ms. Stelzer, Ms. Flowers and Dr. Heyman. Ms. Stelzer is the chairperson of the audit committee. Following the expiration of Dr. Heyman’s term of office at the Annual Meeting, the audit committee will be comprised of Ms. Stelzer, Ms. Flowers and Dr. Gallagher, and Ms. Stelzer will continue to serve as the chairperson of the audit committee. Our board of directors has determined that all members are independent under the listing standards of Nasdaq and Rule 10A-3(b)(1) of the Exchange Act and that Ms. Stelzer is an audit committee financial expert, as that term is defined under the SEC rules implementing Section 407 of the Sarbanes-Oxley Act of 2002,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oversees our corporate accounting and financial reporting process and assists our board of directors in monitoring our financial systems. Among other matters, our audit committee also:</w:t>
      </w:r>
    </w:p>
    <w:p>
      <w:pPr>
        <w:spacing w:after="0" w:line="84"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and hires the independent registered public accounting firm to audit our financial statements;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to ensure the independence and performance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audit and non-audit services and fees;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audit committee report that the SEC requires to be included in our annual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reports and communications from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adequacy and effectiveness of our internal controls and disclosure controls and procedure;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monitors conflict of interest situations, and approves or prohibits any involvement in matters that may involve a conflict of interest or taking of a corporate opportunity;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related person transactions; and</w:t>
      </w:r>
    </w:p>
    <w:p>
      <w:pPr>
        <w:spacing w:after="0" w:line="117" w:lineRule="exact"/>
        <w:rPr>
          <w:rFonts w:ascii="Times New Roman" w:cs="Times New Roman" w:eastAsia="Times New Roman" w:hAnsi="Times New Roman"/>
          <w:sz w:val="18"/>
          <w:szCs w:val="18"/>
          <w:color w:val="auto"/>
        </w:rPr>
      </w:pPr>
    </w:p>
    <w:p>
      <w:pPr>
        <w:jc w:val="both"/>
        <w:ind w:left="1000" w:right="99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68"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audit committee operates under a written charter that satisfies the applicable rules of the SEC and Nasdaq listing rules. Our audit committee’s written charter may be located on our website at ir.pmvpharma.com. The audit committee met five times in fiscal year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compensation committee consists of Dr. Heyman, Ms. Stelzer and Dr. Baum, each of whom meets the requirements for independence under current Nasdaq listing standards and SEC rules and regulations. Dr. Heyman is the chairperson of the compensation committee. Following the expiration of Dr. Heyman’s term of office at the Annual Meeting, the compensation committee will be comprised of Ms. Stelzer, Dr. Baum and Ms. Flowers, and Ms. Stelzer will serve as the chairperson of the compensation committee. Each member of the compensation committee is also a non-employee director, as defined pursuant to Rule 16b-3 promulgated under the Exchange Act. The compensation committee oversees our compensation policies, plans and benefits programs. Our compensation committee also:</w:t>
      </w:r>
    </w:p>
    <w:p>
      <w:pPr>
        <w:spacing w:after="0" w:line="8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overall compensation philosophy and compensation policies, plans and benefits programs;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recommends to the board of directors for approval, compensation for our executive officers and directors;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compensation committee report, if required by the SEC, to be included in our annual proxy statement;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equity compensation plans.</w:t>
      </w:r>
    </w:p>
    <w:p>
      <w:pPr>
        <w:spacing w:after="0" w:line="117"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right, in its sole discretion, to retain or obtain the advice of compensation consultants, independent legal counsel and other advisers.</w:t>
      </w:r>
    </w:p>
    <w:p>
      <w:pPr>
        <w:spacing w:after="0" w:line="54" w:lineRule="exact"/>
        <w:rPr>
          <w:sz w:val="20"/>
          <w:szCs w:val="20"/>
          <w:color w:val="auto"/>
        </w:rPr>
      </w:pPr>
    </w:p>
    <w:p>
      <w:pPr>
        <w:ind w:left="300" w:right="759"/>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rules of the SEC and Nasdaq listing rules. Our compensation committee’s written charter may be located on our website at ir.pmvpharma.com. The compensation committee met three times in fiscal year 2025.</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Dr. Baum, Dr. Gallagher and Dr. Heyman, each of whom meets the requirements for independence under current Nasdaq listing standards and SEC rules and regulations. Dr. Baum is the chairperson of the nominating and corporate governance committee. Following the expiration of Dr. Heyman’s term of office at the Annual Meeting, the nominating and corporate governance committee will be comprised of Dr. Baum, Dr. Gallagher and Ms. Stelzer, and Dr. Baum will continue to serve as the chairperson of the nominating and corporate governance committee. The nominating and corporate governance committee oversees and assists our board of directors in reviewing and recommending nominees for election as directors. Among other matters, our nominating and corporate governance committee also:</w:t>
      </w:r>
    </w:p>
    <w:p>
      <w:pPr>
        <w:spacing w:after="0" w:line="84" w:lineRule="exact"/>
        <w:rPr>
          <w:sz w:val="20"/>
          <w:szCs w:val="20"/>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makes recommendations to our board of directors regarding nominees for election to our board of directors and its committees;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and makes recommendations to our board of directors regarding the composition of our board of directors and its committees;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recommendations to our board of directors with respect to management succession planning;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developments in corporate governance practices;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adequacy of our corporate governance practices and reporting, including providing oversight for our sustainability related to Environmental, Social and Governance programs, reporting and policy initiatives;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board of directors and individual members.</w:t>
      </w:r>
    </w:p>
    <w:p>
      <w:pPr>
        <w:spacing w:after="0" w:line="117"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applicable rules of the SEC and Nasdaq listing rules. Our nominating and corporate governance committee’s written charter may be located on our website at ir.pmvpharma.com. The nominating and corporate governance committee met four times in fiscal year 2025.</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Identifying and Evaluating Director Nominees</w:t>
      </w:r>
    </w:p>
    <w:p>
      <w:pPr>
        <w:spacing w:after="0" w:line="121" w:lineRule="exact"/>
        <w:rPr>
          <w:sz w:val="20"/>
          <w:szCs w:val="20"/>
          <w:color w:val="auto"/>
        </w:rPr>
      </w:pPr>
    </w:p>
    <w:p>
      <w:pPr>
        <w:ind w:left="300" w:right="599"/>
        <w:spacing w:after="0" w:line="312" w:lineRule="auto"/>
        <w:rPr>
          <w:sz w:val="20"/>
          <w:szCs w:val="20"/>
          <w:color w:val="auto"/>
        </w:rPr>
      </w:pPr>
      <w:r>
        <w:rPr>
          <w:rFonts w:ascii="Times New Roman" w:cs="Times New Roman" w:eastAsia="Times New Roman" w:hAnsi="Times New Roman"/>
          <w:sz w:val="17"/>
          <w:szCs w:val="17"/>
          <w:color w:val="auto"/>
        </w:rPr>
        <w:t>Our board of directors has delegated to the nominating and corporate governance committee the responsibility of identifying individuals qualified to become members of the board of directors and recommending to the board 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directors nominees to fill vacancies and newly created directorships and the nominees to stand for election as directors. If the nominating and corporate governance committee determines that an additional or replacement director is required, it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the board of directors or management.</w:t>
      </w:r>
    </w:p>
    <w:p>
      <w:pPr>
        <w:spacing w:after="0" w:line="79"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In its evaluation of director candidates, including the members of the board of directors eligible for re-election, the nominating and corporate governance committee will consider the current size and composition of the board of directors and the needs of the board of directors and its committees. Some of the factors that our nominating and corporate governance committee considers include, without limitation, character, integrity, judgment, including diversity in terms of gender, race, ethnicity and, experience, independence, area of expertise, corporate experience, length of service, potential conflicts of interest, other commitments and similar factors.</w:t>
      </w:r>
    </w:p>
    <w:p>
      <w:pPr>
        <w:spacing w:after="0" w:line="7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Nominees must also have the highest personal and professional ethics and integrity, proven achievement and competence in the nominee’s field and the ability to exercise sound business judgment, skills that are complementary to those of the existing board of directors, the ability to assist and support management and make significant contributions to the Company’s success, and an understanding of the fiduciary responsibilities that are required of a member of the board of directors and the commitment of time and energy necessary to diligently carry out those responsibilities.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operational, cybersecurity, credit and liquidity risks. The compensation committee is responsible for overseeing the management of risks relating to our executive compensation plans and arrangements. The audit committee is responsible for overseeing the management of risks relating to accounting and cybersecurity matters and financial reporting. The nominating and corporate governance committee is responsible for identifying, evaluating and recommending to our board of directors’ nominees for election and the composition of our board of directors and its committees. Although each committee is responsible for evaluating certain risks and overseeing the management of such risks, our board of directors is regularly informed on risks related to our overall operations as a clinical stage precision oncology company, as well as through discussions from committee members about their respective areas of risk oversight. The board of directors’ allocation of risk oversight responsibility may change from time to time based on the evolving needs of the Company.</w:t>
      </w:r>
    </w:p>
    <w:p>
      <w:pPr>
        <w:spacing w:after="0" w:line="82" w:lineRule="exact"/>
        <w:rPr>
          <w:sz w:val="20"/>
          <w:szCs w:val="20"/>
          <w:color w:val="auto"/>
        </w:rPr>
      </w:pPr>
    </w:p>
    <w:p>
      <w:pPr>
        <w:ind w:left="300" w:right="579"/>
        <w:spacing w:after="0" w:line="256" w:lineRule="auto"/>
        <w:rPr>
          <w:sz w:val="20"/>
          <w:szCs w:val="20"/>
          <w:color w:val="auto"/>
        </w:rPr>
      </w:pPr>
      <w:r>
        <w:rPr>
          <w:rFonts w:ascii="Times New Roman" w:cs="Times New Roman" w:eastAsia="Times New Roman" w:hAnsi="Times New Roman"/>
          <w:sz w:val="18"/>
          <w:szCs w:val="18"/>
          <w:color w:val="auto"/>
        </w:rPr>
        <w:t>Our board of directors believes its current leadership structure supports the risk oversight function of the board. Given the operating experience of our board members, either as executive officers or members of the board of directors of other biopharmaceutical companies, we believe that our board leadership structure has the requisite experience and expertise to oversee the board of directors’ risk oversight function. There is also open communication between management and directors through periodic reviews of our key risk areas and mitigation steps to reduce our risk exposure, and all directors are actively involved in the risk oversight function.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Independent Compensation Consultant</w:t>
      </w:r>
    </w:p>
    <w:p>
      <w:pPr>
        <w:spacing w:after="0" w:line="12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The compensation committee has authority to appoint and retain a compensation consultant. The fees for services rendered by the compensation consultant are paid by our company. For executive compensation decisions for fiscal year 2025, our compensation committee engaged Pearl Meyer &amp; Partners, LLC (“Pearl Meyer”), as its independent compensation consultant to advise on executive compensation matters including: overall compensation program design, peer group development and updates, and collecting market data to inform our compensation programs for our executives and members of our board of directors. We develop our compensation programs after reviewing publicly available compensation data and we also subscribe to other specialized life sciences and general industry surveys on an ongoing basis. Our compensation consultant advised the compensation committee on all of the principal aspects of executive compensation. Representatives from our compensation consultant attend meetings of the compensation committee when requested to do so. Our compensation consultant reports directly to our compensation committee and not to management, although it meets with management for purposes of gathering information for its analyses and recommendations. Our compensation committee has assessed the independence of our compensation consultant consistent with Nasdaq listing standards and has concluded that the engagement of our compensation consultant does not raise any conflict of interest.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Recommendations and Nominations to our Board of Directors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corporate governance committee will evaluate such recommendations in accordance with its charter, our amended and restated bylaws and corporate governance guidelines and the director nominee criteria described above.</w:t>
      </w:r>
    </w:p>
    <w:p>
      <w:pPr>
        <w:spacing w:after="0" w:line="8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 stockholder that wants to recommend a candidate to our board of directors should direct the recommendation in writing by letter to our corporate secretary at PMV Pharmaceuticals, Inc., 400 Alexander Park Drive, Suite 301, Princeton, New Jersey 08540,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80"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Under our amended and restated bylaws, stockholders may also directly nominate persons for our board of directors. Any nomination must comply with the requirements set forth in our amended and restated bylaws and the rules and regulations of the SEC and should be sent in writing to our corporate secretary at the address above. To be timely for our 2027 annual meeting of stockholders, nominations must be received by our corporate secretary observing the deadlines discussed below under “</w:t>
      </w:r>
      <w:r>
        <w:rPr>
          <w:rFonts w:ascii="Times New Roman" w:cs="Times New Roman" w:eastAsia="Times New Roman" w:hAnsi="Times New Roman"/>
          <w:sz w:val="18"/>
          <w:szCs w:val="18"/>
          <w:i w:val="1"/>
          <w:iCs w:val="1"/>
          <w:color w:val="auto"/>
        </w:rPr>
        <w:t>Other Matters—Stockholder Proposals or Director Nominations for 2027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Stockholders and other interested parties wishing to communicate directly with our non-management directors, may do so by writing and sending the correspondence to our General Counsel by mail to our principal executive offices at PMV Pharmaceuticals, Inc., 400 Alexander Park Drive, Suite 301, Princeton, New Jersey 08540. Our General Counsel,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are improper or irrelevant to the functioning of our board of directors or our business, for example, mass mailings, job inquiries and business solicitations. If appropriate, our General Counsel will route such communications to the appropriate director(s) or, if none is specified, then to the chairperson of the board of directors. These policies and procedures do not apply to communications to non-management directors from our officers or directors who are stockholders or stockholder proposals submitted pursuant to Rule 14a-8 under the Exchange Act.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ir.pmvpharma.com. We will post amendments to our code of business conduct and ethics or any waivers of our code of business conduct and ethics for directors and executive officers on the same website.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79"/>
        <w:spacing w:after="0" w:line="281" w:lineRule="auto"/>
        <w:rPr>
          <w:sz w:val="20"/>
          <w:szCs w:val="20"/>
          <w:color w:val="auto"/>
        </w:rPr>
      </w:pPr>
      <w:r>
        <w:rPr>
          <w:rFonts w:ascii="Times New Roman" w:cs="Times New Roman" w:eastAsia="Times New Roman" w:hAnsi="Times New Roman"/>
          <w:sz w:val="17"/>
          <w:szCs w:val="17"/>
          <w:color w:val="auto"/>
        </w:rPr>
        <w:t>During 2025, the members of our compensation committee were Dr. Heyman, Ms. Stelzer and Dr. Baum, and following the Annual Meeting, the compensation committee will consist of Ms. Stelzer, Dr. Baum and Ms. Flowers. None of the members of our compensation committee has been an officer or employee of PMV Pharmaceuticals or any of our subsidiaries at any time. None of our executive officers currently serves, or in the past fiscal year has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579"/>
        <w:spacing w:after="0" w:line="266" w:lineRule="auto"/>
        <w:rPr>
          <w:sz w:val="20"/>
          <w:szCs w:val="20"/>
          <w:color w:val="auto"/>
        </w:rPr>
      </w:pPr>
      <w:r>
        <w:rPr>
          <w:rFonts w:ascii="Times New Roman" w:cs="Times New Roman" w:eastAsia="Times New Roman" w:hAnsi="Times New Roman"/>
          <w:sz w:val="18"/>
          <w:szCs w:val="18"/>
          <w:color w:val="auto"/>
        </w:rPr>
        <w:t>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Outside Director Compensation Policy</w:t>
      </w:r>
    </w:p>
    <w:p>
      <w:pPr>
        <w:spacing w:after="0" w:line="12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To attract, retain and reward qualified non-employee candidates to serve on our board of directors, we have adopted an outside director compensation policy (the “Director Compensation Policy”). Our compensation committee reviews the Director Compensation Policy annually in consultation with our compensation consultant, and makes recommendations for any revisions to our board of directors. In February 2026, the Company revised the Director Compensation Policy to modify the equity award component again to align with our equity strategy and remain competitive with companies similar to its industry and market capitalization. Our board of directors has the discretion to revise non-employee director compensation as it deems necessary or appropriate. Under our Director Compensation Policy as currently in effect, each non-employee director upon first becoming a non-employee director automatically receives an initial option to purchase 84,000 shares of common stock. The initial option vests in 36 equal, monthly installments after the grant date, subject to continued service through the vesting date. Additionally, each non-employee director automatically receives an annual option to purchase 42,000 shares, effective on the date of each annual meeting of the stockholders. The annual option vests on the earlier of one year 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non-employee directors are entitled to receive the following cash compensation for their services: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0" w:type="dxa"/>
            <w:vAlign w:val="bottom"/>
          </w:tcPr>
          <w:p>
            <w:pPr>
              <w:spacing w:after="0"/>
              <w:rPr>
                <w:sz w:val="1"/>
                <w:szCs w:val="1"/>
                <w:color w:val="auto"/>
              </w:rPr>
            </w:pPr>
          </w:p>
        </w:tc>
      </w:tr>
      <w:tr>
        <w:trPr>
          <w:trHeight w:val="190"/>
        </w:trPr>
        <w:tc>
          <w:tcPr>
            <w:tcW w:w="7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Retainer</w:t>
            </w:r>
          </w:p>
        </w:tc>
        <w:tc>
          <w:tcPr>
            <w:tcW w:w="0" w:type="dxa"/>
            <w:vAlign w:val="bottom"/>
          </w:tcPr>
          <w:p>
            <w:pPr>
              <w:spacing w:after="0"/>
              <w:rPr>
                <w:sz w:val="1"/>
                <w:szCs w:val="1"/>
                <w:color w:val="auto"/>
              </w:rPr>
            </w:pPr>
          </w:p>
        </w:tc>
      </w:tr>
      <w:tr>
        <w:trPr>
          <w:trHeight w:val="23"/>
        </w:trPr>
        <w:tc>
          <w:tcPr>
            <w:tcW w:w="7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Base Director Fee</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40"/>
        </w:trPr>
        <w:tc>
          <w:tcPr>
            <w:tcW w:w="7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Chairperson Fee</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3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 of the Audit Committee</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 of the Compensation Committee</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 of the Nominating and Corporate Governance Committee</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$ 8,000</w:t>
            </w:r>
          </w:p>
        </w:tc>
        <w:tc>
          <w:tcPr>
            <w:tcW w:w="0" w:type="dxa"/>
            <w:vAlign w:val="bottom"/>
          </w:tcPr>
          <w:p>
            <w:pPr>
              <w:spacing w:after="0"/>
              <w:rPr>
                <w:sz w:val="1"/>
                <w:szCs w:val="1"/>
                <w:color w:val="auto"/>
              </w:rPr>
            </w:pPr>
          </w:p>
        </w:tc>
      </w:tr>
      <w:tr>
        <w:trPr>
          <w:trHeight w:val="24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Additional Committee Member Fee (excluding chairpersons)</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Committee</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$ 7,500</w:t>
            </w:r>
          </w:p>
        </w:tc>
        <w:tc>
          <w:tcPr>
            <w:tcW w:w="0" w:type="dxa"/>
            <w:vAlign w:val="bottom"/>
          </w:tcPr>
          <w:p>
            <w:pPr>
              <w:spacing w:after="0"/>
              <w:rPr>
                <w:sz w:val="1"/>
                <w:szCs w:val="1"/>
                <w:color w:val="auto"/>
              </w:rPr>
            </w:pPr>
          </w:p>
        </w:tc>
      </w:tr>
      <w:tr>
        <w:trPr>
          <w:trHeight w:val="24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Committee</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$ 5,000</w:t>
            </w:r>
          </w:p>
        </w:tc>
        <w:tc>
          <w:tcPr>
            <w:tcW w:w="0" w:type="dxa"/>
            <w:vAlign w:val="bottom"/>
          </w:tcPr>
          <w:p>
            <w:pPr>
              <w:spacing w:after="0"/>
              <w:rPr>
                <w:sz w:val="1"/>
                <w:szCs w:val="1"/>
                <w:color w:val="auto"/>
              </w:rPr>
            </w:pPr>
          </w:p>
        </w:tc>
      </w:tr>
      <w:tr>
        <w:trPr>
          <w:trHeight w:val="234"/>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$ 4,000</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for Fiscal Year Ending 2025</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awarded to, earned by or paid to our non-employee directors for their service on our board of directors, for the fiscal year ending December 31, 2025. Directors who are also our employees receive no additional compensation for their service as directors. For the fiscal year ending December 31, 2025, Dr. Mack was an employee and executive officer of the company and therefore, did not receive compensation as a director.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additional information regarding Dr. Mack’s compensation.</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Pension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 and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Fees Paid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Nonqualified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or</w:t>
            </w:r>
          </w:p>
        </w:tc>
        <w:tc>
          <w:tcPr>
            <w:tcW w:w="10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Earned in</w:t>
            </w:r>
          </w:p>
        </w:tc>
        <w:tc>
          <w:tcPr>
            <w:tcW w:w="100" w:type="dxa"/>
            <w:vAlign w:val="bottom"/>
          </w:tcPr>
          <w:p>
            <w:pPr>
              <w:spacing w:after="0"/>
              <w:rPr>
                <w:sz w:val="12"/>
                <w:szCs w:val="12"/>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2"/>
                <w:szCs w:val="12"/>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00" w:type="dxa"/>
            <w:vAlign w:val="bottom"/>
          </w:tcPr>
          <w:p>
            <w:pPr>
              <w:spacing w:after="0"/>
              <w:rPr>
                <w:sz w:val="12"/>
                <w:szCs w:val="12"/>
                <w:color w:val="auto"/>
              </w:rPr>
            </w:pPr>
          </w:p>
        </w:tc>
        <w:tc>
          <w:tcPr>
            <w:tcW w:w="100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9"/>
        </w:trPr>
        <w:tc>
          <w:tcPr>
            <w:tcW w:w="2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Cash ($)</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3"/>
              </w:rPr>
              <w:t>Awards ($)</w:t>
            </w: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Compensation ($)</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Earnings ($)</w:t>
            </w:r>
          </w:p>
        </w:tc>
        <w:tc>
          <w:tcPr>
            <w:tcW w:w="100" w:type="dxa"/>
            <w:vAlign w:val="bottom"/>
          </w:tcPr>
          <w:p>
            <w:pPr>
              <w:spacing w:after="0"/>
              <w:rPr>
                <w:sz w:val="14"/>
                <w:szCs w:val="14"/>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Compensation ($)   Total ($)</w:t>
            </w:r>
          </w:p>
        </w:tc>
      </w:tr>
      <w:tr>
        <w:trPr>
          <w:trHeight w:val="30"/>
        </w:trPr>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Heyman, Ph.D.</w:t>
            </w:r>
          </w:p>
        </w:tc>
        <w:tc>
          <w:tcPr>
            <w:tcW w:w="8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96,500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21,691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118,191</w:t>
            </w:r>
          </w:p>
        </w:tc>
      </w:tr>
      <w:tr>
        <w:trPr>
          <w:trHeight w:val="284"/>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Charles M. Baum, M.D., Ph.D.</w:t>
            </w: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53,000</w:t>
            </w:r>
          </w:p>
        </w:tc>
        <w:tc>
          <w:tcPr>
            <w:tcW w:w="10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21,691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5"/>
              <w:spacing w:after="0" w:line="283"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6"/>
                <w:szCs w:val="26"/>
                <w:color w:val="auto"/>
                <w:vertAlign w:val="superscript"/>
              </w:rPr>
              <w:t>(1)</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174,691</w:t>
            </w:r>
          </w:p>
        </w:tc>
      </w:tr>
      <w:tr>
        <w:trPr>
          <w:trHeight w:val="22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Kirsten Flowers</w:t>
            </w:r>
          </w:p>
        </w:tc>
        <w:tc>
          <w:tcPr>
            <w:tcW w:w="8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47,500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21,691</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69,191</w:t>
            </w:r>
          </w:p>
        </w:tc>
      </w:t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Carol Gallagher, Pharm.D.</w:t>
            </w: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44,000</w:t>
            </w:r>
          </w:p>
        </w:tc>
        <w:tc>
          <w:tcPr>
            <w:tcW w:w="10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21,691</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65,691</w:t>
            </w: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Pension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 and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Fees Paid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Nonqualified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or</w:t>
            </w: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Earned in</w:t>
            </w: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00" w:type="dxa"/>
            <w:vAlign w:val="bottom"/>
          </w:tcPr>
          <w:p>
            <w:pPr>
              <w:spacing w:after="0"/>
              <w:rPr>
                <w:sz w:val="12"/>
                <w:szCs w:val="12"/>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9"/>
        </w:trPr>
        <w:tc>
          <w:tcPr>
            <w:tcW w:w="2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Cash ($)</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Awards ($)</w:t>
            </w: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Compensation ($)</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Earnings ($)</w:t>
            </w:r>
          </w:p>
        </w:tc>
        <w:tc>
          <w:tcPr>
            <w:tcW w:w="100" w:type="dxa"/>
            <w:vAlign w:val="bottom"/>
          </w:tcPr>
          <w:p>
            <w:pPr>
              <w:spacing w:after="0"/>
              <w:rPr>
                <w:sz w:val="14"/>
                <w:szCs w:val="14"/>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Compensation ($)   Total ($)</w:t>
            </w:r>
          </w:p>
        </w:tc>
      </w:tr>
      <w:tr>
        <w:trPr>
          <w:trHeight w:val="29"/>
        </w:trPr>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9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Arnold Levine, Ph.D.</w:t>
            </w:r>
          </w:p>
        </w:tc>
        <w:tc>
          <w:tcPr>
            <w:tcW w:w="8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40,000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21,691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0"/>
              <w:spacing w:after="0" w:line="291"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6"/>
                <w:szCs w:val="26"/>
                <w:color w:val="auto"/>
                <w:vertAlign w:val="superscript"/>
              </w:rPr>
              <w:t>(2)</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161,691</w:t>
            </w:r>
          </w:p>
        </w:tc>
      </w:t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Laurie Stelzer</w:t>
            </w: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60,000</w:t>
            </w:r>
          </w:p>
        </w:tc>
        <w:tc>
          <w:tcPr>
            <w:tcW w:w="10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21,691</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175260</wp:posOffset>
            </wp:positionV>
            <wp:extent cx="822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0" w:lineRule="exact"/>
        <w:rPr>
          <w:sz w:val="20"/>
          <w:szCs w:val="20"/>
          <w:color w:val="auto"/>
        </w:rPr>
      </w:pPr>
    </w:p>
    <w:p>
      <w:pPr>
        <w:ind w:left="640" w:right="319" w:hanging="348"/>
        <w:spacing w:after="0" w:line="24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Baum received annual compensation of $100,000 pursuant to a consulting agreement. For additional information regarding our consulting agreement with Dr. Baum, see “</w:t>
      </w:r>
      <w:r>
        <w:rPr>
          <w:rFonts w:ascii="Times New Roman" w:cs="Times New Roman" w:eastAsia="Times New Roman" w:hAnsi="Times New Roman"/>
          <w:sz w:val="14"/>
          <w:szCs w:val="14"/>
          <w:i w:val="1"/>
          <w:iCs w:val="1"/>
          <w:color w:val="auto"/>
        </w:rPr>
        <w:t>Certain Relationships and Related Person Transactions—Consulting Agreement with Charles 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Baum, M.D., Ph.D.</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ind w:left="640" w:right="499" w:hanging="348"/>
        <w:spacing w:after="0" w:line="24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Levine received annual compensation of $100,000 pursuant to a consulting agreement. For additional information regarding our consulting agreement with Dr. Levine, see “</w:t>
      </w:r>
      <w:r>
        <w:rPr>
          <w:rFonts w:ascii="Times New Roman" w:cs="Times New Roman" w:eastAsia="Times New Roman" w:hAnsi="Times New Roman"/>
          <w:sz w:val="14"/>
          <w:szCs w:val="14"/>
          <w:i w:val="1"/>
          <w:iCs w:val="1"/>
          <w:color w:val="auto"/>
        </w:rPr>
        <w:t>Certain Relationships and Related Person Transactions—Consulting Agreement with Arnold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Levine, Ph.D.</w:t>
      </w:r>
      <w:r>
        <w:rPr>
          <w:rFonts w:ascii="Times New Roman" w:cs="Times New Roman" w:eastAsia="Times New Roman" w:hAnsi="Times New Roman"/>
          <w:sz w:val="14"/>
          <w:szCs w:val="14"/>
          <w:color w:val="auto"/>
        </w:rPr>
        <w:t>”</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following table lists all outstanding equity awards held by non-employee directors as of December 31, 2025.</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Heyman, Ph.D.</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404,258</w:t>
            </w:r>
          </w:p>
        </w:tc>
        <w:tc>
          <w:tcPr>
            <w:tcW w:w="0" w:type="dxa"/>
            <w:vAlign w:val="bottom"/>
          </w:tcPr>
          <w:p>
            <w:pPr>
              <w:spacing w:after="0"/>
              <w:rPr>
                <w:sz w:val="1"/>
                <w:szCs w:val="1"/>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Charles M. Baum, M.D., Ph.D.</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187,838</w:t>
            </w:r>
          </w:p>
        </w:tc>
        <w:tc>
          <w:tcPr>
            <w:tcW w:w="0" w:type="dxa"/>
            <w:vAlign w:val="bottom"/>
          </w:tcPr>
          <w:p>
            <w:pPr>
              <w:spacing w:after="0"/>
              <w:rPr>
                <w:sz w:val="1"/>
                <w:szCs w:val="1"/>
                <w:color w:val="auto"/>
              </w:rPr>
            </w:pPr>
          </w:p>
        </w:tc>
      </w:tr>
      <w:tr>
        <w:trPr>
          <w:trHeight w:val="24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Kirsten Flowers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174,667</w:t>
            </w:r>
          </w:p>
        </w:tc>
        <w:tc>
          <w:tcPr>
            <w:tcW w:w="0" w:type="dxa"/>
            <w:vAlign w:val="bottom"/>
          </w:tcPr>
          <w:p>
            <w:pPr>
              <w:spacing w:after="0"/>
              <w:rPr>
                <w:sz w:val="1"/>
                <w:szCs w:val="1"/>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Carol Gallagher, Pharm.D.</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161,500</w:t>
            </w:r>
          </w:p>
        </w:tc>
        <w:tc>
          <w:tcPr>
            <w:tcW w:w="0" w:type="dxa"/>
            <w:vAlign w:val="bottom"/>
          </w:tcPr>
          <w:p>
            <w:pPr>
              <w:spacing w:after="0"/>
              <w:rPr>
                <w:sz w:val="1"/>
                <w:szCs w:val="1"/>
                <w:color w:val="auto"/>
              </w:rPr>
            </w:pPr>
          </w:p>
        </w:tc>
      </w:tr>
      <w:tr>
        <w:trPr>
          <w:trHeight w:val="24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Arnold Levine, Ph.D.</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164,114</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Laurie Stelzer</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191,000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Scientific &amp; Clinical Advisory Boards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established scientific and clinical advisory boards composed of leading academic and industry scientists.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seek advice and input from these scientists on an ad hoc basis, individually or as a group, to provide scientific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clinical feedback and advice related to our research and development platform and programs. The members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advisory boards consist of experts across a range of key disciplines relevant to our programs. Except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Drs. Baum, Heyman and Levine, who are members of our board of directors, our advisory board members are not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employees or directors and have no decision-making authority over our activities. Our advisory board members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have commitments to, or consulting or advisory contracts with, other entities that may limit their availability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 In addition, our advisory board members may have arrangements with other companies to assist those companies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developing products or technologies that may compete with ours. All of our advisory board members are affiliated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other entities and devote only a small portion of their time to us. Our advisory board members receive cash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equity compensation based upon consulting services rendered. Effective September 1, 2021, Dr. Heyman agreed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waive any future scientific advisory compensation he is otherwise entitled to be paid for those services to us.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The indemnification agreements and our amended and restated certificate of incorporation and amended and restated bylaws require us to indemnify our directors and executive officers to the fullest extent permitted by Delaware law. See “</w:t>
      </w:r>
      <w:r>
        <w:rPr>
          <w:rFonts w:ascii="Times New Roman" w:cs="Times New Roman" w:eastAsia="Times New Roman" w:hAnsi="Times New Roman"/>
          <w:sz w:val="18"/>
          <w:szCs w:val="18"/>
          <w:i w:val="1"/>
          <w:iCs w:val="1"/>
          <w:color w:val="auto"/>
        </w:rPr>
        <w:t>Certain Relationships and Related Person Transactions—Indemnification of Directors and Officers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Initiatives</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As a clinical-stage precision oncology company, we are rooted in our mission to fundamentally disrupt the course of cancer for patients with p53 gene mutations and other p53-related cancers. We believe integrating responsible environmental, social, and governance principles into our corporate strategy will drive sustainable value creation for our shareholders, employees, patients, and caregivers over the long term. We have formed an internal ESG Working Group with cross-functional senior leadership, and oversight by the nominating and corporate governance committee of our board of directors to oversee our sustainability efforts and have documented our initiatives in our 2024 ESG Report, which is available on our website at ir.pmvpharma.com. The content provided in our 2024 ESG Report or accessible through our website is not part of our proxy solicitation materials.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Say on Pay Vote</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Our compensation committee considers the results of the annual stockholder advisory vote on the compensation of our named executive officers and stockholder feedback on our executive compensation program as part of its annual executive compensation review. At our 2025 Annual Meeting of Stockholders (the “2025 Meeting”), approximately 63% of the shares that voted either abstained or voted against Proposal 2 at the 2025 Meeting—a non-binding advisory vote to approve the compensation paid to our named executive officers (the “Say-on-Pay Vote”), as described in our 2025 proxy statement and Current Report on Form 8-K filed with the SEC on June 9, 2025. Based on discussions with our stockholders, we believe that the factor most heavily driving this result was the employee-only option exchange tender offer (the “Option Exchange”) we implemented in July 2024.</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implemented the Option Exchange because we believed that it would foster retention of our valuable employees and better align the interests of our eligible employees with those of our stockholders to maximize stockholder value. We use stock options to attract and retain the best available personnel and to provide additional incentives to our personnel. However, many of our then-outstanding options had a per share exercise price that was significantly higher than the then-current market price for a share of our common stock. We believed that the Option Exchange would aid in motivating and retaining the eligible employees participating in the Option Exchange because each new option would have a per share exercise price that reflected a more current price with respect to a share of our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believed that the Option Exchange was further in the best interests of our stockholders because:</w:t>
      </w:r>
    </w:p>
    <w:p>
      <w:pPr>
        <w:spacing w:after="0" w:line="117" w:lineRule="exact"/>
        <w:rPr>
          <w:sz w:val="20"/>
          <w:szCs w:val="20"/>
          <w:color w:val="auto"/>
        </w:rPr>
      </w:pPr>
    </w:p>
    <w:p>
      <w:pPr>
        <w:ind w:left="1000" w:right="3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options issued in the Option Exchange were subjected to revesting, which we believed was carefully tailored to strengthen the impact on retention and to provide stockholder value.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Exchange allowed us to replace underwater stock options with low incentive value with at-the-money stock options with higher motivation and retentive value, and to avoid issuing significant additional stock options or other equity awards to employees above and beyond our ongoing equity grant practices which would have created further potential dilution to our stockholders.</w:t>
      </w:r>
    </w:p>
    <w:p>
      <w:pPr>
        <w:spacing w:after="0" w:line="72"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Our compensation committee and board of directors reviewed the results of last year’s failed Say-on-Pay Vote with management following the 2025 Meeting. Following these reviews, and as part of our on-going stockholder engagement efforts, management held meetings with a number of our stockholders covering a variety of topics. During these meetings, none of our stockholders raised concerns about the Option Exchange.</w:t>
      </w:r>
    </w:p>
    <w:p>
      <w:pPr>
        <w:spacing w:after="0" w:line="72"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Our compensation committee continues to evaluate the executive compensation program and policies to determine the most appropriate ways of effecting our executive compensation philosophy and objectives, and intends to continue considering the results of the annual advisory vote on executive compensation and stockholder feedback as data points in making executive compensation decisions. We view the Option Exchange as an isolated event and have no intention of implementing a similar or recurring program at this time. Further, our board of directors and compensation committee have decided to take the results from the Say-on-Pay Vote into consideration in the event any future repricing or exchange of options by our company is to be considered.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the date of this proxy statement. Information regarding Dr. Mack, who also serves as a director, is set forth above under “</w:t>
      </w:r>
      <w:r>
        <w:rPr>
          <w:rFonts w:ascii="Times New Roman" w:cs="Times New Roman" w:eastAsia="Times New Roman" w:hAnsi="Times New Roman"/>
          <w:sz w:val="18"/>
          <w:szCs w:val="18"/>
          <w:i w:val="1"/>
          <w:iCs w:val="1"/>
          <w:color w:val="auto"/>
        </w:rPr>
        <w:t>Board of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Governance—Continuing Directors</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54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Michael Carulli</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Robert Ticktin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Chief Operating Officer</w:t>
            </w:r>
          </w:p>
        </w:tc>
      </w:tr>
    </w:tbl>
    <w:p>
      <w:pPr>
        <w:spacing w:after="0" w:line="135" w:lineRule="exact"/>
        <w:rPr>
          <w:sz w:val="20"/>
          <w:szCs w:val="20"/>
          <w:color w:val="auto"/>
        </w:rPr>
      </w:pPr>
    </w:p>
    <w:p>
      <w:pPr>
        <w:ind w:left="300" w:right="37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Carulli </w:t>
      </w:r>
      <w:r>
        <w:rPr>
          <w:rFonts w:ascii="Times New Roman" w:cs="Times New Roman" w:eastAsia="Times New Roman" w:hAnsi="Times New Roman"/>
          <w:sz w:val="17"/>
          <w:szCs w:val="17"/>
          <w:color w:val="auto"/>
        </w:rPr>
        <w:t>has served as our Chief Financial Officer since January 2024. Prior to being promoted as our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Officer, Mr. Carulli served as our Senior Vice President of Finance from March 2023 to January 2024 and as Vice President of Finance from May 2020 to March 2023. Before joining PMV Pharmaceuticals, from May 2010 to May 2020, Mr. Carulli worked at Celgene Corporation, a global biopharmaceutical company, where he held multiple positions, including as Executive Director FP&amp;A – Research &amp; Development. Mr. Carulli received a B.S. in Marketing and Management from Siena College and a M.B.A. from the Fordham Gabelli School of Business.</w:t>
      </w:r>
    </w:p>
    <w:p>
      <w:pPr>
        <w:spacing w:after="0" w:line="60" w:lineRule="exact"/>
        <w:rPr>
          <w:sz w:val="20"/>
          <w:szCs w:val="20"/>
          <w:color w:val="auto"/>
        </w:rPr>
      </w:pPr>
    </w:p>
    <w:p>
      <w:pPr>
        <w:ind w:left="300" w:right="4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Deepika Jalota, Pharm.D. </w:t>
      </w:r>
      <w:r>
        <w:rPr>
          <w:rFonts w:ascii="Times New Roman" w:cs="Times New Roman" w:eastAsia="Times New Roman" w:hAnsi="Times New Roman"/>
          <w:sz w:val="17"/>
          <w:szCs w:val="17"/>
          <w:color w:val="auto"/>
        </w:rPr>
        <w:t>has served as our Chief Development Officer since May 2023. Prior to being promoted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our Chief Development Officer, Dr. Jalota served as our Chief Regulatory and Quality Officer from February 2021 to May 2023 and also previously served as our Senior Vice President, Regulatory Affairs and Quality Assurance from June 2019 to February 2021. Before joining PMV Pharmaceuticals, Dr. Jalota was employed by Bayer HealthCare Pharmaceuticals from July 2007 to May 2019 and held multiple leadership positions within Global Regulatory Affairs in oncology and other therapeutic areas. At Bayer,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 Forest Laboratories and Procter and Gamble. Dr. Jalota received a B.S. in Pharmacy from Rutgers University, Ernest Mario School of Pharmacy and a Pharm.D.</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the University of Florida, College of Pharmacy.</w:t>
      </w:r>
    </w:p>
    <w:p>
      <w:pPr>
        <w:spacing w:after="0" w:line="95"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Ticktin </w:t>
      </w:r>
      <w:r>
        <w:rPr>
          <w:rFonts w:ascii="Times New Roman" w:cs="Times New Roman" w:eastAsia="Times New Roman" w:hAnsi="Times New Roman"/>
          <w:sz w:val="18"/>
          <w:szCs w:val="18"/>
          <w:color w:val="auto"/>
        </w:rPr>
        <w:t>has served as our General Counsel and Chief Operating Officer since December 2024. Prior to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promoted as our General Counsel and Chief Operating Officer, Mr. Ticktin served as our General Counsel from August 2020 to December 2024. Before joining PMV Pharmaceuticals, from April 2017 to June 2020, Mr. Ticktin was an Associate General Counsel, Corporate at Tesaro, Inc., a development and commercial oncology company (formerly Nasdaq: TSRO), which was acquired by GSK plc, a British multinational pharmaceutical and biotechnology company (NYSE: GSK), in December 2018. Mr. Ticktin was General Counsel of Epirus Biopharmaceuticals (formerly Nasdaq: EPRS), a biosimilar drug development company, from April 2014 to August 2016, and previously served in legal roles of increasing responsibility at Amgen from 2004 to 2014.</w:t>
      </w:r>
    </w:p>
    <w:p>
      <w:pPr>
        <w:spacing w:after="0" w:line="5" w:lineRule="exact"/>
        <w:rPr>
          <w:sz w:val="20"/>
          <w:szCs w:val="20"/>
          <w:color w:val="auto"/>
        </w:rPr>
      </w:pPr>
    </w:p>
    <w:p>
      <w:pPr>
        <w:ind w:left="300" w:right="819"/>
        <w:spacing w:after="0" w:line="260" w:lineRule="auto"/>
        <w:rPr>
          <w:sz w:val="20"/>
          <w:szCs w:val="20"/>
          <w:color w:val="auto"/>
        </w:rPr>
      </w:pPr>
      <w:r>
        <w:rPr>
          <w:rFonts w:ascii="Times New Roman" w:cs="Times New Roman" w:eastAsia="Times New Roman" w:hAnsi="Times New Roman"/>
          <w:sz w:val="18"/>
          <w:szCs w:val="18"/>
          <w:color w:val="auto"/>
        </w:rPr>
        <w:t>Mr. Ticktin received a B.A. in Economics, Computer Science from The Ohio State University and a J.D. from Fordham University School of Law.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fiscal year ended December 31, 2025, which consist of our principal executive officer and the next two most highly compensated executive officers, are:</w:t>
      </w:r>
    </w:p>
    <w:p>
      <w:pPr>
        <w:spacing w:after="0" w:line="54"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 Mack, Ph.D., our President, Chief Executive Officer and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Deepika Jalota, Pharm.D., our Chief Development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Ticktin, our General Counsel and Chief Operating Officer.</w:t>
      </w:r>
    </w:p>
    <w:p>
      <w:pPr>
        <w:spacing w:after="0" w:line="117"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reportable for our named executive officers for fiscal 2024 and 2025.</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Pension Value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0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2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00" w:type="dxa"/>
            <w:vAlign w:val="bottom"/>
          </w:tcPr>
          <w:p>
            <w:pPr>
              <w:spacing w:after="0"/>
              <w:rPr>
                <w:sz w:val="4"/>
                <w:szCs w:val="4"/>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Bonus</w:t>
            </w: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80" w:type="dxa"/>
            <w:vAlign w:val="bottom"/>
          </w:tcPr>
          <w:p>
            <w:pPr>
              <w:jc w:val="right"/>
              <w:ind w:right="33"/>
              <w:spacing w:after="0" w:line="49" w:lineRule="exact"/>
              <w:rPr>
                <w:sz w:val="20"/>
                <w:szCs w:val="20"/>
                <w:color w:val="auto"/>
              </w:rPr>
            </w:pPr>
            <w:r>
              <w:rPr>
                <w:rFonts w:ascii="Times New Roman" w:cs="Times New Roman" w:eastAsia="Times New Roman" w:hAnsi="Times New Roman"/>
                <w:sz w:val="5"/>
                <w:szCs w:val="5"/>
                <w:b w:val="1"/>
                <w:bCs w:val="1"/>
                <w:color w:val="auto"/>
              </w:rPr>
              <w:t>(1)</w:t>
            </w:r>
          </w:p>
        </w:tc>
        <w:tc>
          <w:tcPr>
            <w:tcW w:w="1060" w:type="dxa"/>
            <w:vAlign w:val="bottom"/>
            <w:gridSpan w:val="2"/>
          </w:tcPr>
          <w:p>
            <w:pPr>
              <w:jc w:val="right"/>
              <w:spacing w:after="0" w:line="49" w:lineRule="exact"/>
              <w:rPr>
                <w:sz w:val="20"/>
                <w:szCs w:val="20"/>
                <w:color w:val="auto"/>
              </w:rPr>
            </w:pPr>
            <w:r>
              <w:rPr>
                <w:rFonts w:ascii="Times New Roman" w:cs="Times New Roman" w:eastAsia="Times New Roman" w:hAnsi="Times New Roman"/>
                <w:sz w:val="5"/>
                <w:szCs w:val="5"/>
                <w:b w:val="1"/>
                <w:bCs w:val="1"/>
                <w:color w:val="auto"/>
              </w:rPr>
              <w:t>(2)</w:t>
            </w:r>
          </w:p>
        </w:tc>
        <w:tc>
          <w:tcPr>
            <w:tcW w:w="1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Awards</w:t>
            </w:r>
          </w:p>
        </w:tc>
        <w:tc>
          <w:tcPr>
            <w:tcW w:w="1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74"/>
              <w:spacing w:after="0" w:line="133"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2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5"/>
                <w:szCs w:val="15"/>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w:t>
            </w:r>
          </w:p>
        </w:tc>
        <w:tc>
          <w:tcPr>
            <w:tcW w:w="600" w:type="dxa"/>
            <w:vAlign w:val="bottom"/>
            <w:gridSpan w:val="2"/>
          </w:tcPr>
          <w:p>
            <w:pPr>
              <w:jc w:val="center"/>
              <w:ind w:left="25"/>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center"/>
              <w:ind w:left="47"/>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1060" w:type="dxa"/>
            <w:vAlign w:val="bottom"/>
            <w:gridSpan w:val="2"/>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8"/>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H. Mack, Ph.D.</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2025</w:t>
            </w:r>
          </w:p>
        </w:tc>
        <w:tc>
          <w:tcPr>
            <w:tcW w:w="60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628,461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752,320</w:t>
            </w:r>
          </w:p>
        </w:tc>
        <w:tc>
          <w:tcPr>
            <w:tcW w:w="10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5"/>
                <w:szCs w:val="15"/>
                <w:color w:val="auto"/>
              </w:rPr>
              <w:t>284,410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1,665,191</w:t>
            </w:r>
          </w:p>
        </w:tc>
        <w:tc>
          <w:tcPr>
            <w:tcW w:w="0" w:type="dxa"/>
            <w:vAlign w:val="bottom"/>
          </w:tcPr>
          <w:p>
            <w:pPr>
              <w:spacing w:after="0"/>
              <w:rPr>
                <w:sz w:val="1"/>
                <w:szCs w:val="1"/>
                <w:color w:val="auto"/>
              </w:rPr>
            </w:pPr>
          </w:p>
        </w:tc>
      </w:tr>
      <w:tr>
        <w:trPr>
          <w:trHeight w:val="197"/>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President, Chief Executive</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2024</w:t>
            </w:r>
          </w:p>
        </w:tc>
        <w:tc>
          <w:tcPr>
            <w:tcW w:w="60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607,208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295,002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3,522,213</w:t>
            </w:r>
          </w:p>
        </w:tc>
        <w:tc>
          <w:tcPr>
            <w:tcW w:w="10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5"/>
                <w:szCs w:val="15"/>
                <w:color w:val="auto"/>
              </w:rPr>
              <w:t>335,858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4,760,281</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Officer and Director</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94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Deepika Jalota, Pharm.D.</w:t>
            </w:r>
          </w:p>
        </w:tc>
        <w:tc>
          <w:tcPr>
            <w:tcW w:w="420" w:type="dxa"/>
            <w:vAlign w:val="bottom"/>
            <w:gridSpan w:val="2"/>
          </w:tcPr>
          <w:p>
            <w:pPr>
              <w:jc w:val="center"/>
              <w:ind w:left="4"/>
              <w:spacing w:after="0" w:line="159" w:lineRule="exact"/>
              <w:rPr>
                <w:sz w:val="20"/>
                <w:szCs w:val="20"/>
                <w:color w:val="auto"/>
              </w:rPr>
            </w:pPr>
            <w:r>
              <w:rPr>
                <w:rFonts w:ascii="Times New Roman" w:cs="Times New Roman" w:eastAsia="Times New Roman" w:hAnsi="Times New Roman"/>
                <w:sz w:val="15"/>
                <w:szCs w:val="15"/>
                <w:color w:val="auto"/>
                <w:w w:val="99"/>
              </w:rPr>
              <w:t>2025</w:t>
            </w:r>
          </w:p>
        </w:tc>
        <w:tc>
          <w:tcPr>
            <w:tcW w:w="600" w:type="dxa"/>
            <w:vAlign w:val="bottom"/>
            <w:gridSpan w:val="2"/>
          </w:tcPr>
          <w:p>
            <w:pPr>
              <w:jc w:val="center"/>
              <w:ind w:left="25"/>
              <w:spacing w:after="0" w:line="159" w:lineRule="exact"/>
              <w:rPr>
                <w:sz w:val="20"/>
                <w:szCs w:val="20"/>
                <w:color w:val="auto"/>
              </w:rPr>
            </w:pPr>
            <w:r>
              <w:rPr>
                <w:rFonts w:ascii="Times New Roman" w:cs="Times New Roman" w:eastAsia="Times New Roman" w:hAnsi="Times New Roman"/>
                <w:sz w:val="15"/>
                <w:szCs w:val="15"/>
                <w:color w:val="auto"/>
              </w:rPr>
              <w:t>478,429</w:t>
            </w:r>
          </w:p>
        </w:tc>
        <w:tc>
          <w:tcPr>
            <w:tcW w:w="100" w:type="dxa"/>
            <w:vAlign w:val="bottom"/>
          </w:tcPr>
          <w:p>
            <w:pPr>
              <w:spacing w:after="0"/>
              <w:rPr>
                <w:sz w:val="13"/>
                <w:szCs w:val="13"/>
                <w:color w:val="auto"/>
              </w:rPr>
            </w:pPr>
          </w:p>
        </w:tc>
        <w:tc>
          <w:tcPr>
            <w:tcW w:w="360" w:type="dxa"/>
            <w:vAlign w:val="bottom"/>
          </w:tcPr>
          <w:p>
            <w:pPr>
              <w:jc w:val="center"/>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5"/>
                <w:szCs w:val="15"/>
                <w:color w:val="auto"/>
              </w:rPr>
              <w:t>282,120</w:t>
            </w:r>
          </w:p>
        </w:tc>
        <w:tc>
          <w:tcPr>
            <w:tcW w:w="1060" w:type="dxa"/>
            <w:vAlign w:val="bottom"/>
            <w:gridSpan w:val="2"/>
          </w:tcPr>
          <w:p>
            <w:pPr>
              <w:jc w:val="center"/>
              <w:ind w:left="12"/>
              <w:spacing w:after="0" w:line="159" w:lineRule="exact"/>
              <w:rPr>
                <w:sz w:val="20"/>
                <w:szCs w:val="20"/>
                <w:color w:val="auto"/>
              </w:rPr>
            </w:pPr>
            <w:r>
              <w:rPr>
                <w:rFonts w:ascii="Times New Roman" w:cs="Times New Roman" w:eastAsia="Times New Roman" w:hAnsi="Times New Roman"/>
                <w:sz w:val="15"/>
                <w:szCs w:val="15"/>
                <w:color w:val="auto"/>
              </w:rPr>
              <w:t>174,638</w:t>
            </w:r>
          </w:p>
        </w:tc>
        <w:tc>
          <w:tcPr>
            <w:tcW w:w="100" w:type="dxa"/>
            <w:vAlign w:val="bottom"/>
          </w:tcPr>
          <w:p>
            <w:pPr>
              <w:spacing w:after="0"/>
              <w:rPr>
                <w:sz w:val="13"/>
                <w:szCs w:val="13"/>
                <w:color w:val="auto"/>
              </w:rPr>
            </w:pP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820" w:type="dxa"/>
            <w:vAlign w:val="bottom"/>
          </w:tcPr>
          <w:p>
            <w:pPr>
              <w:ind w:left="320"/>
              <w:spacing w:after="0" w:line="15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935,187</w:t>
            </w:r>
          </w:p>
        </w:tc>
        <w:tc>
          <w:tcPr>
            <w:tcW w:w="0" w:type="dxa"/>
            <w:vAlign w:val="bottom"/>
          </w:tcPr>
          <w:p>
            <w:pPr>
              <w:spacing w:after="0"/>
              <w:rPr>
                <w:sz w:val="1"/>
                <w:szCs w:val="1"/>
                <w:color w:val="auto"/>
              </w:rPr>
            </w:pPr>
          </w:p>
        </w:tc>
      </w:tr>
      <w:tr>
        <w:trPr>
          <w:trHeight w:val="202"/>
        </w:trPr>
        <w:tc>
          <w:tcPr>
            <w:tcW w:w="194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Chief Development Officer</w:t>
            </w:r>
          </w:p>
        </w:tc>
        <w:tc>
          <w:tcPr>
            <w:tcW w:w="420" w:type="dxa"/>
            <w:vAlign w:val="bottom"/>
            <w:gridSpan w:val="2"/>
            <w:vMerge w:val="restart"/>
          </w:tcPr>
          <w:p>
            <w:pPr>
              <w:jc w:val="center"/>
              <w:ind w:left="4"/>
              <w:spacing w:after="0"/>
              <w:rPr>
                <w:sz w:val="20"/>
                <w:szCs w:val="20"/>
                <w:color w:val="auto"/>
              </w:rPr>
            </w:pPr>
            <w:r>
              <w:rPr>
                <w:rFonts w:ascii="Times New Roman" w:cs="Times New Roman" w:eastAsia="Times New Roman" w:hAnsi="Times New Roman"/>
                <w:sz w:val="15"/>
                <w:szCs w:val="15"/>
                <w:color w:val="auto"/>
                <w:w w:val="99"/>
              </w:rPr>
              <w:t>2024</w:t>
            </w:r>
          </w:p>
        </w:tc>
        <w:tc>
          <w:tcPr>
            <w:tcW w:w="60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5"/>
                <w:szCs w:val="15"/>
                <w:color w:val="auto"/>
              </w:rPr>
              <w:t>442,542</w:t>
            </w:r>
          </w:p>
        </w:tc>
        <w:tc>
          <w:tcPr>
            <w:tcW w:w="100" w:type="dxa"/>
            <w:vAlign w:val="bottom"/>
          </w:tcPr>
          <w:p>
            <w:pPr>
              <w:spacing w:after="0"/>
              <w:rPr>
                <w:sz w:val="17"/>
                <w:szCs w:val="17"/>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171,999</w:t>
            </w: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1,118,651</w:t>
            </w:r>
          </w:p>
        </w:tc>
        <w:tc>
          <w:tcPr>
            <w:tcW w:w="106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5"/>
                <w:szCs w:val="15"/>
                <w:color w:val="auto"/>
              </w:rPr>
              <w:t>195,822</w:t>
            </w:r>
          </w:p>
        </w:tc>
        <w:tc>
          <w:tcPr>
            <w:tcW w:w="1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1,929,014</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9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3"/>
                <w:szCs w:val="13"/>
                <w:color w:val="auto"/>
              </w:rPr>
              <w:t>Robert Ticktin</w:t>
            </w:r>
            <w:r>
              <w:rPr>
                <w:rFonts w:ascii="Times New Roman" w:cs="Times New Roman" w:eastAsia="Times New Roman" w:hAnsi="Times New Roman"/>
                <w:sz w:val="21"/>
                <w:szCs w:val="21"/>
                <w:color w:val="auto"/>
                <w:vertAlign w:val="superscript"/>
              </w:rPr>
              <w:t>(3)</w:t>
            </w:r>
          </w:p>
        </w:tc>
        <w:tc>
          <w:tcPr>
            <w:tcW w:w="420" w:type="dxa"/>
            <w:vAlign w:val="bottom"/>
            <w:gridSpan w:val="2"/>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9"/>
              </w:rPr>
              <w:t>2025</w:t>
            </w:r>
          </w:p>
        </w:tc>
        <w:tc>
          <w:tcPr>
            <w:tcW w:w="600" w:type="dxa"/>
            <w:vAlign w:val="bottom"/>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450,000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249,206</w:t>
            </w:r>
          </w:p>
        </w:tc>
        <w:tc>
          <w:tcPr>
            <w:tcW w:w="10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5"/>
                <w:szCs w:val="15"/>
                <w:color w:val="auto"/>
              </w:rPr>
              <w:t>162,000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861,206</w:t>
            </w: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i w:val="1"/>
                <w:iCs w:val="1"/>
                <w:color w:val="auto"/>
              </w:rPr>
              <w:t>General Counsel &amp; Chief</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Operating Officer</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27"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8 to the Company’s financial statements for the year ended December 31, 2025 included in the Company’s Annual Report on Form 10-K for such year. The amounts reported represent grants of options pursuant to our 2020 Equity Incentive Plan as described further in the table of outstanding equity awards below. Additionally, solely for fiscal year 2024, the amounts disclosed include the incremental fair value, calculated in accordance with ASC 718, associated with new option grants that were exchanged for prior option grants pursuant to the Tender Offer Statement on Schedule TO filed with the Securities and Exchange Commission on July 16, 2024, as amended.</w:t>
      </w:r>
    </w:p>
    <w:p>
      <w:pPr>
        <w:spacing w:after="0" w:line="20"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2025 amounts reported cash bonuses earned under our 2025 bonus plan based upon the achievement of various development, pipeline, and corporate goals for the year ended December 31, 2025, which were paid in 2026.</w:t>
      </w: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Ticktin was not a named executive officer in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Bonus Plan</w:t>
      </w:r>
    </w:p>
    <w:p>
      <w:pPr>
        <w:spacing w:after="0" w:line="12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Each named executive officer has an established target bonus amount as set forth in the section below titled “— </w:t>
      </w:r>
      <w:r>
        <w:rPr>
          <w:rFonts w:ascii="Times New Roman" w:cs="Times New Roman" w:eastAsia="Times New Roman" w:hAnsi="Times New Roman"/>
          <w:sz w:val="18"/>
          <w:szCs w:val="18"/>
          <w:i w:val="1"/>
          <w:iCs w:val="1"/>
          <w:color w:val="auto"/>
        </w:rPr>
        <w:t>Employment Arrangements with our Named Executive Officers</w:t>
      </w:r>
      <w:r>
        <w:rPr>
          <w:rFonts w:ascii="Times New Roman" w:cs="Times New Roman" w:eastAsia="Times New Roman" w:hAnsi="Times New Roman"/>
          <w:sz w:val="18"/>
          <w:szCs w:val="18"/>
          <w:color w:val="auto"/>
        </w:rPr>
        <w:t>.” In 2025, our named executive officers were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non-equity incentive compensation pursuant to the terms of a bonus plan for 2025, with the actual amount payable tied to the achievement of various development, pipeline, and corporate goals. The amount earned by our named executive officers in 2025 is set forth in our Summary Compensation Table above.</w:t>
      </w:r>
    </w:p>
    <w:p>
      <w:pPr>
        <w:spacing w:after="0" w:line="328" w:lineRule="exact"/>
        <w:rPr>
          <w:sz w:val="20"/>
          <w:szCs w:val="20"/>
          <w:color w:val="auto"/>
        </w:rPr>
      </w:pPr>
    </w:p>
    <w:p>
      <w:pPr>
        <w:ind w:left="300" w:right="383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Employment Arrangements with our Named Executive Officers </w:t>
      </w:r>
      <w:r>
        <w:rPr>
          <w:rFonts w:ascii="Times New Roman" w:cs="Times New Roman" w:eastAsia="Times New Roman" w:hAnsi="Times New Roman"/>
          <w:sz w:val="18"/>
          <w:szCs w:val="18"/>
          <w:b w:val="1"/>
          <w:bCs w:val="1"/>
          <w:i w:val="1"/>
          <w:iCs w:val="1"/>
          <w:color w:val="auto"/>
        </w:rPr>
        <w:t>David H. Mack, Ph.D.</w:t>
      </w:r>
    </w:p>
    <w:p>
      <w:pPr>
        <w:spacing w:after="0" w:line="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We entered into a confirmatory employment letter with Dr. Mack, our President and Chief Executive Officer, on August 17, 2020. The employment letter has no specific term and provides for at-will employment. Dr. Mack’s current annual base salary, effective as of March 1, 2026, is $654,111, and Dr. Mack’s annual target bonus is 55% of his annual base salary. Dr. Mack’s annual base salary in fiscal year 2025 was $632,023.</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Deepika Jalota, Pharm.D.</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We entered into a confirmatory employment letter with Dr. Jalota, our Chief Development Officer, updated as of May 15, 2023 in connection with her promotion in fiscal year 2023. The employment letter has no specific term and provides for at-will employment. Dr. Jalota’s current annual base salary, effective as of March 1, 2026, is $502,084, and Dr. Jalota’s annual target bonus is 40% of her annual base salary. Dr. Jalota’s base salary in fiscal year 2025 was $485,104.</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Robert Ticktin</w:t>
      </w:r>
    </w:p>
    <w:p>
      <w:pPr>
        <w:spacing w:after="0" w:line="121"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We entered into a confirmatory employment letter with Robert Ticktin, our General Counsel &amp; Chief Operating Officer, updated as of November 5, 2024, in connection with his promotion in fiscal year 2024. The confirmatory employment letter has no specific term and provides for at-will employment. Mr. Ticktin’s current annual base salary, effective as of March 1, 2026, is $465,750, and Mr. Ticktin’s annual target bonus is 40% of his annual base salary. Mr. Ticktin’s base salary in fiscal year 2025 was $450,000.</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2025</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each of our named executive officers, concerning grants of plan-based awards made during fiscal 2025.</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All Other Option</w:t>
            </w:r>
          </w:p>
        </w:tc>
        <w:tc>
          <w:tcPr>
            <w:tcW w:w="1040" w:type="dxa"/>
            <w:vAlign w:val="bottom"/>
          </w:tcPr>
          <w:p>
            <w:pPr>
              <w:spacing w:after="0"/>
              <w:rPr>
                <w:sz w:val="12"/>
                <w:szCs w:val="12"/>
                <w:color w:val="auto"/>
              </w:rPr>
            </w:pPr>
          </w:p>
        </w:tc>
      </w:tr>
      <w:tr>
        <w:trPr>
          <w:trHeight w:val="135"/>
        </w:trPr>
        <w:tc>
          <w:tcPr>
            <w:tcW w:w="1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104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All Other Stock Awards:</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 Securities</w:t>
            </w:r>
          </w:p>
        </w:tc>
        <w:tc>
          <w:tcPr>
            <w:tcW w:w="1040" w:type="dxa"/>
            <w:vAlign w:val="bottom"/>
          </w:tcPr>
          <w:p>
            <w:pPr>
              <w:jc w:val="center"/>
              <w:ind w:left="119"/>
              <w:spacing w:after="0" w:line="135" w:lineRule="exact"/>
              <w:rPr>
                <w:sz w:val="20"/>
                <w:szCs w:val="20"/>
                <w:color w:val="auto"/>
              </w:rPr>
            </w:pPr>
            <w:r>
              <w:rPr>
                <w:rFonts w:ascii="Times New Roman" w:cs="Times New Roman" w:eastAsia="Times New Roman" w:hAnsi="Times New Roman"/>
                <w:sz w:val="12"/>
                <w:szCs w:val="12"/>
                <w:b w:val="1"/>
                <w:bCs w:val="1"/>
                <w:color w:val="auto"/>
              </w:rPr>
              <w:t>Exercise or Base</w:t>
            </w:r>
          </w:p>
        </w:tc>
      </w:tr>
      <w:tr>
        <w:trPr>
          <w:trHeight w:val="135"/>
        </w:trPr>
        <w:tc>
          <w:tcPr>
            <w:tcW w:w="1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 Shares of</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Underlying Options</w:t>
            </w:r>
          </w:p>
        </w:tc>
        <w:tc>
          <w:tcPr>
            <w:tcW w:w="1040" w:type="dxa"/>
            <w:vAlign w:val="bottom"/>
          </w:tcPr>
          <w:p>
            <w:pPr>
              <w:jc w:val="center"/>
              <w:ind w:left="99"/>
              <w:spacing w:after="0" w:line="135" w:lineRule="exact"/>
              <w:rPr>
                <w:sz w:val="20"/>
                <w:szCs w:val="20"/>
                <w:color w:val="auto"/>
              </w:rPr>
            </w:pPr>
            <w:r>
              <w:rPr>
                <w:rFonts w:ascii="Times New Roman" w:cs="Times New Roman" w:eastAsia="Times New Roman" w:hAnsi="Times New Roman"/>
                <w:sz w:val="12"/>
                <w:szCs w:val="12"/>
                <w:b w:val="1"/>
                <w:bCs w:val="1"/>
                <w:color w:val="auto"/>
              </w:rPr>
              <w:t>Price of Option</w:t>
            </w:r>
          </w:p>
        </w:tc>
      </w:tr>
      <w:tr>
        <w:trPr>
          <w:trHeight w:val="161"/>
        </w:trPr>
        <w:tc>
          <w:tcPr>
            <w:tcW w:w="1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0" w:type="dxa"/>
            <w:vAlign w:val="bottom"/>
          </w:tcPr>
          <w:p>
            <w:pPr>
              <w:ind w:left="88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Stock or Units</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Pr>
          <w:p>
            <w:pPr>
              <w:jc w:val="center"/>
              <w:ind w:left="119"/>
              <w:spacing w:after="0"/>
              <w:rPr>
                <w:sz w:val="20"/>
                <w:szCs w:val="20"/>
                <w:color w:val="auto"/>
              </w:rPr>
            </w:pPr>
            <w:r>
              <w:rPr>
                <w:rFonts w:ascii="Times New Roman" w:cs="Times New Roman" w:eastAsia="Times New Roman" w:hAnsi="Times New Roman"/>
                <w:sz w:val="12"/>
                <w:szCs w:val="12"/>
                <w:b w:val="1"/>
                <w:bCs w:val="1"/>
                <w:color w:val="auto"/>
              </w:rPr>
              <w:t>Awards ($/Sh)</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2"/>
          <w:szCs w:val="12"/>
          <w:b w:val="1"/>
          <w:bCs w:val="1"/>
          <w:color w:val="auto"/>
        </w:rPr>
        <w:t>Grant Date Fair Value of</w:t>
      </w:r>
    </w:p>
    <w:p>
      <w:pPr>
        <w:spacing w:after="0" w:line="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2"/>
          <w:szCs w:val="12"/>
          <w:b w:val="1"/>
          <w:bCs w:val="1"/>
          <w:color w:val="auto"/>
        </w:rPr>
        <w:t>Stock and Option</w:t>
      </w:r>
    </w:p>
    <w:p>
      <w:pPr>
        <w:ind w:left="400"/>
        <w:spacing w:after="0" w:line="223" w:lineRule="auto"/>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20"/>
          <w:szCs w:val="20"/>
          <w:b w:val="1"/>
          <w:bCs w:val="1"/>
          <w:color w:val="auto"/>
          <w:vertAlign w:val="superscript"/>
        </w:rPr>
        <w:t>(1)</w:t>
      </w:r>
    </w:p>
    <w:p>
      <w:pPr>
        <w:spacing w:after="0" w:line="20" w:lineRule="exact"/>
        <w:rPr>
          <w:sz w:val="20"/>
          <w:szCs w:val="20"/>
          <w:color w:val="auto"/>
        </w:rPr>
      </w:pPr>
    </w:p>
    <w:p>
      <w:pPr>
        <w:sectPr>
          <w:pgSz w:w="11900" w:h="16838" w:orient="portrait"/>
          <w:cols w:equalWidth="0" w:num="2">
            <w:col w:w="7160" w:space="220"/>
            <w:col w:w="163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0"/>
        </w:trPr>
        <w:tc>
          <w:tcPr>
            <w:tcW w:w="1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3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03/03/2025</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CEEFF"/>
          </w:tcPr>
          <w:p>
            <w:pPr>
              <w:jc w:val="right"/>
              <w:ind w:right="300"/>
              <w:spacing w:after="0" w:line="230" w:lineRule="exact"/>
              <w:rPr>
                <w:sz w:val="20"/>
                <w:szCs w:val="20"/>
                <w:color w:val="auto"/>
              </w:rPr>
            </w:pPr>
            <w:r>
              <w:rPr>
                <w:rFonts w:ascii="Times New Roman" w:cs="Times New Roman" w:eastAsia="Times New Roman" w:hAnsi="Times New Roman"/>
                <w:sz w:val="14"/>
                <w:szCs w:val="14"/>
                <w:color w:val="auto"/>
              </w:rPr>
              <w:t>800,000</w:t>
            </w:r>
            <w:r>
              <w:rPr>
                <w:rFonts w:ascii="Times New Roman" w:cs="Times New Roman" w:eastAsia="Times New Roman" w:hAnsi="Times New Roman"/>
                <w:sz w:val="23"/>
                <w:szCs w:val="23"/>
                <w:color w:val="auto"/>
                <w:vertAlign w:val="superscript"/>
              </w:rPr>
              <w:t>(2)</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1.32</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752,320</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Deepika Jalota, Pharm.D.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03/03/2025</w:t>
            </w:r>
          </w:p>
        </w:tc>
        <w:tc>
          <w:tcPr>
            <w:tcW w:w="200" w:type="dxa"/>
            <w:vAlign w:val="bottom"/>
          </w:tcPr>
          <w:p>
            <w:pPr>
              <w:spacing w:after="0"/>
              <w:rPr>
                <w:sz w:val="19"/>
                <w:szCs w:val="19"/>
                <w:color w:val="auto"/>
              </w:rPr>
            </w:pPr>
          </w:p>
        </w:tc>
        <w:tc>
          <w:tcPr>
            <w:tcW w:w="13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300"/>
              <w:spacing w:after="0" w:line="230" w:lineRule="exact"/>
              <w:rPr>
                <w:sz w:val="20"/>
                <w:szCs w:val="20"/>
                <w:color w:val="auto"/>
              </w:rPr>
            </w:pPr>
            <w:r>
              <w:rPr>
                <w:rFonts w:ascii="Times New Roman" w:cs="Times New Roman" w:eastAsia="Times New Roman" w:hAnsi="Times New Roman"/>
                <w:sz w:val="14"/>
                <w:szCs w:val="14"/>
                <w:color w:val="auto"/>
              </w:rPr>
              <w:t>300,000</w:t>
            </w:r>
            <w:r>
              <w:rPr>
                <w:rFonts w:ascii="Times New Roman" w:cs="Times New Roman" w:eastAsia="Times New Roman" w:hAnsi="Times New Roman"/>
                <w:sz w:val="23"/>
                <w:szCs w:val="23"/>
                <w:color w:val="auto"/>
                <w:vertAlign w:val="superscript"/>
              </w:rPr>
              <w:t>(2)</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1.32</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282,120</w:t>
            </w:r>
          </w:p>
        </w:tc>
      </w:tr>
      <w:tr>
        <w:trPr>
          <w:trHeight w:val="20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Ticktin</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03/03/2025</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00"/>
              <w:spacing w:after="0" w:line="202" w:lineRule="exact"/>
              <w:rPr>
                <w:sz w:val="20"/>
                <w:szCs w:val="20"/>
                <w:color w:val="auto"/>
              </w:rPr>
            </w:pPr>
            <w:r>
              <w:rPr>
                <w:rFonts w:ascii="Times New Roman" w:cs="Times New Roman" w:eastAsia="Times New Roman" w:hAnsi="Times New Roman"/>
                <w:sz w:val="14"/>
                <w:szCs w:val="14"/>
                <w:color w:val="auto"/>
              </w:rPr>
              <w:t>265,000</w:t>
            </w:r>
            <w:r>
              <w:rPr>
                <w:rFonts w:ascii="Times New Roman" w:cs="Times New Roman" w:eastAsia="Times New Roman" w:hAnsi="Times New Roman"/>
                <w:sz w:val="23"/>
                <w:szCs w:val="23"/>
                <w:color w:val="auto"/>
                <w:vertAlign w:val="superscript"/>
              </w:rPr>
              <w:t>(2)</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1.32</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249,206</w:t>
            </w:r>
          </w:p>
        </w:tc>
      </w:tr>
      <w:tr>
        <w:trPr>
          <w:trHeight w:val="54"/>
        </w:trPr>
        <w:tc>
          <w:tcPr>
            <w:tcW w:w="18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3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8 to the Company’s financial statements for the year ended December 31, 2025 included in the Company’s Annual Report on Form 10-K for such year. The amounts reported represents grants of options pursuant to our 2020 Equity Incentive Plan as described further in the table of outstanding equity awards below.</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subject to the option vest in 48 equal monthly installments beginning on April 3,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2025.</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72"/>
        </w:trPr>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0" w:type="dxa"/>
            <w:vAlign w:val="bottom"/>
          </w:tcPr>
          <w:p>
            <w:pPr>
              <w:spacing w:after="0"/>
              <w:rPr>
                <w:sz w:val="1"/>
                <w:szCs w:val="1"/>
                <w:color w:val="auto"/>
              </w:rPr>
            </w:pPr>
          </w:p>
        </w:tc>
      </w:tr>
      <w:tr>
        <w:trPr>
          <w:trHeight w:val="132"/>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Plan</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Plan</w:t>
            </w: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Equity</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Market or</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Payout</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Plan</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Market</w:t>
            </w: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Unearned</w:t>
            </w: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Shares or</w:t>
            </w:r>
          </w:p>
        </w:tc>
        <w:tc>
          <w:tcPr>
            <w:tcW w:w="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Units or</w:t>
            </w: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Units of</w:t>
            </w:r>
          </w:p>
        </w:tc>
        <w:tc>
          <w:tcPr>
            <w:tcW w:w="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Units of</w:t>
            </w: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Units or</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6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Rights</w:t>
            </w:r>
          </w:p>
        </w:tc>
        <w:tc>
          <w:tcPr>
            <w:tcW w:w="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Other</w:t>
            </w: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60" w:type="dxa"/>
            <w:vAlign w:val="bottom"/>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8"/>
              </w:rPr>
              <w:t>Unexercised</w:t>
            </w:r>
          </w:p>
        </w:tc>
        <w:tc>
          <w:tcPr>
            <w:tcW w:w="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That</w:t>
            </w:r>
          </w:p>
        </w:tc>
        <w:tc>
          <w:tcPr>
            <w:tcW w:w="6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That</w:t>
            </w:r>
          </w:p>
        </w:tc>
        <w:tc>
          <w:tcPr>
            <w:tcW w:w="6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That</w:t>
            </w:r>
          </w:p>
        </w:tc>
        <w:tc>
          <w:tcPr>
            <w:tcW w:w="6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Rights</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6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6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Unearned</w:t>
            </w:r>
          </w:p>
        </w:tc>
        <w:tc>
          <w:tcPr>
            <w:tcW w:w="60" w:type="dxa"/>
            <w:vAlign w:val="bottom"/>
          </w:tcPr>
          <w:p>
            <w:pPr>
              <w:spacing w:after="0"/>
              <w:rPr>
                <w:sz w:val="9"/>
                <w:szCs w:val="9"/>
                <w:color w:val="auto"/>
              </w:rPr>
            </w:pPr>
          </w:p>
        </w:tc>
        <w:tc>
          <w:tcPr>
            <w:tcW w:w="44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6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60" w:type="dxa"/>
            <w:vAlign w:val="bottom"/>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Have Not</w:t>
            </w:r>
          </w:p>
        </w:tc>
        <w:tc>
          <w:tcPr>
            <w:tcW w:w="60" w:type="dxa"/>
            <w:vAlign w:val="bottom"/>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Have Not</w:t>
            </w:r>
          </w:p>
        </w:tc>
        <w:tc>
          <w:tcPr>
            <w:tcW w:w="6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Have Not</w:t>
            </w:r>
          </w:p>
        </w:tc>
        <w:tc>
          <w:tcPr>
            <w:tcW w:w="6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That Have</w:t>
            </w:r>
          </w:p>
        </w:tc>
        <w:tc>
          <w:tcPr>
            <w:tcW w:w="0" w:type="dxa"/>
            <w:vAlign w:val="bottom"/>
          </w:tcPr>
          <w:p>
            <w:pPr>
              <w:spacing w:after="0"/>
              <w:rPr>
                <w:sz w:val="1"/>
                <w:szCs w:val="1"/>
                <w:color w:val="auto"/>
              </w:rPr>
            </w:pPr>
          </w:p>
        </w:tc>
      </w:tr>
      <w:tr>
        <w:trPr>
          <w:trHeight w:val="40"/>
        </w:trPr>
        <w:tc>
          <w:tcPr>
            <w:tcW w:w="14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Grant</w:t>
            </w:r>
          </w:p>
        </w:tc>
        <w:tc>
          <w:tcPr>
            <w:tcW w:w="6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Exercisable</w:t>
            </w:r>
          </w:p>
        </w:tc>
        <w:tc>
          <w:tcPr>
            <w:tcW w:w="60" w:type="dxa"/>
            <w:vAlign w:val="bottom"/>
          </w:tcPr>
          <w:p>
            <w:pPr>
              <w:spacing w:after="0"/>
              <w:rPr>
                <w:sz w:val="8"/>
                <w:szCs w:val="8"/>
                <w:color w:val="auto"/>
              </w:rPr>
            </w:pPr>
          </w:p>
        </w:tc>
        <w:tc>
          <w:tcPr>
            <w:tcW w:w="72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w w:val="97"/>
              </w:rPr>
              <w:t>Unexercisable</w:t>
            </w:r>
          </w:p>
        </w:tc>
        <w:tc>
          <w:tcPr>
            <w:tcW w:w="60" w:type="dxa"/>
            <w:vAlign w:val="bottom"/>
          </w:tcPr>
          <w:p>
            <w:pPr>
              <w:spacing w:after="0"/>
              <w:rPr>
                <w:sz w:val="8"/>
                <w:szCs w:val="8"/>
                <w:color w:val="auto"/>
              </w:rPr>
            </w:pPr>
          </w:p>
        </w:tc>
        <w:tc>
          <w:tcPr>
            <w:tcW w:w="6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Expiration</w:t>
            </w:r>
          </w:p>
        </w:tc>
        <w:tc>
          <w:tcPr>
            <w:tcW w:w="60" w:type="dxa"/>
            <w:vAlign w:val="bottom"/>
          </w:tcPr>
          <w:p>
            <w:pPr>
              <w:spacing w:after="0"/>
              <w:rPr>
                <w:sz w:val="8"/>
                <w:szCs w:val="8"/>
                <w:color w:val="auto"/>
              </w:rPr>
            </w:pPr>
          </w:p>
        </w:tc>
        <w:tc>
          <w:tcPr>
            <w:tcW w:w="5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60" w:type="dxa"/>
            <w:vAlign w:val="bottom"/>
          </w:tcPr>
          <w:p>
            <w:pPr>
              <w:spacing w:after="0"/>
              <w:rPr>
                <w:sz w:val="8"/>
                <w:szCs w:val="8"/>
                <w:color w:val="auto"/>
              </w:rPr>
            </w:pPr>
          </w:p>
        </w:tc>
        <w:tc>
          <w:tcPr>
            <w:tcW w:w="5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60" w:type="dxa"/>
            <w:vAlign w:val="bottom"/>
          </w:tcPr>
          <w:p>
            <w:pPr>
              <w:spacing w:after="0"/>
              <w:rPr>
                <w:sz w:val="8"/>
                <w:szCs w:val="8"/>
                <w:color w:val="auto"/>
              </w:rPr>
            </w:pPr>
          </w:p>
        </w:tc>
        <w:tc>
          <w:tcPr>
            <w:tcW w:w="6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60" w:type="dxa"/>
            <w:vAlign w:val="bottom"/>
          </w:tcPr>
          <w:p>
            <w:pPr>
              <w:spacing w:after="0"/>
              <w:rPr>
                <w:sz w:val="8"/>
                <w:szCs w:val="8"/>
                <w:color w:val="auto"/>
              </w:rPr>
            </w:pPr>
          </w:p>
        </w:tc>
        <w:tc>
          <w:tcPr>
            <w:tcW w:w="6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Not Vested</w:t>
            </w:r>
          </w:p>
        </w:tc>
        <w:tc>
          <w:tcPr>
            <w:tcW w:w="0" w:type="dxa"/>
            <w:vAlign w:val="bottom"/>
          </w:tcPr>
          <w:p>
            <w:pPr>
              <w:spacing w:after="0"/>
              <w:rPr>
                <w:sz w:val="1"/>
                <w:szCs w:val="1"/>
                <w:color w:val="auto"/>
              </w:rPr>
            </w:pPr>
          </w:p>
        </w:tc>
      </w:tr>
      <w:tr>
        <w:trPr>
          <w:trHeight w:val="32"/>
        </w:trPr>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vMerge w:val="restart"/>
          </w:tcPr>
          <w:p>
            <w:pPr>
              <w:ind w:left="240"/>
              <w:spacing w:after="0" w:line="210" w:lineRule="exact"/>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20"/>
                <w:szCs w:val="20"/>
                <w:b w:val="1"/>
                <w:bCs w:val="1"/>
                <w:color w:val="auto"/>
                <w:vertAlign w:val="superscript"/>
              </w:rPr>
              <w:t>(1)</w:t>
            </w:r>
          </w:p>
        </w:tc>
        <w:tc>
          <w:tcPr>
            <w:tcW w:w="100" w:type="dxa"/>
            <w:vAlign w:val="bottom"/>
            <w:vMerge w:val="restart"/>
          </w:tcPr>
          <w:p>
            <w:pPr>
              <w:spacing w:after="0"/>
              <w:rPr>
                <w:sz w:val="2"/>
                <w:szCs w:val="2"/>
                <w:color w:val="auto"/>
              </w:rPr>
            </w:pPr>
          </w:p>
        </w:tc>
        <w:tc>
          <w:tcPr>
            <w:tcW w:w="6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restart"/>
          </w:tcPr>
          <w:p>
            <w:pPr>
              <w:spacing w:after="0"/>
              <w:rPr>
                <w:sz w:val="2"/>
                <w:szCs w:val="2"/>
                <w:color w:val="auto"/>
              </w:rPr>
            </w:pPr>
          </w:p>
        </w:tc>
        <w:tc>
          <w:tcPr>
            <w:tcW w:w="440" w:type="dxa"/>
            <w:vAlign w:val="bottom"/>
            <w:vMerge w:val="restart"/>
          </w:tcPr>
          <w:p>
            <w:pPr>
              <w:ind w:left="10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0"/>
                <w:szCs w:val="10"/>
                <w:b w:val="1"/>
                <w:bCs w:val="1"/>
                <w:color w:val="auto"/>
              </w:rPr>
              <w:t>(2)</w:t>
            </w:r>
          </w:p>
        </w:tc>
        <w:tc>
          <w:tcPr>
            <w:tcW w:w="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6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19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920" w:type="dxa"/>
            <w:vAlign w:val="bottom"/>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4"/>
                <w:szCs w:val="14"/>
                <w:color w:val="auto"/>
              </w:rPr>
              <w:t>05/16/2017</w:t>
            </w:r>
            <w:r>
              <w:rPr>
                <w:rFonts w:ascii="Times New Roman" w:cs="Times New Roman" w:eastAsia="Times New Roman" w:hAnsi="Times New Roman"/>
                <w:sz w:val="22"/>
                <w:szCs w:val="22"/>
                <w:color w:val="auto"/>
                <w:vertAlign w:val="superscript"/>
              </w:rPr>
              <w:t>(3)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460,769</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2.95</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05/15/2027</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92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3"/>
                <w:szCs w:val="13"/>
                <w:color w:val="auto"/>
              </w:rPr>
              <w:t>03/10/2020</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219,748</w:t>
            </w:r>
          </w:p>
        </w:tc>
        <w:tc>
          <w:tcPr>
            <w:tcW w:w="60" w:type="dxa"/>
            <w:vAlign w:val="bottom"/>
          </w:tcPr>
          <w:p>
            <w:pPr>
              <w:spacing w:after="0"/>
              <w:rPr>
                <w:sz w:val="16"/>
                <w:szCs w:val="16"/>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3.90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03/09/2030</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H. Mack, Ph.D.</w:t>
            </w:r>
          </w:p>
        </w:tc>
        <w:tc>
          <w:tcPr>
            <w:tcW w:w="92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3"/>
                <w:szCs w:val="13"/>
                <w:color w:val="auto"/>
              </w:rPr>
              <w:t>01/18/2024</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249,125</w:t>
            </w:r>
          </w:p>
        </w:tc>
        <w:tc>
          <w:tcPr>
            <w:tcW w:w="7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270,790</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1.80</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01/17/2034</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David H. Mack, Ph.D. .</w:t>
            </w:r>
          </w:p>
        </w:tc>
        <w:tc>
          <w:tcPr>
            <w:tcW w:w="92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3"/>
                <w:szCs w:val="13"/>
                <w:color w:val="auto"/>
              </w:rPr>
              <w:t>08/13/2024</w:t>
            </w:r>
            <w:r>
              <w:rPr>
                <w:rFonts w:ascii="Times New Roman" w:cs="Times New Roman" w:eastAsia="Times New Roman" w:hAnsi="Times New Roman"/>
                <w:sz w:val="21"/>
                <w:szCs w:val="21"/>
                <w:color w:val="auto"/>
                <w:vertAlign w:val="superscript"/>
              </w:rPr>
              <w:t>(5)</w:t>
            </w:r>
          </w:p>
        </w:tc>
        <w:tc>
          <w:tcPr>
            <w:tcW w:w="10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170,751</w:t>
            </w:r>
          </w:p>
        </w:tc>
        <w:tc>
          <w:tcPr>
            <w:tcW w:w="78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213,433</w:t>
            </w:r>
          </w:p>
        </w:tc>
        <w:tc>
          <w:tcPr>
            <w:tcW w:w="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1.48</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08/12/2034</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H. Mack, Ph.D. .</w:t>
            </w:r>
          </w:p>
        </w:tc>
        <w:tc>
          <w:tcPr>
            <w:tcW w:w="92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3"/>
                <w:szCs w:val="13"/>
                <w:color w:val="auto"/>
              </w:rPr>
              <w:t>08/13/2024</w:t>
            </w:r>
            <w:r>
              <w:rPr>
                <w:rFonts w:ascii="Times New Roman" w:cs="Times New Roman" w:eastAsia="Times New Roman" w:hAnsi="Times New Roman"/>
                <w:sz w:val="21"/>
                <w:szCs w:val="21"/>
                <w:color w:val="auto"/>
                <w:vertAlign w:val="superscript"/>
              </w:rPr>
              <w:t>(6)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109,999</w:t>
            </w:r>
          </w:p>
        </w:tc>
        <w:tc>
          <w:tcPr>
            <w:tcW w:w="7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220,001</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1.48</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08/12/2034</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David H. Mack, Ph.D. .</w:t>
            </w:r>
          </w:p>
        </w:tc>
        <w:tc>
          <w:tcPr>
            <w:tcW w:w="92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3"/>
                <w:szCs w:val="13"/>
                <w:color w:val="auto"/>
              </w:rPr>
              <w:t>03/03/2025</w:t>
            </w:r>
            <w:r>
              <w:rPr>
                <w:rFonts w:ascii="Times New Roman" w:cs="Times New Roman" w:eastAsia="Times New Roman" w:hAnsi="Times New Roman"/>
                <w:sz w:val="21"/>
                <w:szCs w:val="21"/>
                <w:color w:val="auto"/>
                <w:vertAlign w:val="superscript"/>
              </w:rPr>
              <w:t>(7)</w:t>
            </w:r>
          </w:p>
        </w:tc>
        <w:tc>
          <w:tcPr>
            <w:tcW w:w="10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150,000</w:t>
            </w:r>
          </w:p>
        </w:tc>
        <w:tc>
          <w:tcPr>
            <w:tcW w:w="78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650,000</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1.32</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03/02/2035</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9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08/21/2019</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87,320</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3.53</w:t>
            </w:r>
          </w:p>
        </w:tc>
        <w:tc>
          <w:tcPr>
            <w:tcW w:w="7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08/20/2029</w:t>
            </w: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Pharm.D.</w:t>
            </w: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03/10/2020</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0"/>
                <w:szCs w:val="10"/>
                <w:color w:val="auto"/>
              </w:rPr>
            </w:pPr>
          </w:p>
        </w:tc>
        <w:tc>
          <w:tcPr>
            <w:tcW w:w="6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17,093</w:t>
            </w:r>
          </w:p>
        </w:tc>
        <w:tc>
          <w:tcPr>
            <w:tcW w:w="60" w:type="dxa"/>
            <w:vAlign w:val="bottom"/>
          </w:tcPr>
          <w:p>
            <w:pPr>
              <w:spacing w:after="0"/>
              <w:rPr>
                <w:sz w:val="10"/>
                <w:szCs w:val="10"/>
                <w:color w:val="auto"/>
              </w:rPr>
            </w:pPr>
          </w:p>
        </w:tc>
        <w:tc>
          <w:tcPr>
            <w:tcW w:w="72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3.90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03/09/2030</w:t>
            </w:r>
          </w:p>
        </w:tc>
        <w:tc>
          <w:tcPr>
            <w:tcW w:w="6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Pharm.D.</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9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01/18/2024</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107,857</w:t>
            </w:r>
          </w:p>
        </w:tc>
        <w:tc>
          <w:tcPr>
            <w:tcW w:w="780" w:type="dxa"/>
            <w:vAlign w:val="bottom"/>
            <w:gridSpan w:val="2"/>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117,238</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1.80</w:t>
            </w:r>
          </w:p>
        </w:tc>
        <w:tc>
          <w:tcPr>
            <w:tcW w:w="7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01/17/2034</w:t>
            </w: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Pharm.D.</w:t>
            </w: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08/13/2024</w:t>
            </w:r>
            <w:r>
              <w:rPr>
                <w:rFonts w:ascii="Times New Roman" w:cs="Times New Roman" w:eastAsia="Times New Roman" w:hAnsi="Times New Roman"/>
                <w:sz w:val="23"/>
                <w:szCs w:val="23"/>
                <w:color w:val="auto"/>
                <w:vertAlign w:val="superscript"/>
              </w:rPr>
              <w:t>(8)</w:t>
            </w:r>
          </w:p>
        </w:tc>
        <w:tc>
          <w:tcPr>
            <w:tcW w:w="100" w:type="dxa"/>
            <w:vAlign w:val="bottom"/>
          </w:tcPr>
          <w:p>
            <w:pPr>
              <w:spacing w:after="0"/>
              <w:rPr>
                <w:sz w:val="10"/>
                <w:szCs w:val="10"/>
                <w:color w:val="auto"/>
              </w:rPr>
            </w:pPr>
          </w:p>
        </w:tc>
        <w:tc>
          <w:tcPr>
            <w:tcW w:w="6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40,345</w:t>
            </w:r>
          </w:p>
        </w:tc>
        <w:tc>
          <w:tcPr>
            <w:tcW w:w="78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4"/>
                <w:szCs w:val="14"/>
                <w:color w:val="auto"/>
              </w:rPr>
              <w:t>50,429</w:t>
            </w:r>
          </w:p>
        </w:tc>
        <w:tc>
          <w:tcPr>
            <w:tcW w:w="6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1.48</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08/12/2034</w:t>
            </w:r>
          </w:p>
        </w:tc>
        <w:tc>
          <w:tcPr>
            <w:tcW w:w="6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Pharm.D.</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9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08/13/2024</w:t>
            </w:r>
            <w:r>
              <w:rPr>
                <w:rFonts w:ascii="Times New Roman" w:cs="Times New Roman" w:eastAsia="Times New Roman" w:hAnsi="Times New Roman"/>
                <w:sz w:val="23"/>
                <w:szCs w:val="23"/>
                <w:color w:val="auto"/>
                <w:vertAlign w:val="superscript"/>
              </w:rPr>
              <w:t>(9)</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41,665</w:t>
            </w:r>
          </w:p>
        </w:tc>
        <w:tc>
          <w:tcPr>
            <w:tcW w:w="780" w:type="dxa"/>
            <w:vAlign w:val="bottom"/>
            <w:gridSpan w:val="2"/>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83,335</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1.48</w:t>
            </w:r>
          </w:p>
        </w:tc>
        <w:tc>
          <w:tcPr>
            <w:tcW w:w="7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08/12/2034</w:t>
            </w: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Pharm.D.</w:t>
            </w: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Deepika Jalota,</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03/03/2025</w:t>
            </w:r>
            <w:r>
              <w:rPr>
                <w:rFonts w:ascii="Times New Roman" w:cs="Times New Roman" w:eastAsia="Times New Roman" w:hAnsi="Times New Roman"/>
                <w:sz w:val="23"/>
                <w:szCs w:val="23"/>
                <w:color w:val="auto"/>
                <w:vertAlign w:val="superscript"/>
              </w:rPr>
              <w:t>(7)</w:t>
            </w:r>
          </w:p>
        </w:tc>
        <w:tc>
          <w:tcPr>
            <w:tcW w:w="100" w:type="dxa"/>
            <w:vAlign w:val="bottom"/>
          </w:tcPr>
          <w:p>
            <w:pPr>
              <w:spacing w:after="0"/>
              <w:rPr>
                <w:sz w:val="10"/>
                <w:szCs w:val="10"/>
                <w:color w:val="auto"/>
              </w:rPr>
            </w:pPr>
          </w:p>
        </w:tc>
        <w:tc>
          <w:tcPr>
            <w:tcW w:w="6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56,250</w:t>
            </w:r>
          </w:p>
        </w:tc>
        <w:tc>
          <w:tcPr>
            <w:tcW w:w="78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4"/>
                <w:szCs w:val="14"/>
                <w:color w:val="auto"/>
              </w:rPr>
              <w:t>243,750</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1.32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03/02/2035</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Pharm.D.</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Ticktin</w:t>
            </w:r>
          </w:p>
        </w:tc>
        <w:tc>
          <w:tcPr>
            <w:tcW w:w="92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3"/>
                <w:szCs w:val="13"/>
                <w:color w:val="auto"/>
              </w:rPr>
              <w:t>06/02/2020</w:t>
            </w:r>
            <w:r>
              <w:rPr>
                <w:rFonts w:ascii="Times New Roman" w:cs="Times New Roman" w:eastAsia="Times New Roman" w:hAnsi="Times New Roman"/>
                <w:sz w:val="21"/>
                <w:szCs w:val="21"/>
                <w:color w:val="auto"/>
                <w:vertAlign w:val="superscript"/>
              </w:rPr>
              <w:t>(3)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1,449</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4.22</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06/01/2030</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Robert Ticktin</w:t>
            </w:r>
          </w:p>
        </w:tc>
        <w:tc>
          <w:tcPr>
            <w:tcW w:w="92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3"/>
                <w:szCs w:val="13"/>
                <w:color w:val="auto"/>
              </w:rPr>
              <w:t>08/28/2020</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102,460</w:t>
            </w:r>
          </w:p>
        </w:tc>
        <w:tc>
          <w:tcPr>
            <w:tcW w:w="60" w:type="dxa"/>
            <w:vAlign w:val="bottom"/>
          </w:tcPr>
          <w:p>
            <w:pPr>
              <w:spacing w:after="0"/>
              <w:rPr>
                <w:sz w:val="16"/>
                <w:szCs w:val="16"/>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8.53</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08/27/2030</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Ticktin</w:t>
            </w:r>
          </w:p>
        </w:tc>
        <w:tc>
          <w:tcPr>
            <w:tcW w:w="92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3"/>
                <w:szCs w:val="13"/>
                <w:color w:val="auto"/>
              </w:rPr>
              <w:t>01/18/2024</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80,892</w:t>
            </w:r>
          </w:p>
        </w:tc>
        <w:tc>
          <w:tcPr>
            <w:tcW w:w="7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87,928</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1.80</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01/17/2034</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Robert Ticktin</w:t>
            </w:r>
          </w:p>
        </w:tc>
        <w:tc>
          <w:tcPr>
            <w:tcW w:w="92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3"/>
                <w:szCs w:val="13"/>
                <w:color w:val="auto"/>
              </w:rPr>
              <w:t>08/13/2024</w:t>
            </w:r>
            <w:r>
              <w:rPr>
                <w:rFonts w:ascii="Times New Roman" w:cs="Times New Roman" w:eastAsia="Times New Roman" w:hAnsi="Times New Roman"/>
                <w:sz w:val="21"/>
                <w:szCs w:val="21"/>
                <w:color w:val="auto"/>
                <w:vertAlign w:val="superscript"/>
              </w:rPr>
              <w:t>(10)</w:t>
            </w:r>
          </w:p>
        </w:tc>
        <w:tc>
          <w:tcPr>
            <w:tcW w:w="100" w:type="dxa"/>
            <w:vAlign w:val="bottom"/>
          </w:tcPr>
          <w:p>
            <w:pPr>
              <w:spacing w:after="0"/>
              <w:rPr>
                <w:sz w:val="16"/>
                <w:szCs w:val="16"/>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46,391</w:t>
            </w:r>
          </w:p>
        </w:tc>
        <w:tc>
          <w:tcPr>
            <w:tcW w:w="78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57,988</w:t>
            </w:r>
          </w:p>
        </w:tc>
        <w:tc>
          <w:tcPr>
            <w:tcW w:w="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1.48</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08/12/2034</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Ticktin</w:t>
            </w:r>
          </w:p>
        </w:tc>
        <w:tc>
          <w:tcPr>
            <w:tcW w:w="92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3"/>
                <w:szCs w:val="13"/>
                <w:color w:val="auto"/>
              </w:rPr>
              <w:t>08/13/2024</w:t>
            </w:r>
            <w:r>
              <w:rPr>
                <w:rFonts w:ascii="Times New Roman" w:cs="Times New Roman" w:eastAsia="Times New Roman" w:hAnsi="Times New Roman"/>
                <w:sz w:val="21"/>
                <w:szCs w:val="21"/>
                <w:color w:val="auto"/>
                <w:vertAlign w:val="superscript"/>
              </w:rPr>
              <w:t>(11)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30,666</w:t>
            </w:r>
          </w:p>
        </w:tc>
        <w:tc>
          <w:tcPr>
            <w:tcW w:w="7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61,334</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1.48</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08/12/2034</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5"/>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Robert Ticktin</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03/03/2025</w:t>
            </w:r>
            <w:r>
              <w:rPr>
                <w:rFonts w:ascii="Times New Roman" w:cs="Times New Roman" w:eastAsia="Times New Roman" w:hAnsi="Times New Roman"/>
                <w:sz w:val="23"/>
                <w:szCs w:val="23"/>
                <w:color w:val="auto"/>
                <w:vertAlign w:val="superscript"/>
              </w:rPr>
              <w:t>(7)</w:t>
            </w:r>
          </w:p>
        </w:tc>
        <w:tc>
          <w:tcPr>
            <w:tcW w:w="100" w:type="dxa"/>
            <w:vAlign w:val="bottom"/>
          </w:tcPr>
          <w:p>
            <w:pPr>
              <w:spacing w:after="0"/>
              <w:rPr>
                <w:sz w:val="24"/>
                <w:szCs w:val="24"/>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49,687</w:t>
            </w:r>
          </w:p>
        </w:tc>
        <w:tc>
          <w:tcPr>
            <w:tcW w:w="78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color w:val="auto"/>
              </w:rPr>
              <w:t>215,313</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1.32</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03/02/2035</w:t>
            </w: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108585</wp:posOffset>
            </wp:positionV>
            <wp:extent cx="822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6" w:lineRule="exact"/>
        <w:rPr>
          <w:sz w:val="20"/>
          <w:szCs w:val="20"/>
          <w:color w:val="auto"/>
        </w:rPr>
      </w:pPr>
    </w:p>
    <w:p>
      <w:pPr>
        <w:jc w:val="both"/>
        <w:ind w:left="640" w:right="399" w:hanging="348"/>
        <w:spacing w:after="0" w:line="24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options to purchase shares of our common stock granted prior to September 21, 2020 were granted pursuant to our 2013 Plan (as defined below), and outstanding options to purchase shares of our common stock granted on or after September 21, 2020, were granted pursuant to our 2020 Plan (as defined below).</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fair market value of a share of our common stock on the date of grant, as determined by our board of directors.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are fully vested.</w:t>
      </w:r>
    </w:p>
    <w:p>
      <w:pPr>
        <w:spacing w:after="0" w:line="41" w:lineRule="exact"/>
        <w:rPr>
          <w:rFonts w:ascii="Times New Roman" w:cs="Times New Roman" w:eastAsia="Times New Roman" w:hAnsi="Times New Roman"/>
          <w:sz w:val="14"/>
          <w:szCs w:val="14"/>
          <w:color w:val="auto"/>
        </w:rPr>
      </w:pPr>
    </w:p>
    <w:p>
      <w:pPr>
        <w:ind w:left="640" w:right="5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as to 1/48th of the shares of common stock underlying it in equal monthly installments beginning on February 18, 2024 and monthly thereafter, subject to the named executive officer’s continued service through each vesting date.</w:t>
      </w:r>
    </w:p>
    <w:p>
      <w:pPr>
        <w:ind w:left="640" w:right="399" w:hanging="348"/>
        <w:spacing w:after="0" w:line="228"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Statement on Schedule TO filed with the Securities and Exchange Commission on July 16, 2024, as amended (the “Tender Offer”), on August 13, 2024, the company cancelled two outstanding option grants then held by Dr. Mack: (i) an option for 134,584 shares of common stock, initially granted to Dr. Mack on May 12, 2021; and (ii) an option for 249,600 shares of common stock, initially granted to Dr. Mack on February 10, 2022 ((i) and (ii), together, the “Mack Cancelled Grants”). Pursuant to the Tender Offer, in exchange for the Mack Cancelled Grants, the company granted two new option grants to Dr. Mack on August 13, 2024: (i) an option for 134,584 shares of common stock; and (ii) an option for 249,600 shares of common stock ((i) and (ii), together, the “Mack New Grants”). The Mack New Grants vests as to 1/3rd of the shares of our common stock underlying it on August 13, 2025, and 1/36th vest each month thereafter, subject to the named executive officer’s continued service through each vesting date.</w:t>
      </w:r>
    </w:p>
    <w:p>
      <w:pPr>
        <w:spacing w:after="0" w:line="18"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on August 13, 2024, the company cancelled one outstanding option grant then held by Dr. Mack: an option for 330,000 shares of common stock, initially granted to Dr. Mack on May 12, 2023. Pursuant to the Tender Offer, in exchange for such cancelled option grant, the company granted one new option grant to Dr. Mack on August 13, 2024: an option for 330,000 shares of common stock. Such new option grant vests as to 1/4th of the shares of our common stock underlying it on August 13, 2025, and 1/48th vest each month thereafter, subject to the named executive officer’s continued service through each vesting date.</w:t>
      </w:r>
    </w:p>
    <w:p>
      <w:pPr>
        <w:spacing w:after="0" w:line="15" w:lineRule="exact"/>
        <w:rPr>
          <w:rFonts w:ascii="Times New Roman" w:cs="Times New Roman" w:eastAsia="Times New Roman" w:hAnsi="Times New Roman"/>
          <w:sz w:val="14"/>
          <w:szCs w:val="14"/>
          <w:color w:val="auto"/>
        </w:rPr>
      </w:pPr>
    </w:p>
    <w:p>
      <w:pPr>
        <w:ind w:left="640" w:right="55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as to 1/48th of the shares of common stock underlying it in equal monthly installments beginning on April 3, 2025 and monthly thereafter, subject to the named executive officer’s continued service through each vesting date.</w:t>
      </w:r>
    </w:p>
    <w:p>
      <w:pPr>
        <w:ind w:left="640" w:right="39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on August 13, 2024, the company cancelled two outstanding option grants then held by Dr. Jalota: (i) an option for 22,674 shares of common stock, initially granted to Dr. Jalota on May 12, 2021; and (ii) an option for 68,100 shares of common stock, initially granted to Dr. Jalota on February 10, 2022 ((i) and (ii), together, the “Jalota Cancelled Grants”). Pursuant to the Tender Offer, in exchange for the Jalota Cancelled Grants, the company granted two new option grants to Dr. Jalota on August 13, 2024: (i) 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60" w:right="579"/>
        <w:spacing w:after="0" w:line="241" w:lineRule="auto"/>
        <w:rPr>
          <w:sz w:val="20"/>
          <w:szCs w:val="20"/>
          <w:color w:val="auto"/>
        </w:rPr>
      </w:pPr>
      <w:r>
        <w:rPr>
          <w:rFonts w:ascii="Times New Roman" w:cs="Times New Roman" w:eastAsia="Times New Roman" w:hAnsi="Times New Roman"/>
          <w:sz w:val="14"/>
          <w:szCs w:val="14"/>
          <w:color w:val="auto"/>
        </w:rPr>
        <w:t>option for 22,674 shares of common stock; and (ii) an option for 68,100 shares of common stock ((i) and (ii), together, the “Jalota New Grants”). The Jalota New Grants vests as to 1/3rd of the shares of our common stock underlying it on August 13, 2025, and 1/36th vest each month thereafter, subject to the named executive officer’s continued service through each vesting date.</w:t>
      </w:r>
    </w:p>
    <w:p>
      <w:pPr>
        <w:spacing w:after="0" w:line="15" w:lineRule="exact"/>
        <w:rPr>
          <w:sz w:val="20"/>
          <w:szCs w:val="20"/>
          <w:color w:val="auto"/>
        </w:rPr>
      </w:pPr>
    </w:p>
    <w:p>
      <w:pPr>
        <w:ind w:left="640" w:right="299" w:hanging="348"/>
        <w:spacing w:after="0" w:line="23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on August 13, 2024, the company cancelled one outstanding option grant then held by Dr. Jalota: an option for 125,000 shares of common stock, initially granted to Dr. Jalota on May 12, 2023. Pursuant to the Tender Offer, in exchange for such cancelled option grant, the company granted one new option grant to Dr. Jalota on August 13, 2024: an option for 125,000 shares of common stock. Such new option grant vests as to 1/4th of the shares of our common stock underlying it on August 13, 2025, and 1/48th vest each month thereafter, subject to the named executive officer’s continued service through each vesting date.</w:t>
      </w:r>
    </w:p>
    <w:p>
      <w:pPr>
        <w:spacing w:after="0" w:line="15" w:lineRule="exact"/>
        <w:rPr>
          <w:rFonts w:ascii="Times New Roman" w:cs="Times New Roman" w:eastAsia="Times New Roman" w:hAnsi="Times New Roman"/>
          <w:sz w:val="14"/>
          <w:szCs w:val="14"/>
          <w:color w:val="auto"/>
        </w:rPr>
      </w:pPr>
    </w:p>
    <w:p>
      <w:pPr>
        <w:ind w:left="640" w:right="299" w:hanging="348"/>
        <w:spacing w:after="0" w:line="229"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on August 13, 2024, the company cancelled two outstanding option grants then held by Mr. Ticktin: (i) an option for 36,279 shares of common stock, initially granted to Mr. Ticktin on May 12, 2021; and (ii) an option for 68,100 shares of common stock, initially granted to Mr. Ticktin on February 10, 2022 ((i) and (ii), together, the “Ticktin Cancelled Grants”). Pursuant to the Tender Offer, in exchange for the Ticktin Cancelled Grants, the company granted two new option grants to Mr. Ticktin on August 13, 2024: (i) an option for 36,279 shares of common stock; and (ii) an option for 68,100 shares of common stock ((i) and (ii), together, the “Ticktin New Grants”). The Ticktin New Grants vests as to 1/3rd of the shares of our common stock underlying it on August 13, 2025, and 1/36th vest each month thereafter, subject to the named executive officer’s continued service through each vesting date.</w:t>
      </w:r>
    </w:p>
    <w:p>
      <w:pPr>
        <w:spacing w:after="0" w:line="18" w:lineRule="exact"/>
        <w:rPr>
          <w:rFonts w:ascii="Times New Roman" w:cs="Times New Roman" w:eastAsia="Times New Roman" w:hAnsi="Times New Roman"/>
          <w:sz w:val="14"/>
          <w:szCs w:val="14"/>
          <w:color w:val="auto"/>
        </w:rPr>
      </w:pPr>
    </w:p>
    <w:p>
      <w:pPr>
        <w:ind w:left="640" w:right="419" w:hanging="348"/>
        <w:spacing w:after="0" w:line="23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Tender Offer, on August 13, 2024, the company cancelled one outstanding option grant then held by Mr. Ticktin: an option for 92,000 shares of common stock, initially granted to Mr. Ticktin on May 12, 2023. Pursuant to the Tender Offer, in exchange for such cancelled option grant, the company granted one new option grant to Mr. Ticktin on August 13, 2024: an option for 92,000 shares of common stock. Such new option grant vests as to 1/4th of the shares of our common stock underlying it on August 13, 2025, and 1/48th vest each month thereafter, subject to the named executive officer’s continued service through each vesting date.</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Internal Revenue Code of 1986, as amended (the “Code”). The 401(k) plan is intended to qualify under Sections 401(a) and 501(a) of the Code. We do not provide for any matching contributions under the 401(k) plan.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9"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i w:val="1"/>
          <w:iCs w:val="1"/>
          <w:color w:val="auto"/>
        </w:rPr>
        <w:t>Severance Policy</w:t>
      </w:r>
      <w:r>
        <w:rPr>
          <w:rFonts w:ascii="Times New Roman" w:cs="Times New Roman" w:eastAsia="Times New Roman" w:hAnsi="Times New Roman"/>
          <w:sz w:val="18"/>
          <w:szCs w:val="18"/>
          <w:color w:val="auto"/>
        </w:rPr>
        <w:t>. Dr. Mack, Dr. Jalota, and Mr. Ticktin are each participants in our Severance Policy. Under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 agreements, if, within the period three months prior to and 12 months following a “change in control” (such period, the change in control period), we terminate the employment of the applicable named executive officer other than for “cause”, death or “disability” or the applicable named executive officer terminates his or her employment for “good reason” (as such terms are defined in the named executive officer’s change in control and severance agreement) and the named executive officer executes a separation agreement and release of claims that becomes effective and irrevocable within 60 days following the named executive officer’s termination, the named executive officer is entitled to receive (i) a lump sum severance payment, less applicable withholdings, equal to 100%, in the case of Dr. Jalota and Mr. Ticktin, and 150%, in the case of Dr. Mack, of their base salary, as then in effect, (ii) a lump sum payment, less applicable withholdings, equal to 100%, in the case of Dr. Jalota and</w:t>
      </w:r>
    </w:p>
    <w:p>
      <w:pPr>
        <w:spacing w:after="0" w:line="7"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Mr. Ticktin, and 150%, in the case of Dr. Mack, of their target bonus for the performance year in which such termination occurred, (iii) payment or reimbursement of premiums to maintain group health insurance continuation benefits pursuant to the Consolidated Omnibus Budget Reconciliation Act of 1985, as amended (“COBRA”) for the named executive officer and his or her dependents through 12 months, in the case of Dr. Jalota and Mr. Ticktin, and 18 months, in the case of Dr. Mack, following such termination, and (iv) accelerated vesting as to 100% of the employee’s outstanding unvested equity awards.</w:t>
      </w:r>
    </w:p>
    <w:p>
      <w:pPr>
        <w:spacing w:after="0" w:line="82"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In addition, under each of these agreements, if, outside of the change in control period, we terminate the employment of the applicable named executive officer other than for cause, death or disability, and the named executive officer executes a separation agreement and release of claims that becomes effective and irrevocable within 60 days following the employee’s termination, the employee is entitled to receive (i) a lump sum severance payment, less applicable withholdings, equal to 9 months, in the case of Dr. Jalota and Mr. Ticktin, and 12 months, in the case of Dr. Mack, of their base salary, as then in effect, and (ii) payment or reimbursement of premiums to maintain group health insurance continuation benefits pursuant to COBRA for the employee and the named executive officer’s dependents through 9 months, in the case of Dr. Jalota and Mr. Ticktin, and 12 months, in the case of Dr. Mack, following such termination.</w:t>
      </w:r>
    </w:p>
    <w:p>
      <w:pPr>
        <w:spacing w:after="0" w:line="80" w:lineRule="exact"/>
        <w:rPr>
          <w:sz w:val="20"/>
          <w:szCs w:val="20"/>
          <w:color w:val="auto"/>
        </w:rPr>
      </w:pPr>
    </w:p>
    <w:p>
      <w:pPr>
        <w:ind w:left="300" w:right="699"/>
        <w:spacing w:after="0" w:line="312" w:lineRule="auto"/>
        <w:rPr>
          <w:sz w:val="20"/>
          <w:szCs w:val="20"/>
          <w:color w:val="auto"/>
        </w:rPr>
      </w:pPr>
      <w:r>
        <w:rPr>
          <w:rFonts w:ascii="Times New Roman" w:cs="Times New Roman" w:eastAsia="Times New Roman" w:hAnsi="Times New Roman"/>
          <w:sz w:val="17"/>
          <w:szCs w:val="17"/>
          <w:color w:val="auto"/>
        </w:rPr>
        <w:t>Under each of these agreements, in the event any payment to, or benefits received by, the applicable employee pursuant to his or her change in control and severance agreement would be subject to the excise tax imposed by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Section 4999 of the Code (as a result of a payment being classified as a parachute payment under Section 280G of the Code), the employee will receive such payment as would entitle the employee to receive the greatest after-tax benefit, even if it means that we pay him or her a lower aggregate payment so as to minimize or eliminate the potential excise tax imposed by Section 4999 of the Code.</w:t>
      </w:r>
    </w:p>
    <w:p>
      <w:pPr>
        <w:spacing w:after="0" w:line="70"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i w:val="1"/>
          <w:iCs w:val="1"/>
          <w:color w:val="auto"/>
        </w:rPr>
        <w:t>2020 Equity Incentive Plan</w:t>
      </w:r>
      <w:r>
        <w:rPr>
          <w:rFonts w:ascii="Times New Roman" w:cs="Times New Roman" w:eastAsia="Times New Roman" w:hAnsi="Times New Roman"/>
          <w:sz w:val="18"/>
          <w:szCs w:val="18"/>
          <w:color w:val="auto"/>
        </w:rPr>
        <w:t>. Our 2020 Equity Incentive Plan (the “2020 Plan”) provides that in the event of a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change in control, as defined under our 2020 Plan, each outstanding award will be treated as the administrator determines, without a participant’s consent. The administrator is not required to treat all awards, all awards held by a participant or all awards of the same type similarly.</w:t>
      </w:r>
    </w:p>
    <w:p>
      <w:pPr>
        <w:spacing w:after="0" w:line="74"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86"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77"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i w:val="1"/>
          <w:iCs w:val="1"/>
          <w:color w:val="auto"/>
        </w:rPr>
        <w:t>2013 Equity Incentive Plan</w:t>
      </w:r>
      <w:r>
        <w:rPr>
          <w:rFonts w:ascii="Times New Roman" w:cs="Times New Roman" w:eastAsia="Times New Roman" w:hAnsi="Times New Roman"/>
          <w:sz w:val="18"/>
          <w:szCs w:val="18"/>
          <w:color w:val="auto"/>
        </w:rPr>
        <w:t>. Our 2013 Equity Incentive Plan (the “2013 Plan”) provides that in the event of a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change in control, as defined under our 2013 Plan, each outstanding award will be treated as the administrator determines. The administrator is not required to treat all awards, all awards held by a participant or all awards of the same type similarly.</w:t>
      </w:r>
    </w:p>
    <w:p>
      <w:pPr>
        <w:spacing w:after="0" w:line="74" w:lineRule="exact"/>
        <w:rPr>
          <w:sz w:val="20"/>
          <w:szCs w:val="20"/>
          <w:color w:val="auto"/>
        </w:rPr>
      </w:pPr>
    </w:p>
    <w:p>
      <w:pPr>
        <w:ind w:left="300" w:right="439"/>
        <w:spacing w:after="0" w:line="269" w:lineRule="auto"/>
        <w:rPr>
          <w:sz w:val="20"/>
          <w:szCs w:val="20"/>
          <w:color w:val="auto"/>
        </w:rPr>
      </w:pPr>
      <w:r>
        <w:rPr>
          <w:rFonts w:ascii="Times New Roman" w:cs="Times New Roman" w:eastAsia="Times New Roman" w:hAnsi="Times New Roman"/>
          <w:sz w:val="17"/>
          <w:szCs w:val="17"/>
          <w:color w:val="auto"/>
        </w:rPr>
        <w:t>In the event that (i) a participant is terminated for reasons other than cause, death or disability (as such terms are defined in our 2013 Plan), or terminates employment following a resignation for good reason (as such term is defined in our 2013 Plan),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w:t>
      </w:r>
    </w:p>
    <w:p>
      <w:pPr>
        <w:spacing w:after="0" w:line="3" w:lineRule="exact"/>
        <w:rPr>
          <w:sz w:val="20"/>
          <w:szCs w:val="20"/>
          <w:color w:val="auto"/>
        </w:rPr>
      </w:pPr>
    </w:p>
    <w:p>
      <w:pPr>
        <w:ind w:left="300" w:right="339" w:hanging="8"/>
        <w:spacing w:after="0" w:line="251" w:lineRule="auto"/>
        <w:tabs>
          <w:tab w:leader="none" w:pos="6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effective date of a change in control), or (ii) 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 other dispositions of our securities by directors, officers, employees, and other covered persons that we believe is reasonably designed to promote compliance with insider trading laws, rules and regulations, and applicable stock exchange listing requirements.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300" w:right="1380"/>
        <w:spacing w:after="0" w:line="266" w:lineRule="auto"/>
        <w:rPr>
          <w:sz w:val="20"/>
          <w:szCs w:val="20"/>
          <w:color w:val="auto"/>
        </w:rPr>
      </w:pPr>
      <w:r>
        <w:rPr>
          <w:rFonts w:ascii="Times New Roman" w:cs="Times New Roman" w:eastAsia="Times New Roman" w:hAnsi="Times New Roman"/>
          <w:sz w:val="18"/>
          <w:szCs w:val="18"/>
          <w:color w:val="auto"/>
        </w:rPr>
        <w:t>copy of our insider trading policy was filed as an exhibit to our Annual Report on Form 10-K for the fiscal year ended December 31, 2025. In addition, with regard to the Company’s trading in its own securities, it is our policy to comply with the federal securities laws and the applicable exchange listing requirements.</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121" w:lineRule="exact"/>
        <w:rPr>
          <w:sz w:val="20"/>
          <w:szCs w:val="20"/>
          <w:color w:val="auto"/>
        </w:rPr>
      </w:pPr>
    </w:p>
    <w:p>
      <w:pPr>
        <w:ind w:left="1300" w:right="1360"/>
        <w:spacing w:after="0" w:line="253" w:lineRule="auto"/>
        <w:rPr>
          <w:sz w:val="20"/>
          <w:szCs w:val="20"/>
          <w:color w:val="auto"/>
        </w:rPr>
      </w:pPr>
      <w:r>
        <w:rPr>
          <w:rFonts w:ascii="Times New Roman" w:cs="Times New Roman" w:eastAsia="Times New Roman" w:hAnsi="Times New Roman"/>
          <w:sz w:val="18"/>
          <w:szCs w:val="18"/>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In addition, our executive officers and the members of our board of directors are prohibited from, directly or indirectly, pledging any of our securities as collateral for any loans and holding our securities in a margin account.</w:t>
      </w:r>
    </w:p>
    <w:p>
      <w:pPr>
        <w:spacing w:after="0" w:line="3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121" w:lineRule="exact"/>
        <w:rPr>
          <w:sz w:val="20"/>
          <w:szCs w:val="20"/>
          <w:color w:val="auto"/>
        </w:rPr>
      </w:pPr>
    </w:p>
    <w:p>
      <w:pPr>
        <w:ind w:left="1300" w:right="1640"/>
        <w:spacing w:after="0" w:line="258" w:lineRule="auto"/>
        <w:rPr>
          <w:sz w:val="20"/>
          <w:szCs w:val="20"/>
          <w:color w:val="auto"/>
        </w:rPr>
      </w:pPr>
      <w:r>
        <w:rPr>
          <w:rFonts w:ascii="Times New Roman" w:cs="Times New Roman" w:eastAsia="Times New Roman" w:hAnsi="Times New Roman"/>
          <w:sz w:val="18"/>
          <w:szCs w:val="18"/>
          <w:color w:val="auto"/>
        </w:rPr>
        <w:t>Our board of directors and the compensation committee do not take material nonpublic information into account when determining the timing and terms of any stock option grant. We have not timed the disclosure of material nonpublic information for the purpose of affecting the value of executive compensation. We have not adopted a formal policy related to timing of awards of stock options in relation to the disclosure of material nonpublic information.</w:t>
      </w:r>
    </w:p>
    <w:p>
      <w:pPr>
        <w:spacing w:after="0" w:line="75" w:lineRule="exact"/>
        <w:rPr>
          <w:sz w:val="20"/>
          <w:szCs w:val="20"/>
          <w:color w:val="auto"/>
        </w:rPr>
      </w:pPr>
    </w:p>
    <w:p>
      <w:pPr>
        <w:ind w:left="1300" w:right="1380"/>
        <w:spacing w:after="0" w:line="254" w:lineRule="auto"/>
        <w:rPr>
          <w:sz w:val="20"/>
          <w:szCs w:val="20"/>
          <w:color w:val="auto"/>
        </w:rPr>
      </w:pPr>
      <w:r>
        <w:rPr>
          <w:rFonts w:ascii="Times New Roman" w:cs="Times New Roman" w:eastAsia="Times New Roman" w:hAnsi="Times New Roman"/>
          <w:sz w:val="18"/>
          <w:szCs w:val="18"/>
          <w:color w:val="auto"/>
        </w:rPr>
        <w:t>The following table presents information regarding stock options issued to our named executive officers in 2025 during any period beginning four business days before the filing of a periodic report or current report disclosing material nonpublic information and ending one business day after the filing or furnishing of such report with the SEC. The following stock option grants were made on the same date that we filed our Annual Report on Form 10-K for the fiscal year ended December 31, 2024 and a Current Report on Form 8-K on March 3, 2025 with the SEC related to Item 2.02 announcing our results of operations and financial condition. Our Annual Report on Form 10-K for the fiscal year ended December 31, 2024 and our Current Report on Form 8-K that we filed with the SEC on March 3, 2025 are not incorporated herein by reference.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the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closing market</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the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 between</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trading day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ending</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nonpublic</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and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trading day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the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nonpublic</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w:t>
            </w:r>
          </w:p>
        </w:tc>
        <w:tc>
          <w:tcPr>
            <w:tcW w:w="1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award</w:t>
            </w:r>
          </w:p>
        </w:tc>
        <w:tc>
          <w:tcPr>
            <w:tcW w:w="2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03/03/2025</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800,000</w:t>
            </w:r>
          </w:p>
        </w:tc>
        <w:tc>
          <w:tcPr>
            <w:tcW w:w="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1.32</w:t>
            </w:r>
          </w:p>
        </w:tc>
        <w:tc>
          <w:tcPr>
            <w:tcW w:w="9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752,320</w:t>
            </w:r>
          </w:p>
        </w:tc>
        <w:tc>
          <w:tcPr>
            <w:tcW w:w="1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(5.84%)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03/03/2025</w:t>
            </w: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w:t>
            </w:r>
          </w:p>
        </w:tc>
        <w:tc>
          <w:tcPr>
            <w:tcW w:w="8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1.32</w:t>
            </w:r>
          </w:p>
        </w:tc>
        <w:tc>
          <w:tcPr>
            <w:tcW w:w="9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282,120</w:t>
            </w:r>
          </w:p>
        </w:tc>
        <w:tc>
          <w:tcPr>
            <w:tcW w:w="12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(5.84%)</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Ticktin</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03/03/2025</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265,000</w:t>
            </w:r>
          </w:p>
        </w:tc>
        <w:tc>
          <w:tcPr>
            <w:tcW w:w="88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1.32</w:t>
            </w:r>
          </w:p>
        </w:tc>
        <w:tc>
          <w:tcPr>
            <w:tcW w:w="92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249,206</w:t>
            </w:r>
          </w:p>
        </w:tc>
        <w:tc>
          <w:tcPr>
            <w:tcW w:w="1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(5.84%)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compensation information for our chief executive officer, referred to below as our PEO, and our other named executive officers, or NEOs, for purposes of comparing their compensation to the value of our shareholders’ investments and our net income (loss), calculated in accordance with SEC regulations, for fiscal years 2025, 2024, and 2023:</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SCT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85"/>
              <w:spacing w:after="0" w:line="129" w:lineRule="exact"/>
              <w:rPr>
                <w:sz w:val="20"/>
                <w:szCs w:val="20"/>
                <w:color w:val="auto"/>
              </w:rPr>
            </w:pPr>
            <w:r>
              <w:rPr>
                <w:rFonts w:ascii="Times New Roman" w:cs="Times New Roman" w:eastAsia="Times New Roman" w:hAnsi="Times New Roman"/>
                <w:sz w:val="14"/>
                <w:szCs w:val="14"/>
                <w:b w:val="1"/>
                <w:bCs w:val="1"/>
                <w:color w:val="auto"/>
              </w:rPr>
              <w:t>Named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Table (“SCT”)</w:t>
            </w: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CAP to</w:t>
            </w: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300" w:type="dxa"/>
            <w:vAlign w:val="bottom"/>
          </w:tcPr>
          <w:p>
            <w:pPr>
              <w:spacing w:after="0"/>
              <w:rPr>
                <w:sz w:val="14"/>
                <w:szCs w:val="14"/>
                <w:color w:val="auto"/>
              </w:rPr>
            </w:pP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 to</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Officers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3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3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PEO</w:t>
            </w:r>
            <w:r>
              <w:rPr>
                <w:rFonts w:ascii="Times New Roman" w:cs="Times New Roman" w:eastAsia="Times New Roman" w:hAnsi="Times New Roman"/>
                <w:sz w:val="11"/>
                <w:szCs w:val="11"/>
                <w:b w:val="1"/>
                <w:bCs w:val="1"/>
                <w:color w:val="auto"/>
                <w:w w:val="96"/>
              </w:rPr>
              <w:t>(1)(2)</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PEO</w:t>
            </w:r>
            <w:r>
              <w:rPr>
                <w:rFonts w:ascii="Times New Roman" w:cs="Times New Roman" w:eastAsia="Times New Roman" w:hAnsi="Times New Roman"/>
                <w:sz w:val="11"/>
                <w:szCs w:val="11"/>
                <w:b w:val="1"/>
                <w:bCs w:val="1"/>
                <w:color w:val="auto"/>
                <w:w w:val="96"/>
              </w:rPr>
              <w:t>(1)(3)</w:t>
            </w:r>
          </w:p>
        </w:tc>
        <w:tc>
          <w:tcPr>
            <w:tcW w:w="300" w:type="dxa"/>
            <w:vAlign w:val="bottom"/>
          </w:tcPr>
          <w:p>
            <w:pPr>
              <w:spacing w:after="0"/>
              <w:rPr>
                <w:sz w:val="18"/>
                <w:szCs w:val="18"/>
                <w:color w:val="auto"/>
              </w:rPr>
            </w:pPr>
          </w:p>
        </w:tc>
        <w:tc>
          <w:tcPr>
            <w:tcW w:w="90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4"/>
              </w:rPr>
              <w:t>(“NEOs”)</w:t>
            </w:r>
            <w:r>
              <w:rPr>
                <w:rFonts w:ascii="Times New Roman" w:cs="Times New Roman" w:eastAsia="Times New Roman" w:hAnsi="Times New Roman"/>
                <w:sz w:val="23"/>
                <w:szCs w:val="23"/>
                <w:b w:val="1"/>
                <w:bCs w:val="1"/>
                <w:color w:val="auto"/>
                <w:w w:val="94"/>
                <w:vertAlign w:val="superscript"/>
              </w:rPr>
              <w:t>(2)(4)</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25"/>
              <w:spacing w:after="0" w:line="216" w:lineRule="exact"/>
              <w:rPr>
                <w:sz w:val="20"/>
                <w:szCs w:val="20"/>
                <w:color w:val="auto"/>
              </w:rPr>
            </w:pPr>
            <w:r>
              <w:rPr>
                <w:rFonts w:ascii="Times New Roman" w:cs="Times New Roman" w:eastAsia="Times New Roman" w:hAnsi="Times New Roman"/>
                <w:sz w:val="25"/>
                <w:szCs w:val="25"/>
                <w:b w:val="1"/>
                <w:bCs w:val="1"/>
                <w:color w:val="auto"/>
                <w:w w:val="93"/>
                <w:vertAlign w:val="subscript"/>
              </w:rPr>
              <w:t>NEOs</w:t>
            </w:r>
            <w:r>
              <w:rPr>
                <w:rFonts w:ascii="Times New Roman" w:cs="Times New Roman" w:eastAsia="Times New Roman" w:hAnsi="Times New Roman"/>
                <w:sz w:val="11"/>
                <w:szCs w:val="11"/>
                <w:b w:val="1"/>
                <w:bCs w:val="1"/>
                <w:color w:val="auto"/>
                <w:w w:val="93"/>
              </w:rPr>
              <w:t>(3)(4)</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(“TSR”)</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0"/>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$1,665,191</w:t>
            </w:r>
          </w:p>
        </w:tc>
        <w:tc>
          <w:tcPr>
            <w:tcW w:w="12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  958,175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898,197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662,535</w:t>
            </w:r>
          </w:p>
        </w:tc>
        <w:tc>
          <w:tcPr>
            <w:tcW w:w="14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$(77,742)</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$4,760,281</w:t>
            </w:r>
          </w:p>
        </w:tc>
        <w:tc>
          <w:tcPr>
            <w:tcW w:w="12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$2,166,091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$1,654,265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$1,011,546</w:t>
            </w:r>
          </w:p>
        </w:tc>
        <w:tc>
          <w:tcPr>
            <w:tcW w:w="14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$ 6.54</w:t>
            </w:r>
          </w:p>
        </w:tc>
        <w:tc>
          <w:tcPr>
            <w:tcW w:w="12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$(58,897)</w:t>
            </w: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$2,209,795</w:t>
            </w:r>
          </w:p>
        </w:tc>
        <w:tc>
          <w:tcPr>
            <w:tcW w:w="12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  513,651</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$1,178,729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399,137</w:t>
            </w:r>
          </w:p>
        </w:tc>
        <w:tc>
          <w:tcPr>
            <w:tcW w:w="14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$13.42</w:t>
            </w:r>
          </w:p>
        </w:tc>
        <w:tc>
          <w:tcPr>
            <w:tcW w:w="12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$(68,960)</w:t>
            </w:r>
          </w:p>
        </w:tc>
        <w:tc>
          <w:tcPr>
            <w:tcW w:w="0" w:type="dxa"/>
            <w:vAlign w:val="bottom"/>
          </w:tcPr>
          <w:p>
            <w:pPr>
              <w:spacing w:after="0"/>
              <w:rPr>
                <w:sz w:val="1"/>
                <w:szCs w:val="1"/>
                <w:color w:val="auto"/>
              </w:rPr>
            </w:pPr>
          </w:p>
        </w:tc>
      </w:tr>
      <w:tr>
        <w:trPr>
          <w:trHeight w:val="54"/>
        </w:trPr>
        <w:tc>
          <w:tcPr>
            <w:tcW w:w="10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89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year shown, the PEO was David H. Mack, Ph.D., our President and Chief Executive Officer. Please see the section titled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for additional information.</w:t>
      </w:r>
    </w:p>
    <w:p>
      <w:pPr>
        <w:ind w:left="640" w:right="45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“Total” column set forth in the SCT. Please see the footnotes to the SCT for further detail regarding the amounts in these columns.</w:t>
      </w:r>
    </w:p>
    <w:p>
      <w:pPr>
        <w:ind w:left="640" w:right="539" w:hanging="348"/>
        <w:spacing w:after="0" w:line="236"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these columns represent the amounts of “compensation actually paid.” The amounts are computed in accordance with Item 402(v) of Regulation S-K by deducting and adding the amounts in the following reconciliation tables from the “Total” column of the SCT (pursuant to SEC rules, fair value at each measurement date is computed in a manner consistent with the fair value methodology used to account for share-based payments in our financial statements under GAAP).</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Non-PEO NEOs reflect the average SCT total compensation and average CAP for the following executives by fiscal year:</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2025: Deepika Jalota, Pharm.D. and Robert Ticktin</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2024: Deepika Jalota, Pharm.D. and Michael Carulli</w:t>
      </w:r>
    </w:p>
    <w:p>
      <w:pPr>
        <w:spacing w:after="0" w:line="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2023: Winston Kung and Deepika Jalota, Pharm.D.</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2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PEO SCT Total to CAP Reconciliation</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SCT Total Compensation</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$1,665,191</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$ 4,760,281</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2,209,795</w:t>
            </w:r>
          </w:p>
        </w:tc>
      </w:tr>
      <w:tr>
        <w:trPr>
          <w:trHeight w:val="284"/>
        </w:trPr>
        <w:tc>
          <w:tcPr>
            <w:tcW w:w="50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SCT Option and Stock Awards</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(3,817,215)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(1,328,712)</w:t>
            </w:r>
          </w:p>
        </w:tc>
      </w:tr>
      <w:tr>
        <w:trPr>
          <w:trHeight w:val="21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 Fair Value of Outstanding and Unvested Equity Awards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8"/>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in the Year</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538,690</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757,593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520,378</w:t>
            </w:r>
          </w:p>
        </w:tc>
      </w:tr>
      <w:tr>
        <w:trPr>
          <w:trHeight w:val="283"/>
        </w:trPr>
        <w:tc>
          <w:tcPr>
            <w:tcW w:w="502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Change in Fair Value of Existing Unvested Equity Awards</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(400,191)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308,858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(714,199)</w:t>
            </w:r>
          </w:p>
        </w:tc>
      </w:tr>
      <w:tr>
        <w:trPr>
          <w:trHeight w:val="24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Vested Equity Awards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(217,769)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(330,487)</w:t>
            </w:r>
          </w:p>
        </w:tc>
      </w:tr>
      <w:tr>
        <w:trPr>
          <w:trHeight w:val="211"/>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Vesting Date of Equity Awards Granted and Vested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1"/>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the Year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161,999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156,876</w:t>
            </w:r>
          </w:p>
        </w:tc>
      </w:tr>
      <w:tr>
        <w:trPr>
          <w:trHeight w:val="23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Actually Paid to PEO</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958,175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$ 2,166,091</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513,651</w:t>
            </w:r>
          </w:p>
        </w:tc>
      </w:tr>
      <w:tr>
        <w:trPr>
          <w:trHeight w:val="54"/>
        </w:trPr>
        <w:tc>
          <w:tcPr>
            <w:tcW w:w="50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fair value of the equity awards to our PEO, as reported in the SCT.</w:t>
      </w:r>
    </w:p>
    <w:p>
      <w:pPr>
        <w:spacing w:after="0" w:line="41"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2024, in connection with the Company offering of a one-time voluntary stock option exchange to its employees, stock options held by our CEO and Non-CEO NEOs were exchanged for new stock options with an exercise price equal to $1.48 per share and a new vesting schedule (“Option Exchange”), with all other terms remaining the same. As there had been no exercises of any of the previous stock options as of the date of the Option Exchange, both vested and unvested options were exchanged 1-for-1 for the new unvested stock options which had a vesting commencement date in September 2024. For purposes of calculating compensation actually paid, shown in the table above, the incremental change in fair value recognized related to the Option Exchange is reflected in this row.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6"/>
        </w:trPr>
        <w:tc>
          <w:tcPr>
            <w:tcW w:w="500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NEOs SCT Total to CAP Reconciliation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15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r>
      <w:tr>
        <w:trPr>
          <w:trHeight w:val="250"/>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SCT Total Compensation</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$ 898,197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$ 1,654,265</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$1,178,729</w:t>
            </w:r>
          </w:p>
        </w:tc>
      </w:tr>
      <w:tr>
        <w:trPr>
          <w:trHeight w:val="283"/>
        </w:trPr>
        <w:tc>
          <w:tcPr>
            <w:tcW w:w="500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SCT Option Awards</w:t>
            </w:r>
            <w:r>
              <w:rPr>
                <w:rFonts w:ascii="Times New Roman" w:cs="Times New Roman" w:eastAsia="Times New Roman" w:hAnsi="Times New Roman"/>
                <w:sz w:val="29"/>
                <w:szCs w:val="29"/>
                <w:color w:val="auto"/>
                <w:vertAlign w:val="superscript"/>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(265,663)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(1,068,682)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(553,630)</w:t>
            </w:r>
          </w:p>
        </w:tc>
      </w:tr>
      <w:tr>
        <w:trPr>
          <w:trHeight w:val="211"/>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 Fair Value of Outstanding and Unvested Equity Awards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8"/>
        </w:trPr>
        <w:tc>
          <w:tcPr>
            <w:tcW w:w="5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in the Year</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190,225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345,034</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153,264</w:t>
            </w:r>
          </w:p>
        </w:tc>
      </w:tr>
      <w:tr>
        <w:trPr>
          <w:trHeight w:val="283"/>
        </w:trPr>
        <w:tc>
          <w:tcPr>
            <w:tcW w:w="500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Change in Fair Value of Existing Unvested Equity Awards</w:t>
            </w:r>
            <w:r>
              <w:rPr>
                <w:rFonts w:ascii="Times New Roman" w:cs="Times New Roman" w:eastAsia="Times New Roman" w:hAnsi="Times New Roman"/>
                <w:sz w:val="29"/>
                <w:szCs w:val="29"/>
                <w:color w:val="auto"/>
                <w:vertAlign w:val="superscript"/>
              </w:rPr>
              <w:t>(2)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(130,610)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41,003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(294,421)</w:t>
            </w:r>
          </w:p>
        </w:tc>
      </w:tr>
      <w:tr>
        <w:trPr>
          <w:trHeight w:val="243"/>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Vested Equity Awards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(27,022)</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(150,170)</w:t>
            </w:r>
          </w:p>
        </w:tc>
      </w:tr>
      <w:tr>
        <w:trPr>
          <w:trHeight w:val="21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as of Vesting Date of Equity Awards Granted and Vested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the Year</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43,990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66,948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65,365</w:t>
            </w:r>
          </w:p>
        </w:tc>
      </w:tr>
      <w:tr>
        <w:trPr>
          <w:trHeight w:val="23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Actually Paid to NEOs</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$ 662,535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$ 1,011,546</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399,137</w:t>
            </w:r>
          </w:p>
        </w:tc>
      </w:tr>
      <w:tr>
        <w:trPr>
          <w:trHeight w:val="54"/>
        </w:trPr>
        <w:tc>
          <w:tcPr>
            <w:tcW w:w="1540" w:type="dxa"/>
            <w:vAlign w:val="bottom"/>
            <w:shd w:val="clear" w:color="auto" w:fill="CCEEFF"/>
          </w:tcPr>
          <w:p>
            <w:pPr>
              <w:spacing w:after="0"/>
              <w:rPr>
                <w:sz w:val="4"/>
                <w:szCs w:val="4"/>
                <w:color w:val="auto"/>
              </w:rPr>
            </w:pPr>
          </w:p>
        </w:tc>
        <w:tc>
          <w:tcPr>
            <w:tcW w:w="34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822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fair value of the equity awards to our NEOs, as reported in the SCT.</w:t>
      </w:r>
    </w:p>
    <w:p>
      <w:pPr>
        <w:spacing w:after="0" w:line="41" w:lineRule="exact"/>
        <w:rPr>
          <w:rFonts w:ascii="Times New Roman" w:cs="Times New Roman" w:eastAsia="Times New Roman" w:hAnsi="Times New Roman"/>
          <w:sz w:val="14"/>
          <w:szCs w:val="14"/>
          <w:color w:val="auto"/>
        </w:rPr>
      </w:pPr>
    </w:p>
    <w:p>
      <w:pPr>
        <w:ind w:left="640" w:right="399" w:hanging="348"/>
        <w:spacing w:after="0" w:line="236"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2024, in connection with the Company offering of a one-time voluntary stock option exchange to its employees, stock options held by our CEO and Non-CEO NEOs were exchanged for new stock options with an exercise price equal to $1.48 per share and a new vesting schedule (“Option Exchange”), with all other terms remaining the same. The incremental change in fair value related to the Option Exchange is reflected within this row.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300" w:right="359"/>
        <w:spacing w:after="0" w:line="236" w:lineRule="auto"/>
        <w:rPr>
          <w:sz w:val="20"/>
          <w:szCs w:val="20"/>
          <w:color w:val="auto"/>
        </w:rPr>
      </w:pPr>
      <w:r>
        <w:rPr>
          <w:rFonts w:ascii="Times New Roman" w:cs="Times New Roman" w:eastAsia="Times New Roman" w:hAnsi="Times New Roman"/>
          <w:sz w:val="14"/>
          <w:szCs w:val="14"/>
          <w:color w:val="auto"/>
        </w:rPr>
        <w:t>The following graphs illustrate the relationship during 2023-2025 of the CAP for our PEO and the average CAP for our other NEOs as calculated pursuant to SEC rules to (i) our total shareholder return (“TSR”) and (ii) our net income (loss) (each as set forth in the table above). Note that we do not utilize TSR or net income (loss) in our executive compensation program; however, we do utilize several other performance measures to align executive compensation with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289560</wp:posOffset>
            </wp:positionV>
            <wp:extent cx="4551680" cy="2948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5168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320040</wp:posOffset>
            </wp:positionV>
            <wp:extent cx="4517390" cy="29146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1739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119"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into any filing of PMV Pharmaceuticals under the Securities Act of 1933, as amended (the “Securities Act”), or the Exchange Act, whether made before or after the date hereof and irrespective of any general incorporation language in any such filing, except to the extent we specifically incorporate such information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2025. Information is included for equity compensation plans approved by our stockholders. We do not have any equity compensation plans not approved by our stockholders.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(b) Weighted-</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90"/>
        </w:trPr>
        <w:tc>
          <w:tcPr>
            <w:tcW w:w="4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23"/>
        </w:trPr>
        <w:tc>
          <w:tcPr>
            <w:tcW w:w="4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ind w:right="233"/>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36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i w:val="1"/>
                <w:iCs w:val="1"/>
                <w:color w:val="auto"/>
              </w:rPr>
              <w:t>2013 Equity Incentive Plan</w:t>
            </w:r>
            <w:r>
              <w:rPr>
                <w:rFonts w:ascii="Times New Roman" w:cs="Times New Roman" w:eastAsia="Times New Roman" w:hAnsi="Times New Roman"/>
                <w:sz w:val="29"/>
                <w:szCs w:val="29"/>
                <w:i w:val="1"/>
                <w:iCs w:val="1"/>
                <w:color w:val="auto"/>
                <w:vertAlign w:val="superscript"/>
              </w:rPr>
              <w:t>(1)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1,756,983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78"/>
              </w:rPr>
              <w:t>   3.75</w:t>
            </w:r>
          </w:p>
        </w:tc>
        <w:tc>
          <w:tcPr>
            <w:tcW w:w="240" w:type="dxa"/>
            <w:vAlign w:val="bottom"/>
          </w:tcPr>
          <w:p>
            <w:pPr>
              <w:spacing w:after="0"/>
              <w:rPr>
                <w:sz w:val="24"/>
                <w:szCs w:val="24"/>
                <w:color w:val="auto"/>
              </w:rPr>
            </w:pPr>
          </w:p>
        </w:tc>
        <w:tc>
          <w:tcPr>
            <w:tcW w:w="1340" w:type="dxa"/>
            <w:vAlign w:val="bottom"/>
          </w:tcPr>
          <w:p>
            <w:pPr>
              <w:jc w:val="right"/>
              <w:ind w:right="44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36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i w:val="1"/>
                <w:iCs w:val="1"/>
                <w:color w:val="auto"/>
              </w:rPr>
              <w:t>2020 Equity Incentive Plan</w:t>
            </w:r>
            <w:r>
              <w:rPr>
                <w:rFonts w:ascii="Times New Roman" w:cs="Times New Roman" w:eastAsia="Times New Roman" w:hAnsi="Times New Roman"/>
                <w:sz w:val="29"/>
                <w:szCs w:val="29"/>
                <w:i w:val="1"/>
                <w:iCs w:val="1"/>
                <w:color w:val="auto"/>
                <w:vertAlign w:val="superscript"/>
              </w:rPr>
              <w:t>(2)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10,233,705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2.20</w:t>
            </w:r>
          </w:p>
        </w:tc>
        <w:tc>
          <w:tcPr>
            <w:tcW w:w="158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color w:val="auto"/>
              </w:rPr>
              <w:t>4,338,125</w:t>
            </w:r>
          </w:p>
        </w:tc>
        <w:tc>
          <w:tcPr>
            <w:tcW w:w="0" w:type="dxa"/>
            <w:vAlign w:val="bottom"/>
          </w:tcPr>
          <w:p>
            <w:pPr>
              <w:spacing w:after="0"/>
              <w:rPr>
                <w:sz w:val="1"/>
                <w:szCs w:val="1"/>
                <w:color w:val="auto"/>
              </w:rPr>
            </w:pPr>
          </w:p>
        </w:tc>
      </w:tr>
      <w:tr>
        <w:trPr>
          <w:trHeight w:val="283"/>
        </w:trPr>
        <w:tc>
          <w:tcPr>
            <w:tcW w:w="436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i w:val="1"/>
                <w:iCs w:val="1"/>
                <w:color w:val="auto"/>
              </w:rPr>
              <w:t>2020 Employee Stock Purchase Plan</w:t>
            </w:r>
            <w:r>
              <w:rPr>
                <w:rFonts w:ascii="Times New Roman" w:cs="Times New Roman" w:eastAsia="Times New Roman" w:hAnsi="Times New Roman"/>
                <w:sz w:val="29"/>
                <w:szCs w:val="29"/>
                <w:i w:val="1"/>
                <w:iCs w:val="1"/>
                <w:color w:val="auto"/>
                <w:vertAlign w:val="superscript"/>
              </w:rPr>
              <w:t>(3)</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2"/>
          </w:tcPr>
          <w:p>
            <w:pPr>
              <w:jc w:val="right"/>
              <w:ind w:right="244"/>
              <w:spacing w:after="0"/>
              <w:rPr>
                <w:sz w:val="20"/>
                <w:szCs w:val="20"/>
                <w:color w:val="auto"/>
              </w:rPr>
            </w:pPr>
            <w:r>
              <w:rPr>
                <w:rFonts w:ascii="Times New Roman" w:cs="Times New Roman" w:eastAsia="Times New Roman" w:hAnsi="Times New Roman"/>
                <w:sz w:val="18"/>
                <w:szCs w:val="18"/>
                <w:color w:val="auto"/>
              </w:rPr>
              <w:t>1,162,196</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Equity compensation plans not approved by security holders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ind w:right="233"/>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11,990,688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2.43</w:t>
            </w:r>
          </w:p>
        </w:tc>
        <w:tc>
          <w:tcPr>
            <w:tcW w:w="1580" w:type="dxa"/>
            <w:vAlign w:val="bottom"/>
            <w:gridSpan w:val="2"/>
          </w:tcPr>
          <w:p>
            <w:pPr>
              <w:jc w:val="right"/>
              <w:ind w:right="244"/>
              <w:spacing w:after="0"/>
              <w:rPr>
                <w:sz w:val="20"/>
                <w:szCs w:val="20"/>
                <w:color w:val="auto"/>
              </w:rPr>
            </w:pPr>
            <w:r>
              <w:rPr>
                <w:rFonts w:ascii="Times New Roman" w:cs="Times New Roman" w:eastAsia="Times New Roman" w:hAnsi="Times New Roman"/>
                <w:sz w:val="18"/>
                <w:szCs w:val="18"/>
                <w:color w:val="auto"/>
              </w:rPr>
              <w:t>5,500,321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jc w:val="both"/>
        <w:ind w:left="640" w:right="419" w:hanging="348"/>
        <w:spacing w:after="0" w:line="236"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adopted, and our stockholders approved, the 2013 Plan. As a result of our initial public offering and the adoption of the 2020 Plan, we no longer grant awards under the 2013 Plan; however, all outstanding options issued pursuant to the 2013 Plan continue to be governed by their existing terms. To the extent that any such awards are forfeited or lapse unexercised or are repurchased, the shares of common stock subject to such awards will become available for issuance under the 2020 Plan.</w:t>
      </w:r>
    </w:p>
    <w:p>
      <w:pPr>
        <w:spacing w:after="0" w:line="14"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Plan provides that the number of shares available for issuance under the 2020 Plan will be increased on the first day of each fiscal year in an amount equal to the least of (i) 4,406,374 shares, (ii) five percent (5%) of the outstanding shares of common stock on the last day of the immediately preceding fiscal year or (iii) such other amount as our board of directors or any of its committees as will be administering the 2020 Plan may determine. On January 1, 2026, the number of shares of our common stock available for issuance under our 2020 Plan increased by 2,666,470 shares pursuant to these provisions. This increase is not reflected in the table above.</w:t>
      </w:r>
    </w:p>
    <w:p>
      <w:pPr>
        <w:spacing w:after="0" w:line="15" w:lineRule="exact"/>
        <w:rPr>
          <w:rFonts w:ascii="Times New Roman" w:cs="Times New Roman" w:eastAsia="Times New Roman" w:hAnsi="Times New Roman"/>
          <w:sz w:val="14"/>
          <w:szCs w:val="14"/>
          <w:color w:val="auto"/>
        </w:rPr>
      </w:pPr>
    </w:p>
    <w:p>
      <w:pPr>
        <w:ind w:left="640" w:right="479" w:hanging="348"/>
        <w:spacing w:after="0" w:line="229"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ESPP provides that the number of shares available for issuance under the 2020 ESPP will be increased on the first day of each fiscal year in an amount equal to the least of (i) 4,220,000 shares, (ii) one percent (1%) of the outstanding shares of common stock on the last day of the immediately preceding fiscal year or (iii) such other amount as may be determined by our board of directors or any of its committees as will be administering the 2020 ESPP may determine. In May 2024, we amended our 2020 ESPP to increase the maximum number of shares that each Eligible Employee (as defined in the 2020 ESPP) may be permitted to purchase in an Offering Period (as defined in the 2020 ESPP) to 25,000 shares. The number of shares available for issuance under our 2020 ESPP was not increased for the fiscal year ending December 31, 2026.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SHARES OF COMMON STOCK</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7, 2026 for:</w:t>
      </w:r>
    </w:p>
    <w:p>
      <w:pPr>
        <w:spacing w:after="0" w:line="54"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5% or more of the outstanding shares of our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w:t>
      </w:r>
    </w:p>
    <w:p>
      <w:pPr>
        <w:spacing w:after="0" w:line="65"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Applicable percentage ownership is based on 53,329,392 shares of common stock outstanding as of April 7, 2026. In computing the number of shares of common stock beneficially owned by a person or entity and the percentage ownership of such person or entity, we deemed to be outstanding (i) all shares of common stock subject to options held by the person that are currently exercisable or exercisable within 60 days of April 7, 2026 and (ii) all shares underlying restricted stock units vesting within 60 days of April 7, 2026. However, we did not deem such shares outstanding for the purpose of computing the percentage ownership of any other person.</w:t>
      </w:r>
    </w:p>
    <w:p>
      <w:pPr>
        <w:spacing w:after="0" w:line="79" w:lineRule="exact"/>
        <w:rPr>
          <w:sz w:val="20"/>
          <w:szCs w:val="20"/>
          <w:color w:val="auto"/>
        </w:rPr>
      </w:pPr>
    </w:p>
    <w:p>
      <w:pPr>
        <w:ind w:left="300" w:right="1439"/>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PMV Pharmaceuticals, Inc., 400 Alexander Park Drive, Suite 301, Princeton, New Jersey 08540.</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23"/>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w:t>
            </w: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80" w:type="dxa"/>
            <w:vAlign w:val="bottom"/>
            <w:gridSpan w:val="2"/>
            <w:vMerge w:val="continue"/>
          </w:tcPr>
          <w:p>
            <w:pPr>
              <w:spacing w:after="0"/>
              <w:rPr>
                <w:sz w:val="16"/>
                <w:szCs w:val="16"/>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Greater than 5% Stockholders:</w:t>
            </w: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BML Investment Partners, L.P.</w:t>
            </w:r>
            <w:r>
              <w:rPr>
                <w:rFonts w:ascii="Times New Roman" w:cs="Times New Roman" w:eastAsia="Times New Roman" w:hAnsi="Times New Roman"/>
                <w:sz w:val="29"/>
                <w:szCs w:val="29"/>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83"/>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Tang Capital Management, LLC</w:t>
            </w:r>
            <w:r>
              <w:rPr>
                <w:rFonts w:ascii="Times New Roman" w:cs="Times New Roman" w:eastAsia="Times New Roman" w:hAnsi="Times New Roman"/>
                <w:sz w:val="29"/>
                <w:szCs w:val="29"/>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4,720,357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84"/>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ArrowMark Colorado Holdings, LLC</w:t>
            </w:r>
            <w:r>
              <w:rPr>
                <w:rFonts w:ascii="Times New Roman" w:cs="Times New Roman" w:eastAsia="Times New Roman" w:hAnsi="Times New Roman"/>
                <w:sz w:val="29"/>
                <w:szCs w:val="29"/>
                <w:color w:val="auto"/>
                <w:vertAlign w:val="superscript"/>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3,090,093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43"/>
        </w:trPr>
        <w:tc>
          <w:tcPr>
            <w:tcW w:w="6580" w:type="dxa"/>
            <w:vAlign w:val="bottom"/>
            <w:gridSpan w:val="2"/>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580" w:type="dxa"/>
            <w:vAlign w:val="bottom"/>
            <w:gridSpan w:val="2"/>
            <w:shd w:val="clear" w:color="auto" w:fill="CCEEFF"/>
          </w:tcPr>
          <w:p>
            <w:pPr>
              <w:spacing w:after="0" w:line="285" w:lineRule="exact"/>
              <w:rPr>
                <w:sz w:val="20"/>
                <w:szCs w:val="20"/>
                <w:color w:val="auto"/>
              </w:rPr>
            </w:pPr>
            <w:r>
              <w:rPr>
                <w:rFonts w:ascii="Times New Roman" w:cs="Times New Roman" w:eastAsia="Times New Roman" w:hAnsi="Times New Roman"/>
                <w:sz w:val="18"/>
                <w:szCs w:val="18"/>
                <w:color w:val="auto"/>
              </w:rPr>
              <w:t>David H. Mack, Ph.D.</w:t>
            </w:r>
            <w:r>
              <w:rPr>
                <w:rFonts w:ascii="Times New Roman" w:cs="Times New Roman" w:eastAsia="Times New Roman" w:hAnsi="Times New Roman"/>
                <w:sz w:val="29"/>
                <w:szCs w:val="29"/>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2,786,651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84"/>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Deepika Jalota, Pharm.D.</w:t>
            </w:r>
            <w:r>
              <w:rPr>
                <w:rFonts w:ascii="Times New Roman" w:cs="Times New Roman" w:eastAsia="Times New Roman" w:hAnsi="Times New Roman"/>
                <w:sz w:val="29"/>
                <w:szCs w:val="29"/>
                <w:color w:val="auto"/>
                <w:vertAlign w:val="superscript"/>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83"/>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Charles M. Baum, M.D., Ph.D.</w:t>
            </w:r>
            <w:r>
              <w:rPr>
                <w:rFonts w:ascii="Times New Roman" w:cs="Times New Roman" w:eastAsia="Times New Roman" w:hAnsi="Times New Roman"/>
                <w:sz w:val="29"/>
                <w:szCs w:val="29"/>
                <w:color w:val="auto"/>
                <w:vertAlign w:val="superscript"/>
              </w:rPr>
              <w:t>(6)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172,838</w:t>
            </w: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Kirsten Flowers</w:t>
            </w:r>
            <w:r>
              <w:rPr>
                <w:rFonts w:ascii="Times New Roman" w:cs="Times New Roman" w:eastAsia="Times New Roman" w:hAnsi="Times New Roman"/>
                <w:sz w:val="29"/>
                <w:szCs w:val="29"/>
                <w:color w:val="auto"/>
                <w:vertAlign w:val="superscript"/>
              </w:rPr>
              <w:t>(7)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159,667</w:t>
            </w: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Carol Gallagher, Pharm.D.</w:t>
            </w:r>
            <w:r>
              <w:rPr>
                <w:rFonts w:ascii="Times New Roman" w:cs="Times New Roman" w:eastAsia="Times New Roman" w:hAnsi="Times New Roman"/>
                <w:sz w:val="29"/>
                <w:szCs w:val="29"/>
                <w:color w:val="auto"/>
                <w:vertAlign w:val="superscript"/>
              </w:rPr>
              <w:t>(8)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146,500</w:t>
            </w: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Richard Heyman, Ph.D.</w:t>
            </w:r>
            <w:r>
              <w:rPr>
                <w:rFonts w:ascii="Times New Roman" w:cs="Times New Roman" w:eastAsia="Times New Roman" w:hAnsi="Times New Roman"/>
                <w:sz w:val="29"/>
                <w:szCs w:val="29"/>
                <w:color w:val="auto"/>
                <w:vertAlign w:val="superscript"/>
              </w:rPr>
              <w:t>(9)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389,258</w:t>
            </w: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Arnold Levine, Ph.D.</w:t>
            </w:r>
            <w:r>
              <w:rPr>
                <w:rFonts w:ascii="Times New Roman" w:cs="Times New Roman" w:eastAsia="Times New Roman" w:hAnsi="Times New Roman"/>
                <w:sz w:val="29"/>
                <w:szCs w:val="29"/>
                <w:color w:val="auto"/>
                <w:vertAlign w:val="superscript"/>
              </w:rPr>
              <w:t>(10)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558,956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84"/>
        </w:trPr>
        <w:tc>
          <w:tcPr>
            <w:tcW w:w="65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Laurie Stelzer</w:t>
            </w:r>
            <w:r>
              <w:rPr>
                <w:rFonts w:ascii="Times New Roman" w:cs="Times New Roman" w:eastAsia="Times New Roman" w:hAnsi="Times New Roman"/>
                <w:sz w:val="29"/>
                <w:szCs w:val="29"/>
                <w:color w:val="auto"/>
                <w:vertAlign w:val="superscript"/>
              </w:rPr>
              <w:t>(11)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8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Robert Ticktin</w:t>
            </w:r>
            <w:r>
              <w:rPr>
                <w:rFonts w:ascii="Times New Roman" w:cs="Times New Roman" w:eastAsia="Times New Roman" w:hAnsi="Times New Roman"/>
                <w:sz w:val="29"/>
                <w:szCs w:val="29"/>
                <w:color w:val="auto"/>
                <w:vertAlign w:val="superscript"/>
              </w:rPr>
              <w:t>(12)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508,503</w:t>
            </w: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(10 persons)</w:t>
            </w:r>
            <w:r>
              <w:rPr>
                <w:rFonts w:ascii="Times New Roman" w:cs="Times New Roman" w:eastAsia="Times New Roman" w:hAnsi="Times New Roman"/>
                <w:sz w:val="29"/>
                <w:szCs w:val="29"/>
                <w:color w:val="auto"/>
                <w:vertAlign w:val="superscript"/>
              </w:rPr>
              <w:t>(13)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5,821,355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ind w:left="640" w:hanging="348"/>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42" w:lineRule="exact"/>
        <w:rPr>
          <w:sz w:val="20"/>
          <w:szCs w:val="20"/>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February 9, 2026, consists of 5,292,000 shares held by BML Investment Partners,</w:t>
      </w:r>
    </w:p>
    <w:p>
      <w:pPr>
        <w:spacing w:after="0" w:line="3" w:lineRule="exact"/>
        <w:rPr>
          <w:rFonts w:ascii="Times New Roman" w:cs="Times New Roman" w:eastAsia="Times New Roman" w:hAnsi="Times New Roman"/>
          <w:sz w:val="14"/>
          <w:szCs w:val="14"/>
          <w:color w:val="auto"/>
        </w:rPr>
      </w:pPr>
    </w:p>
    <w:p>
      <w:pPr>
        <w:ind w:left="640" w:right="379"/>
        <w:spacing w:after="0" w:line="22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L.P. (“BML”). BML has the shared power to vote or to direct the vote of 5,292,000 shares and has the shared power to dispose or to direct the disposition of 5,292,000 shares. BML is a Delaware limited partnership whose sole general partner is BML Capital Management, LLC. The managing member of BML Capital Management, LLC is Braden M. Leonard. As a result, Braden M. Leonard is deemed to be the indirect owner of the shares held directly by BML. Despite such shared beneficial ownership, such owners disclaim that they constitute a statutory group within the meaning of Rule 13d-5(b)(1) of the Exchange Act. The address of each of BML, BML Capital Management, LLC and Braden M. Leonard is 65 E Cedar, Suite 2, Zionsville, Indiana 46077.</w:t>
      </w:r>
    </w:p>
    <w:p>
      <w:pPr>
        <w:spacing w:after="0" w:line="15" w:lineRule="exact"/>
        <w:rPr>
          <w:rFonts w:ascii="Times New Roman" w:cs="Times New Roman" w:eastAsia="Times New Roman" w:hAnsi="Times New Roman"/>
          <w:sz w:val="14"/>
          <w:szCs w:val="14"/>
          <w:color w:val="auto"/>
        </w:rPr>
      </w:pPr>
    </w:p>
    <w:p>
      <w:pPr>
        <w:ind w:left="640" w:right="45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September 23, 2025, consists of (i) 2,654,728 shares held by Tang Capital Partners, LP (“TCP”) and (ii) 2,065,629 shares held by Tang Capital Partners International, LP (“TCPI”). Tang Capital Management, LLC (“TCM”) is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right="299"/>
        <w:spacing w:after="0" w:line="236" w:lineRule="auto"/>
        <w:rPr>
          <w:sz w:val="20"/>
          <w:szCs w:val="20"/>
          <w:color w:val="auto"/>
        </w:rPr>
      </w:pPr>
      <w:r>
        <w:rPr>
          <w:rFonts w:ascii="Times New Roman" w:cs="Times New Roman" w:eastAsia="Times New Roman" w:hAnsi="Times New Roman"/>
          <w:sz w:val="14"/>
          <w:szCs w:val="14"/>
          <w:color w:val="auto"/>
        </w:rPr>
        <w:t>the general partner of TCP and TCPI. Kevin Tang is the manager of TCM and Chief Executive Officer of TCP and TCPI. Each of TCM and Mr. Tang may be deemed to have shared voting power and shared dispositive power over such shares held by TCP and TCPI, and thus may be deemed to beneficially own such shares of TCP and TCPI. The address of TCM, Mr. Tang, TCP and TCPI is 4747 Executive Drive, Suite 210, San Diego, CA 92121.</w:t>
      </w:r>
    </w:p>
    <w:p>
      <w:pPr>
        <w:spacing w:after="0" w:line="15" w:lineRule="exact"/>
        <w:rPr>
          <w:sz w:val="20"/>
          <w:szCs w:val="20"/>
          <w:color w:val="auto"/>
        </w:rPr>
      </w:pPr>
    </w:p>
    <w:p>
      <w:pPr>
        <w:ind w:left="640" w:right="31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February 17, 2026, consists of 3,090,093 shares held by ArrowMark Colorado Holdings, LLC (“ArrowMark”). ArrowMark has the sole power to vote or to direct the vote of 3,090,093 shares and has the sole power to dispose or to direct the disposition of 3,090,093 shares. The address of ArrowMark is 100 Fillmore Street, Suite 325, Denver, Colorado 80206.</w:t>
      </w:r>
    </w:p>
    <w:p>
      <w:pPr>
        <w:spacing w:after="0" w:line="14" w:lineRule="exact"/>
        <w:rPr>
          <w:rFonts w:ascii="Times New Roman" w:cs="Times New Roman" w:eastAsia="Times New Roman" w:hAnsi="Times New Roman"/>
          <w:sz w:val="14"/>
          <w:szCs w:val="14"/>
          <w:color w:val="auto"/>
        </w:rPr>
      </w:pPr>
    </w:p>
    <w:p>
      <w:pPr>
        <w:ind w:left="640" w:right="459" w:hanging="348"/>
        <w:spacing w:after="0" w:line="229"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453,582 shares of common stock held by The Mack-Mulligan Revocable Trust, of which Dr. Mack’s descendants are beneficiaries, (ii) 56,978 shares of common stock held by The Mack/Mulligan 2020 Irrevocable Descendants’ Trust, of which Dr. Mack’s descendants are beneficiaries, (iii) 165,307 shares of common stock held by Stinson 2021 Irrevocable Trust, of which Dr. Mack’s spouse and descendants are beneficiaries, (iv) 451,109 shares of common stock held directly by Dr. Mack and (v) 1,659,675 shares of common stock issuable pursuant to options held directly by Dr. Mack, exercisable within 60 days of April 7, 2026. Dr. Mack disclaims beneficial ownership of all shares relating to The Mack-Mulligan Revocable Trust, The Mack/Mulligan 2020 Irrevocable Descendants’ Trust and Stinson 2021 Irrevocable Trust except to the extent of any pecuniary interest therein.</w:t>
      </w:r>
    </w:p>
    <w:p>
      <w:pPr>
        <w:spacing w:after="0" w:line="18"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89,959 shares of common stock held directly by Dr. Jalota and (ii) 460,750 shares of common stock issuable pursuant to options held directly by Dr. Jalota, exercisable within 60 days of April 7, 2026.</w:t>
      </w:r>
    </w:p>
    <w:p>
      <w:pPr>
        <w:ind w:left="640" w:right="37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172,838 shares of common stock issuable pursuant to options held directly by Dr. Baum, exercisable within 60 days of April 7, 2026.</w:t>
      </w:r>
    </w:p>
    <w:p>
      <w:pPr>
        <w:ind w:left="640" w:right="69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159,667 shares of common stock issuable pursuant to options held directly by Ms. Flowers, exercisable within 60 days of April 7, 2026.</w:t>
      </w:r>
    </w:p>
    <w:p>
      <w:pPr>
        <w:ind w:left="640" w:right="51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146,500 shares of common stock issuable pursuant to options held directly by The Gallagher Revocable Trust dated May 10, 2011, for which Carol Gallagher, Pharm.D. serves as a trustee, exercisable within 60 days of April 7, 2026.</w:t>
      </w:r>
    </w:p>
    <w:p>
      <w:pPr>
        <w:ind w:left="640" w:right="559" w:hanging="348"/>
        <w:spacing w:after="0" w:line="229"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349,060 shares of common stock issuable pursuant to options held directly by Dr. Heyman, exercisable within 60 days of April 7, 2026; (ii) 20,098 shares of common stock issuable pursuant to options held by Paul L. Vogel as trustee of the Heyman Family 2020 Irrevocable Trust, of which Dr. Heyman’s immediate family are beneficiaries, exercisable within 60 days of April 7, 2026;</w:t>
      </w:r>
    </w:p>
    <w:p>
      <w:pPr>
        <w:ind w:left="640" w:right="419" w:firstLine="3"/>
        <w:spacing w:after="0" w:line="221" w:lineRule="auto"/>
        <w:tabs>
          <w:tab w:leader="none" w:pos="892"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10,050 shares of common stock issuable pursuant to options held by Paul L. Vogel as trustee of the Julia E. Heyman 2016 Irrevocable Trust, of which Dr. Heyman’s daughter and descendants are beneficiaries, exercisable within 60 days of April 7, 2026; and</w:t>
      </w:r>
    </w:p>
    <w:p>
      <w:pPr>
        <w:ind w:left="640" w:right="419" w:firstLine="3"/>
        <w:spacing w:after="0" w:line="239" w:lineRule="auto"/>
        <w:tabs>
          <w:tab w:leader="none" w:pos="884"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10,050 shares of common stock issuable pursuant to options held by Paul L. Vogel as trustee of the Scott Z. Heyman 2016 Irrevocable Trust, of which Dr. Heyman’s son and descendants are beneficiaries, exercisable within 60 days of April 7, 2026.</w:t>
      </w:r>
    </w:p>
    <w:p>
      <w:pPr>
        <w:spacing w:after="0" w:line="14"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409,842 shares of common stock held directly by Dr. Levine and (ii) 149,114 shares of common stock issuable pursuant to options held directly by Dr. Levine, exercisable within 60 days of April 7, 2026.</w:t>
      </w:r>
    </w:p>
    <w:p>
      <w:pPr>
        <w:ind w:left="640" w:right="77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176,000 shares of common stock issuable pursuant to options held directly by Ms. Stelzer, exercisable within 60 days of April 7, 2026.</w:t>
      </w:r>
    </w:p>
    <w:p>
      <w:pPr>
        <w:ind w:left="640" w:right="49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98,695 shares of common stock held directly by Mr. Ticktin and (ii) 409,808 shares of common stock issuable pursuant to options held directly by Mr. Ticktin, exercisable within 60 days of April 7, 2026.</w:t>
      </w:r>
    </w:p>
    <w:p>
      <w:pPr>
        <w:ind w:left="640"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1,799,320 shares of common stock beneficially owned by our current executive officers and directors as of April 7, 2026 and</w:t>
      </w:r>
    </w:p>
    <w:p>
      <w:pPr>
        <w:spacing w:after="0" w:line="3" w:lineRule="exact"/>
        <w:rPr>
          <w:rFonts w:ascii="Times New Roman" w:cs="Times New Roman" w:eastAsia="Times New Roman" w:hAnsi="Times New Roman"/>
          <w:sz w:val="14"/>
          <w:szCs w:val="14"/>
          <w:color w:val="auto"/>
        </w:rPr>
      </w:pPr>
    </w:p>
    <w:p>
      <w:pPr>
        <w:ind w:left="640" w:right="659" w:firstLine="3"/>
        <w:spacing w:after="0" w:line="239" w:lineRule="auto"/>
        <w:tabs>
          <w:tab w:leader="none" w:pos="852"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4,022,035 shares of common stock issuable pursuant to options beneficially owned by our current executive officers and directors, exercisable within 60 days of April 7, 2026.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and executive officers, and persons who own more than 10% of our common stock, file reports of ownership and changes in ownership with the SEC. Such persons are required by SEC regulations to furnish us with copies of all Section 16(a) forms filed by such persons.</w:t>
      </w:r>
    </w:p>
    <w:p>
      <w:pPr>
        <w:spacing w:after="0" w:line="68"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To our knowledge, no person who, during the fiscal year ended December 31, 2025, was a director or officer of the Company, or beneficial owner of more than ten percent of our common stock (which is the only class of securities registered under Section 12 of the Securities Act), failed to file on a timely basis reports required by Section 16 of the Exchange Act during such fiscal year.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Transactions Policy</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We have adopted a formal written policy providing that we are not permitted to enter into any transaction that exceeds $120,000 and in which any related person has a direct or indirect material interest without the consent of our audit committee. 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Prior to our initial public offering, we did not have a written policy for the review, approval or ratification of transactions with related parties.</w:t>
      </w:r>
    </w:p>
    <w:p>
      <w:pPr>
        <w:spacing w:after="0" w:line="82"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w:t>
      </w:r>
    </w:p>
    <w:p>
      <w:pPr>
        <w:spacing w:after="0" w:line="5" w:lineRule="exact"/>
        <w:rPr>
          <w:sz w:val="20"/>
          <w:szCs w:val="20"/>
          <w:color w:val="auto"/>
        </w:rPr>
      </w:pPr>
    </w:p>
    <w:p>
      <w:pPr>
        <w:ind w:left="300" w:right="799" w:hanging="8"/>
        <w:spacing w:after="0" w:line="260" w:lineRule="auto"/>
        <w:tabs>
          <w:tab w:leader="none" w:pos="5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present an improper conflict of interest for any of our directors or executive officers.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 and Relationships with Directors, Officers and 5% Stockholders</w:t>
      </w:r>
    </w:p>
    <w:p>
      <w:pPr>
        <w:spacing w:after="0" w:line="121"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including employment, termination of employment and change in control arrangements, with our directors and executive officers, the following is a description of each transaction since January 1, 2024, to which we were a party, in which:</w:t>
      </w:r>
    </w:p>
    <w:p>
      <w:pPr>
        <w:spacing w:after="0" w:line="68"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nominees for director, executive officers or beneficial holders of more than 5% of any class of our outstanding capital stock, or any immediate family member of, or person sharing the household with, any of these individuals or entities, had or will have a direct or indirect material interest.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Arnold Levine, Ph.D.</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Arnold Levine, Ph.D., one of our co-founders and a member of our board of directors, serves on our SAB, as well as provides us with additional consulting and advisory services. Dr. Levine receives an annual cash payment of $100,000 for his consulting and advisory services.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Scientific Advisory Board - Richard Heyman, Ph.D.</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Richard Heyman, Ph.D., chairperson of our board of directors, serves on our SAB. Effective as of September 2021, Dr. Heyman waived his rights for any SAB compensation he is otherwise entitled to receive from us for his SAB service.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Charles M. Baum, M.D., Ph.D.</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Charles M. Baum M.D., Ph.D., a member of our board of directors, previously provided us with senior clinical advisory services, including Dr. Baum’s services as chairperson of our clinical advisory board (“CAB”), under a consulting agreement which commenced in February 2024 and was terminated in January 2026. Dr. Baum received an annual cash payment of $100,000 for those senior clinical advisory services (the “Prior Baum Consulting Agreement”).</w:t>
      </w:r>
    </w:p>
    <w:p>
      <w:pPr>
        <w:spacing w:after="0" w:line="75"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In January 2026, both we and Dr. Baum agreed to terminate the Prior Baum Consulting Agreement and enter into our standard CAB consulting agreement which became effective as of January 2026, pursuant to which Dr. Baum agreed to continue to serve as chairperson of our CAB (the “Baum CAB Agreement”). Dr. Baum receives an annual cash payment of $20,000 for his services pursuant to the Baum CAB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72"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are empowered to purchase insurance on behalf of any person whom we are required or permitted to indemnify.</w:t>
      </w:r>
    </w:p>
    <w:p>
      <w:pPr>
        <w:spacing w:after="0" w:line="8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7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III DIRECTORS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 of Directors; Board Structure</w:t>
      </w:r>
    </w:p>
    <w:p>
      <w:pPr>
        <w:spacing w:after="0" w:line="121" w:lineRule="exact"/>
        <w:rPr>
          <w:sz w:val="20"/>
          <w:szCs w:val="20"/>
          <w:color w:val="auto"/>
        </w:rPr>
      </w:pPr>
    </w:p>
    <w:p>
      <w:pPr>
        <w:ind w:left="300" w:right="379"/>
        <w:spacing w:after="0" w:line="289" w:lineRule="auto"/>
        <w:rPr>
          <w:sz w:val="20"/>
          <w:szCs w:val="20"/>
          <w:color w:val="auto"/>
        </w:rPr>
      </w:pPr>
      <w:r>
        <w:rPr>
          <w:rFonts w:ascii="Times New Roman" w:cs="Times New Roman" w:eastAsia="Times New Roman" w:hAnsi="Times New Roman"/>
          <w:sz w:val="17"/>
          <w:szCs w:val="17"/>
          <w:color w:val="auto"/>
        </w:rPr>
        <w:t>Our board of directors currently consists of seven members. Our directors are divided into three classes serving staggered three year terms. Upon expiration of the term of a class of directors, directors in that class will be eligible to be elected for a new three year term at the annual meeting of stockholders in the year in which their term expires.</w:t>
      </w:r>
    </w:p>
    <w:p>
      <w:pPr>
        <w:spacing w:after="0" w:line="50"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terms of the Class III directors, David H. Mack, Ph.D., Richard Heyman, Ph.D. and Laurie Stelzer, expire at the Annual Meeting. The Class II directors will serve until our annual meeting of stockholders in 2028. The Class I directors will serve until our annual meeting of stockholders in 2027.</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our board of directors has approved, David H. Mack, Ph.D. and Laurie Stelzer as nominees for election as Class III directors at the Annual Meeting. If elected, each of David H. Mack and Laurie Stelzer will serve as a Class III director until the 2029 annual meeting of stockholders and until their respective successor is elected and qualified or until their earlier death, resignation or removal. For more information concerning the nominees, please see the section titled “</w:t>
      </w:r>
      <w:r>
        <w:rPr>
          <w:rFonts w:ascii="Times New Roman" w:cs="Times New Roman" w:eastAsia="Times New Roman" w:hAnsi="Times New Roman"/>
          <w:sz w:val="18"/>
          <w:szCs w:val="18"/>
          <w:i w:val="1"/>
          <w:iCs w:val="1"/>
          <w:color w:val="auto"/>
        </w:rPr>
        <w:t>Board of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David H. Mack, Ph.D. and Laurie Stelzer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Each director is elected by a plurality of the voting power of the shares present in person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“FOR” THE ELECTION OF EACH OF THE DIRECTOR NOMINEES NAMED ABOVE.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THE COMPENSATION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NAMED EXECUTIVE OFFICERS</w:t>
      </w:r>
    </w:p>
    <w:p>
      <w:pPr>
        <w:spacing w:after="0" w:line="9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and Section 14A of the Exchange Act enables our stockholders to approve, on an advisory or non-binding basis, the compensation of our named executive officers as disclosed in this proxy statement in accordance with the rules of the SEC. This proposal, commonly referred to as the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We currently submit a say-on-pay proposal to our stockholders every year.</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78" w:lineRule="exact"/>
        <w:rPr>
          <w:sz w:val="20"/>
          <w:szCs w:val="20"/>
          <w:color w:val="auto"/>
        </w:rPr>
      </w:pPr>
    </w:p>
    <w:p>
      <w:pPr>
        <w:ind w:left="300" w:right="779"/>
        <w:spacing w:after="0" w:line="284" w:lineRule="auto"/>
        <w:rPr>
          <w:sz w:val="20"/>
          <w:szCs w:val="20"/>
          <w:color w:val="auto"/>
        </w:rPr>
      </w:pPr>
      <w:r>
        <w:rPr>
          <w:rFonts w:ascii="Times New Roman" w:cs="Times New Roman" w:eastAsia="Times New Roman" w:hAnsi="Times New Roman"/>
          <w:sz w:val="18"/>
          <w:szCs w:val="18"/>
          <w:color w:val="auto"/>
        </w:rPr>
        <w:t>You are encouraged to review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which discusses our compensation policies and procedures with respect to our named executive officers.</w:t>
      </w:r>
    </w:p>
    <w:p>
      <w:pPr>
        <w:spacing w:after="0" w:line="5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We believe the information provided in this proxy statement demonstrates that our executive compensation program was designed appropriately and is working to ensure management’s interests are aligned with our stockholders’ interests to support long-term value creation. Accordingly, we are asking our stockholders to approve the compensation of our named executive officers as described in this proxy statement by voting “FOR” the following non-binding resolution:</w:t>
      </w:r>
    </w:p>
    <w:p>
      <w:pPr>
        <w:spacing w:after="0" w:line="71" w:lineRule="exact"/>
        <w:rPr>
          <w:sz w:val="20"/>
          <w:szCs w:val="20"/>
          <w:color w:val="auto"/>
        </w:rPr>
      </w:pPr>
    </w:p>
    <w:p>
      <w:pPr>
        <w:ind w:left="660" w:right="7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stockholders approve, on an advisory basis, the compensation paid to our named executive officers, as disclosed pursuant to the compensation disclosure rules of the SEC, including the compensation tables and the narrative discussion.”</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The approval, on a non-binding advisory basis, of the compensation of our named executive officers requires the affirmative vote of a majority of the voting power of the shares present in person or represented by proxy at the Annual Meeting and entitled to vote thereon. Abstentions will have the same effect as a vote AGAINST this proposal. Broker non-votes will have no effect on the outcome of this proposal.</w:t>
      </w:r>
    </w:p>
    <w:p>
      <w:pPr>
        <w:spacing w:after="0" w:line="72"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Although the vote is non-binding, our board of directors and our compensation committee value the opinions of our stockholders and will consider the outcome of the vote when making future compensation decisions for our named executive officers.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ON A NON-BINDING ADVISORY BASIS, OF THE COMPENSATION OF OUR NAMED EXECUTIVE OFFICERS, AS DISCLOSED IN THIS PROXY STATEMENT.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Ernst &amp; Young LLP as our independent registered public accounting firm to audit our financial statements for our fiscal year ending December 31, 2026. Ernst &amp; Young LLP also served as our independent registered public accounting firm for the fiscal year ended December 31, 2025.</w:t>
      </w:r>
    </w:p>
    <w:p>
      <w:pPr>
        <w:spacing w:after="0" w:line="68"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At the Annual Meeting, we are asking our stockholders to ratify the appointment of Ernst &amp; Young LLP as our independent registered public accounting firm for our fiscal year ending December 31, 2026.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if they desire to do so and are expected to be available to respond to appropriate questions from our stockholders.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and Audit-Related Fees</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Ernst &amp; Young LLP for the audit of the Company’s annual financial statements and internal control over financial reporting for the fiscal years ended December 31, 2025 and 2024 and fees billed for audit-related, tax, and other services rendered by Ernst &amp; Young LLP during those periods.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6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90"/>
        </w:trPr>
        <w:tc>
          <w:tcPr>
            <w:tcW w:w="666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$562,000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$636,820</w:t>
            </w: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666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6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$564,000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$638,820</w:t>
            </w:r>
          </w:p>
        </w:tc>
      </w:tr>
      <w:tr>
        <w:trPr>
          <w:trHeight w:val="54"/>
        </w:trPr>
        <w:tc>
          <w:tcPr>
            <w:tcW w:w="66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9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w:t>
      </w:r>
    </w:p>
    <w:p>
      <w:pPr>
        <w:spacing w:after="0" w:line="14" w:lineRule="exact"/>
        <w:rPr>
          <w:rFonts w:ascii="Times New Roman" w:cs="Times New Roman" w:eastAsia="Times New Roman" w:hAnsi="Times New Roman"/>
          <w:sz w:val="14"/>
          <w:szCs w:val="14"/>
          <w:color w:val="auto"/>
        </w:rPr>
      </w:pPr>
    </w:p>
    <w:p>
      <w:pPr>
        <w:ind w:left="640" w:right="75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consisted of fees billed for services rendered in connection with the sale of the Company’s net operating losses under the New Jersey Technology Business Tax Certificate Transfer Program.</w:t>
      </w: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consisted of fees related to subscriptions to Ernst &amp; Young LLP’s accounting reference library.</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In 2025, there were no other professional services provided by Ernst &amp; Young LLP, other than those listed above, that would have required our audit committee to consider their compatibility with maintaining the independence of Ernst &amp; Young LLP.</w:t>
      </w:r>
    </w:p>
    <w:p>
      <w:pPr>
        <w:spacing w:after="0" w:line="320" w:lineRule="exact"/>
        <w:rPr>
          <w:sz w:val="20"/>
          <w:szCs w:val="20"/>
          <w:color w:val="auto"/>
        </w:rPr>
      </w:pPr>
    </w:p>
    <w:p>
      <w:pPr>
        <w:ind w:left="300" w:right="839"/>
        <w:spacing w:after="0" w:line="286" w:lineRule="auto"/>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5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services provided by Ernst &amp; Young LLP for our fiscal years ended December 31, 2025 and 2024 were pre-approved by our audit committee.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our fiscal year ending December 31, 2026 requires the affirmative vote of a majority of the voting power of the shares present in person or represented by proxy at the Annual Meeting and entitled to vote thereon. Abstentions will have the same effect as a vote AGAINST this proposal.</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300" w:right="999"/>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APPOINTMENT OF ERNST &amp; YOUNG LLP AS OUR INDEPENDENT REGISTERED PUBLIC ACCOUNTING FIRM FOR OUR FISCAL YEAR ENDING DECEMBER 31, 2026.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1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Audit Committee Report shall not be deemed to be soliciting material or to be filed with the SEC or to the liabilities of Section 18 of the Exchange Act, nor shall such information be incorporated by reference into any prior or future filing under the Exchange Act, except to the extent that PMV Pharmaceuticals, Inc. specifically incorporates it by reference in such filing.</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serves as the representative of the board of directors with respect to its oversight of:</w:t>
      </w:r>
    </w:p>
    <w:p>
      <w:pPr>
        <w:spacing w:after="0" w:line="117"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accounting and financial reporting processes and internal controls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integrity of the Company’s financial statements;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the Company’s independent auditors;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performance of the Company’s internal audit function, if applicable.</w:t>
      </w:r>
    </w:p>
    <w:p>
      <w:pPr>
        <w:spacing w:after="0" w:line="117"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audit committee also reviews the performance of the Company’s independent registered public accounting firm, Ernst &amp; Young LLP, in the annual audit of the Company’s financial statements and in assignments unrelated to the audit, and reviews the independent registered public accounting firm’s fees.</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is composed of three non-employee directors. The board of directors has determined that</w:t>
      </w:r>
    </w:p>
    <w:p>
      <w:pPr>
        <w:spacing w:after="0" w:line="27" w:lineRule="exact"/>
        <w:rPr>
          <w:sz w:val="20"/>
          <w:szCs w:val="20"/>
          <w:color w:val="auto"/>
        </w:rPr>
      </w:pPr>
    </w:p>
    <w:p>
      <w:pPr>
        <w:ind w:left="300" w:right="299"/>
        <w:spacing w:after="0" w:line="260" w:lineRule="auto"/>
        <w:rPr>
          <w:sz w:val="20"/>
          <w:szCs w:val="20"/>
          <w:color w:val="auto"/>
        </w:rPr>
      </w:pPr>
      <w:r>
        <w:rPr>
          <w:rFonts w:ascii="Times New Roman" w:cs="Times New Roman" w:eastAsia="Times New Roman" w:hAnsi="Times New Roman"/>
          <w:sz w:val="18"/>
          <w:szCs w:val="18"/>
          <w:color w:val="auto"/>
        </w:rPr>
        <w:t>Ms. Stelzer, Dr. Heyman and Ms. Flowers are each independent and that Ms. Stelzer is an “audit committee financial expert” under rules of the SEC.</w:t>
      </w:r>
    </w:p>
    <w:p>
      <w:pPr>
        <w:spacing w:after="0" w:line="73"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audit committee provides the board of directors such information and materials as it may deem necessary to make the board of directors aware of financial matters requiring the attention of the board of directors. The audit committee reviews the Company’s financial disclosures and meets privately, outside the presence of management, with the Company’s independent registered public accounting firm. In fulfilling its oversight responsibilities, the audit committee reviewed and discussed the audited financial statements in the Company’s 2025 Annual Report on Form 10-K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the board of directors.</w:t>
      </w:r>
    </w:p>
    <w:p>
      <w:pPr>
        <w:spacing w:after="0" w:line="84" w:lineRule="exact"/>
        <w:rPr>
          <w:sz w:val="20"/>
          <w:szCs w:val="20"/>
          <w:color w:val="auto"/>
        </w:rPr>
      </w:pPr>
    </w:p>
    <w:p>
      <w:pPr>
        <w:jc w:val="both"/>
        <w:ind w:left="300" w:right="699"/>
        <w:spacing w:after="0" w:line="257"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consolidated financial statements with management and Ernst &amp; Young LLP, the Company’s independent registered public accounting firm. The audit committee has discussed with Ernst &amp; Young LLP the matters required to be discussed by Auditing</w:t>
      </w:r>
    </w:p>
    <w:p>
      <w:pPr>
        <w:spacing w:after="0" w:line="1" w:lineRule="exact"/>
        <w:rPr>
          <w:sz w:val="20"/>
          <w:szCs w:val="20"/>
          <w:color w:val="auto"/>
        </w:rPr>
      </w:pPr>
    </w:p>
    <w:p>
      <w:pPr>
        <w:ind w:left="300" w:right="459"/>
        <w:spacing w:after="0" w:line="260" w:lineRule="auto"/>
        <w:rPr>
          <w:sz w:val="20"/>
          <w:szCs w:val="20"/>
          <w:color w:val="auto"/>
        </w:rPr>
      </w:pPr>
      <w:r>
        <w:rPr>
          <w:rFonts w:ascii="Times New Roman" w:cs="Times New Roman" w:eastAsia="Times New Roman" w:hAnsi="Times New Roman"/>
          <w:sz w:val="18"/>
          <w:szCs w:val="18"/>
          <w:color w:val="auto"/>
        </w:rPr>
        <w:t xml:space="preserve">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issued by the Public Company Accounting Oversight Board (“PCAOB”) and the applicable requirements of the SEC.</w:t>
      </w:r>
    </w:p>
    <w:p>
      <w:pPr>
        <w:spacing w:after="0" w:line="73"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has received and reviewed the written disclosures and the letter from Ernst &amp; Young LLP required by the applicable requirements of the PCAOB regarding Ernst &amp; Young LLP’s communications with the audit committee concerning independence, and has discussed with Ernst &amp; Young LLP its independence. In addition, the audit committee has discussed with Ernst &amp; Young LLP its independence from management and the Company, including matters in the letter from Ernst &amp; Young LLP required by PCAOB Rule 3526, </w:t>
      </w:r>
      <w:r>
        <w:rPr>
          <w:rFonts w:ascii="Times New Roman" w:cs="Times New Roman" w:eastAsia="Times New Roman" w:hAnsi="Times New Roman"/>
          <w:sz w:val="18"/>
          <w:szCs w:val="18"/>
          <w:i w:val="1"/>
          <w:iCs w:val="1"/>
          <w:color w:val="auto"/>
        </w:rPr>
        <w:t>Communication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Audit Committees Concerning Independence</w:t>
      </w:r>
      <w:r>
        <w:rPr>
          <w:rFonts w:ascii="Times New Roman" w:cs="Times New Roman" w:eastAsia="Times New Roman" w:hAnsi="Times New Roman"/>
          <w:sz w:val="18"/>
          <w:szCs w:val="18"/>
          <w:color w:val="auto"/>
        </w:rPr>
        <w:t>, and considered the compatibility of non-audit services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Ernst &amp; Young LLP’s independence.</w:t>
      </w:r>
    </w:p>
    <w:p>
      <w:pPr>
        <w:spacing w:after="0" w:line="8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Company’s audited consolidated financial statements be included in the Company’s Annual Report on Form 10-K for the fiscal year ended December 31, 2025 for filing with the SEC. The audit committee also has selected Ernst &amp; Young LLP as the independent registered public accounting firm for fiscal year 2026. The board of directors recommends that stockholders ratify this selection at the Annual Meeting.</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Laurie Stelzer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Richard Heyman, Ph.D.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Kirsten Flowers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Proposals or Director Nominations for 2027 Annual Meeting</w:t>
      </w:r>
    </w:p>
    <w:p>
      <w:pPr>
        <w:spacing w:after="0" w:line="121"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2027 annual meeting pursuant to Rule 14a-8 of the Exchange Act, then the proposal must be received by our corporate secretary at our principal executive offices on or before December 23, 2026. In addition, stockholder proposals must comply with the requirements of Rule 14a-8 regarding the inclusion of stockholder proposals in company-sponsored proxy materials. Proposals should be addressed to:</w:t>
      </w:r>
    </w:p>
    <w:p>
      <w:pPr>
        <w:spacing w:after="0" w:line="11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9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2027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spacing w:after="0" w:line="81"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8:00 a.m., Eastern, on February 4, 2027;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Eastern, on March 6, 2027.</w:t>
      </w:r>
    </w:p>
    <w:p>
      <w:pPr>
        <w:spacing w:after="0" w:line="117"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In the event that we hold our 2027 annual meeting more than 25 days after the one-year anniversary of this year’s annual meeting, then such written notice must be received by our corporate secretary at our principal executive offices:</w:t>
      </w:r>
    </w:p>
    <w:p>
      <w:pPr>
        <w:spacing w:after="0" w:line="68"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8:00 a.m., Eastern, on the 120th day prior to the day of our 2027 annual meeting;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Eastern, on the later of the 90th day prior to the day of our 2027 annual meeting or, if the first public announcement of the date of such annual meeting is less than 100 days prior to the date of such annual meeting, the 10th day following the day on which public announcement of the date of the annual meeting is first made by us.</w:t>
      </w:r>
    </w:p>
    <w:p>
      <w:pPr>
        <w:spacing w:after="0" w:line="72"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68"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addition, we are required under SEC Rule 14a-19 to include on our proxy card all nominees for director for whom we have received notice under the rule, which must be received no later than 60 calendar days prior to the anniversary of the previous year’s annual meeting. For any such director nominee to be included on our proxy card for our 2027 annual meeting of stockholders, our corporate secretary must receive notice under SEC Rule 14a-19 no later than April 5, 2027. Please note that the notice requirements under SEC Rule 14a-19 is in addition to the applicable notice requirements under the advance notice provisions of our amended and restated bylaws described above.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Availability of Amended and Restated Bylaws</w:t>
      </w:r>
    </w:p>
    <w:p>
      <w:pPr>
        <w:spacing w:after="0" w:line="121"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 xml:space="preserve">A copy of our amended and restated bylaws may be obtained by accessing our filings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contact our corporate secretary at our principal executive offices for a copy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bylaw provisions regarding the requirements for making stockholder proposals and nominating director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121"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 xml:space="preserve">Our financial statements for our fiscal year ended December 31, 2025 are included in our annual report, which we will make available to stockholders at the same time as this proxy statement. Our proxy materials and our annual report are posted on our website at ir.pmvpharma.com and are available from the SEC at its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left="300" w:right="959"/>
        <w:spacing w:after="0" w:line="255" w:lineRule="auto"/>
        <w:rPr>
          <w:sz w:val="20"/>
          <w:szCs w:val="20"/>
          <w:color w:val="auto"/>
        </w:rPr>
      </w:pPr>
      <w:r>
        <w:rPr>
          <w:rFonts w:ascii="Times New Roman" w:cs="Times New Roman" w:eastAsia="Times New Roman" w:hAnsi="Times New Roman"/>
          <w:sz w:val="18"/>
          <w:szCs w:val="18"/>
          <w:b w:val="1"/>
          <w:bCs w:val="1"/>
          <w:color w:val="auto"/>
        </w:rPr>
        <w:t>You may also obtain a copy of our annual report, free of charge, by sending a written request to PMV Pharmaceuticals, Inc., 400 Alexander Park Drive, Suite 301, Princeton, New Jersey 08540, Attention: Corporate Secretary.</w:t>
      </w:r>
    </w:p>
    <w:p>
      <w:pPr>
        <w:spacing w:after="0" w:line="78"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ind w:left="300" w:right="459"/>
        <w:spacing w:after="0" w:line="289" w:lineRule="auto"/>
        <w:rPr>
          <w:sz w:val="20"/>
          <w:szCs w:val="20"/>
          <w:color w:val="auto"/>
        </w:rPr>
      </w:pPr>
      <w:r>
        <w:rPr>
          <w:rFonts w:ascii="Times New Roman" w:cs="Times New Roman" w:eastAsia="Times New Roman" w:hAnsi="Times New Roman"/>
          <w:sz w:val="17"/>
          <w:szCs w:val="17"/>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50"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You are, therefore, urged to vote as promptly as possible to ensure your vote is recorded.</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Princeton, New Jersey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22,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102870</wp:posOffset>
            </wp:positionV>
            <wp:extent cx="6574790" cy="8512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74790" cy="851217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102870</wp:posOffset>
            </wp:positionV>
            <wp:extent cx="6574790" cy="8512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74790" cy="851217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
      <w:numFmt w:val="bullet"/>
      <w:start w:val="1"/>
    </w:lvl>
    <w:lvl w:ilvl="1">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9"/>
    </w:lvl>
  </w:abstractNum>
  <w:abstractNum w:abstractNumId="23">
    <w:nsid w:val="6CEAF087"/>
    <w:multiLevelType w:val="hybridMultilevel"/>
    <w:lvl w:ilvl="0">
      <w:lvlJc w:val="left"/>
      <w:lvlText w:val="(%1)"/>
      <w:numFmt w:val="decimal"/>
      <w:start w:val="30"/>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3"/>
    </w:lvl>
    <w:lvl w:ilvl="1">
      <w:lvlJc w:val="left"/>
      <w:lvlText w:val="(%2)"/>
      <w:numFmt w:val="lowerRoman"/>
      <w:start w:val="3"/>
    </w:lvl>
  </w:abstractNum>
  <w:abstractNum w:abstractNumId="32">
    <w:nsid w:val="3804823E"/>
    <w:multiLevelType w:val="hybridMultilevel"/>
    <w:lvl w:ilvl="0">
      <w:lvlJc w:val="left"/>
      <w:lvlText w:val="%1"/>
      <w:numFmt w:val="decimal"/>
      <w:start w:val="1"/>
    </w:lvl>
    <w:lvl w:ilvl="1">
      <w:lvlJc w:val="left"/>
      <w:lvlText w:val="(%2)"/>
      <w:numFmt w:val="lowerRoman"/>
      <w:start w:val="2"/>
    </w:lvl>
  </w:abstractNum>
  <w:abstractNum w:abstractNumId="33">
    <w:nsid w:val="77465F01"/>
    <w:multiLevelType w:val="hybridMultilevel"/>
    <w:lvl w:ilvl="0">
      <w:lvlJc w:val="left"/>
      <w:lvlText w:val="(%1)"/>
      <w:numFmt w:val="decimal"/>
      <w:start w:val="5"/>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2026-04-22T07:05:06Z</dcterms:created>
  <dcterms:modified xsi:type="dcterms:W3CDTF">2026-04-22T07:05:06Z</dcterms:modified>
</cp:coreProperties>
</file>