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 w:lineRule="exact"/>
        <w:rPr>
          <w:sz w:val="24"/>
          <w:szCs w:val="24"/>
          <w:color w:val="auto"/>
        </w:rPr>
      </w:pPr>
    </w:p>
    <w:p>
      <w:pPr>
        <w:ind w:left="3660" w:right="1620" w:hanging="3639"/>
        <w:spacing w:after="0" w:line="344"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2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1"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4660" w:type="dxa"/>
            <w:vAlign w:val="bottom"/>
          </w:tcPr>
          <w:p>
            <w:pPr>
              <w:jc w:val="center"/>
              <w:ind w:right="16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1"/>
        </w:trPr>
        <w:tc>
          <w:tcPr>
            <w:tcW w:w="4660" w:type="dxa"/>
            <w:vAlign w:val="bottom"/>
          </w:tcPr>
          <w:p>
            <w:pPr>
              <w:jc w:val="center"/>
              <w:ind w:right="169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6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60" w:type="dxa"/>
            <w:vAlign w:val="bottom"/>
          </w:tcPr>
          <w:p>
            <w:pPr>
              <w:jc w:val="center"/>
              <w:ind w:right="16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400 Alexander Park Drive, Suite 301</w:t>
            </w:r>
          </w:p>
        </w:tc>
        <w:tc>
          <w:tcPr>
            <w:tcW w:w="2960" w:type="dxa"/>
            <w:vAlign w:val="bottom"/>
          </w:tcPr>
          <w:p>
            <w:pPr>
              <w:spacing w:after="0"/>
              <w:rPr>
                <w:sz w:val="24"/>
                <w:szCs w:val="24"/>
                <w:color w:val="auto"/>
              </w:rPr>
            </w:pPr>
          </w:p>
        </w:tc>
      </w:tr>
      <w:tr>
        <w:trPr>
          <w:trHeight w:val="238"/>
        </w:trPr>
        <w:tc>
          <w:tcPr>
            <w:tcW w:w="466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Princeton, NJ</w:t>
            </w:r>
          </w:p>
        </w:tc>
        <w:tc>
          <w:tcPr>
            <w:tcW w:w="29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93"/>
        </w:trPr>
        <w:tc>
          <w:tcPr>
            <w:tcW w:w="4660" w:type="dxa"/>
            <w:vAlign w:val="bottom"/>
          </w:tcPr>
          <w:p>
            <w:pPr>
              <w:jc w:val="center"/>
              <w:ind w:right="1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8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140" w:firstLine="50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ind w:right="26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Accelerated filer</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7"/>
        </w:trPr>
        <w:tc>
          <w:tcPr>
            <w:tcW w:w="23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240" w:type="dxa"/>
            <w:vAlign w:val="bottom"/>
          </w:tcPr>
          <w:p>
            <w:pPr>
              <w:ind w:left="780"/>
              <w:spacing w:after="0" w:line="171" w:lineRule="exact"/>
              <w:rPr>
                <w:sz w:val="20"/>
                <w:szCs w:val="20"/>
                <w:color w:val="auto"/>
              </w:rPr>
            </w:pPr>
            <w:r>
              <w:rPr>
                <w:rFonts w:ascii="MS PGothic" w:cs="MS PGothic" w:eastAsia="MS PGothic" w:hAnsi="MS PGothic"/>
                <w:sz w:val="17"/>
                <w:szCs w:val="17"/>
                <w:color w:val="auto"/>
              </w:rPr>
              <w:t>☒</w:t>
            </w: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820" w:type="dxa"/>
            <w:vAlign w:val="bottom"/>
          </w:tcPr>
          <w:p>
            <w:pPr>
              <w:ind w:left="2320"/>
              <w:spacing w:after="0"/>
              <w:rPr>
                <w:sz w:val="20"/>
                <w:szCs w:val="20"/>
                <w:color w:val="auto"/>
              </w:rPr>
            </w:pPr>
            <w:r>
              <w:rPr>
                <w:rFonts w:ascii="Times New Roman" w:cs="Times New Roman" w:eastAsia="Times New Roman" w:hAnsi="Times New Roman"/>
                <w:sz w:val="17"/>
                <w:szCs w:val="17"/>
                <w:color w:val="auto"/>
              </w:rPr>
              <w:t>Emerging growth company</w:t>
            </w:r>
          </w:p>
        </w:tc>
        <w:tc>
          <w:tcPr>
            <w:tcW w:w="780" w:type="dxa"/>
            <w:vAlign w:val="bottom"/>
          </w:tcPr>
          <w:p>
            <w:pPr>
              <w:ind w:left="6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35" w:lineRule="exact"/>
        <w:rPr>
          <w:sz w:val="24"/>
          <w:szCs w:val="24"/>
          <w:color w:val="auto"/>
        </w:rPr>
      </w:pPr>
    </w:p>
    <w:p>
      <w:pPr>
        <w:ind w:right="2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left="520"/>
        <w:spacing w:after="0" w:line="196" w:lineRule="exact"/>
        <w:tabs>
          <w:tab w:leader="none" w:pos="89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83" w:lineRule="exact"/>
        <w:rPr>
          <w:sz w:val="24"/>
          <w:szCs w:val="24"/>
          <w:color w:val="auto"/>
        </w:rPr>
      </w:pPr>
    </w:p>
    <w:p>
      <w:pPr>
        <w:ind w:right="4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November 6, 2024, the registrant had 51,747,130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5"/>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tcBorders>
              <w:left w:val="single" w:sz="8" w:color="0000FF"/>
            </w:tcBorders>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vMerge w:val="continue"/>
          </w:tcPr>
          <w:p>
            <w:pPr>
              <w:spacing w:after="0"/>
              <w:rPr>
                <w:sz w:val="18"/>
                <w:szCs w:val="18"/>
                <w:color w:val="auto"/>
              </w:rPr>
            </w:pP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22"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on Form 10-Q, including statements regarding our future results of operations and financial position, business strategy, plans for our product candidates, planned preclinical studies and clinical trials, results of clinical trials, future research and development costs, regulatory strategy and approvals, timing and likelihood of success, as well as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Quarterly Report on Form 10-Q include, but are not limited to, statements about:</w:t>
      </w:r>
    </w:p>
    <w:p>
      <w:pPr>
        <w:spacing w:after="0" w:line="80"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marketable securities to fund our future operating expenses and capital expenditure requirements;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funding before we can expect to generate any revenues from product sales;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for our operations, when needed, including funding necessary to complete further development and commercialization of our product candidates, if approved;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marketable securities and the proceeds from the ATM Program (as defined below);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applications, or IND, and other regulatory submissions;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for each of our programs including patients expected to have certain p53 mutations and the number of patients that will enroll in our clinical trials;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our existing and any potential future strategic collaborations with third parties and our ability to attract collaborators with development, regulatory and commercialization expertise;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accelerated reviews or special designations, such as breakthrough therapy and orphan drug designation, for our product candidates, including our intention to seek accelerated approval for PC14586, our lead product candidate, for a tumor-agnostic indication;</w:t>
      </w:r>
    </w:p>
    <w:p>
      <w:pPr>
        <w:spacing w:after="0" w:line="6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3" w:name="page4"/>
    <w:bookmarkEnd w:id="3"/>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17" w:lineRule="exact"/>
        <w:rPr>
          <w:rFonts w:ascii="Times New Roman" w:cs="Times New Roman" w:eastAsia="Times New Roman" w:hAnsi="Times New Roman"/>
          <w:sz w:val="18"/>
          <w:szCs w:val="18"/>
          <w:color w:val="auto"/>
        </w:rPr>
      </w:pPr>
    </w:p>
    <w:p>
      <w:pPr>
        <w:ind w:left="900" w:right="800" w:hanging="383"/>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assumptions, projections and expectations regarding future costs savings and expenses associated with the announced restructuring plan and reduction in force; and</w:t>
      </w:r>
    </w:p>
    <w:p>
      <w:pPr>
        <w:spacing w:after="0" w:line="53"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tensions, such as the Ukraine-Russia war, the ongoing conflict between Israel and Hamas and the ongoing conflict in the Middle East, the impact of other disruptions resulting from public health epidemics, macroeconomic events such as global supply chain challenges, elevated inflation and interest rates and monetary policy changes, instability in the global banking system, or other related disruptions on our business and the execution of our clinical trials.</w:t>
      </w:r>
    </w:p>
    <w:p>
      <w:pPr>
        <w:spacing w:after="0" w:line="7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“Item 1A. Risk Factors” and elsewhere in our Annual Report on Form 10-K for the year ended December 31, 2023, filed with the United States Securities and Exchange Commission on February 29, 2024, as well as in our Quarterly Report on Form 10-Q for the quarter ended March 31, 2024, as filed with the SEC on May 9, 2024 and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8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17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32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48,810</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134,031</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189,620</w:t>
            </w: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223,495</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25,587</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at September 30, 2024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2023. No shares issued or outstanding at September 30, 2024 and December 31, 2023.</w:t>
            </w:r>
          </w:p>
        </w:tc>
        <w:tc>
          <w:tcPr>
            <w:tcW w:w="22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$0.00001 par value, 1,000,000,000 shares authorized; 51,749,504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51,445,862 shares issued and outstanding at September 30, 2024 and December 31, 2023,</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543,210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(345,712 )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(310,003 )</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197,908</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225,689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223,495</w:t>
            </w:r>
          </w:p>
        </w:tc>
        <w:tc>
          <w:tcPr>
            <w:tcW w:w="3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-3136900</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-2176780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-1859915</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-1859915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5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4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w:t>
            </w:r>
          </w:p>
        </w:tc>
        <w:tc>
          <w:tcPr>
            <w:tcW w:w="100" w:type="dxa"/>
            <w:vAlign w:val="bottom"/>
          </w:tcPr>
          <w:p>
            <w:pPr>
              <w:spacing w:after="0"/>
              <w:rPr>
                <w:sz w:val="20"/>
                <w:szCs w:val="20"/>
                <w:color w:val="auto"/>
              </w:rPr>
            </w:pPr>
          </w:p>
        </w:tc>
      </w:tr>
      <w:tr>
        <w:trPr>
          <w:trHeight w:val="247"/>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61,230</w:t>
            </w:r>
          </w:p>
        </w:tc>
        <w:tc>
          <w:tcPr>
            <w:tcW w:w="100" w:type="dxa"/>
            <w:vAlign w:val="bottom"/>
          </w:tcPr>
          <w:p>
            <w:pPr>
              <w:spacing w:after="0"/>
              <w:rPr>
                <w:sz w:val="20"/>
                <w:szCs w:val="20"/>
                <w:color w:val="auto"/>
              </w:rPr>
            </w:pPr>
          </w:p>
        </w:tc>
      </w:tr>
      <w:tr>
        <w:trPr>
          <w:trHeight w:val="23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(21,888 )</w:t>
            </w: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(19,628 )</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(60,280 )</w:t>
            </w:r>
          </w:p>
        </w:tc>
        <w:tc>
          <w:tcPr>
            <w:tcW w:w="2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(61,230 )</w:t>
            </w: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shd w:val="clear" w:color="auto" w:fill="CFF0FC"/>
          </w:tcPr>
          <w:p>
            <w:pPr>
              <w:spacing w:after="0"/>
              <w:rPr>
                <w:sz w:val="21"/>
                <w:szCs w:val="21"/>
                <w:color w:val="auto"/>
              </w:rPr>
            </w:pPr>
          </w:p>
        </w:tc>
      </w:tr>
      <w:tr>
        <w:trPr>
          <w:trHeight w:val="243"/>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r>
      <w:tr>
        <w:trPr>
          <w:trHeight w:val="237"/>
        </w:trPr>
        <w:tc>
          <w:tcPr>
            <w:tcW w:w="55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(19,152 )</w:t>
            </w: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(16,640 )</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(51,809 )</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(53,201 )</w:t>
            </w:r>
          </w:p>
        </w:tc>
      </w:tr>
      <w:tr>
        <w:trPr>
          <w:trHeight w:val="247"/>
        </w:trPr>
        <w:tc>
          <w:tcPr>
            <w:tcW w:w="55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(16,100 )</w:t>
            </w: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(19,226 )</w:t>
            </w:r>
          </w:p>
        </w:tc>
        <w:tc>
          <w:tcPr>
            <w:tcW w:w="2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(16,640 )</w:t>
            </w: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(35,709 )</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(53,204 )</w:t>
            </w:r>
          </w:p>
        </w:tc>
      </w:tr>
      <w:tr>
        <w:trPr>
          <w:trHeight w:val="247"/>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available for sale investments, net of tax</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4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FF0FC"/>
          </w:tcPr>
          <w:p>
            <w:pPr>
              <w:spacing w:after="0"/>
              <w:rPr>
                <w:sz w:val="20"/>
                <w:szCs w:val="20"/>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(18,631 )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(16,667 )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(35,523 )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(53,114 )</w:t>
            </w:r>
          </w:p>
        </w:tc>
      </w:tr>
      <w:tr>
        <w:trPr>
          <w:trHeight w:val="20"/>
        </w:trPr>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(0.37 )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(0.34 )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(0.69 )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(1.13 )</w:t>
            </w:r>
          </w:p>
        </w:tc>
      </w:tr>
      <w:tr>
        <w:trPr>
          <w:trHeight w:val="20"/>
        </w:trPr>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8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51,574,027</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49,047,296</w:t>
            </w:r>
          </w:p>
        </w:tc>
        <w:tc>
          <w:tcPr>
            <w:tcW w:w="2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51,499,818</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46,889,921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-2605405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-2605405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-2605405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-1653540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-1653540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-1653540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-1336675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-1336675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-1336675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-702310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-702310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-702310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-702310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60" w:type="dxa"/>
            <w:vAlign w:val="bottom"/>
            <w:gridSpan w:val="3"/>
            <w:vMerge w:val="restart"/>
          </w:tcPr>
          <w:p>
            <w:pPr>
              <w:jc w:val="right"/>
              <w:ind w:right="3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8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9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45,771,332</w:t>
            </w:r>
          </w:p>
        </w:tc>
        <w:tc>
          <w:tcPr>
            <w:tcW w:w="900" w:type="dxa"/>
            <w:vAlign w:val="bottom"/>
            <w:gridSpan w:val="2"/>
            <w:shd w:val="clear" w:color="auto" w:fill="CFF0FC"/>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487,516</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(445 )</w:t>
            </w: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(241,043 )</w:t>
            </w:r>
          </w:p>
        </w:tc>
        <w:tc>
          <w:tcPr>
            <w:tcW w:w="1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(19,128 )</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(19,128 )</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45,774,761</w:t>
            </w:r>
          </w:p>
        </w:tc>
        <w:tc>
          <w:tcPr>
            <w:tcW w:w="900" w:type="dxa"/>
            <w:vAlign w:val="bottom"/>
            <w:gridSpan w:val="2"/>
          </w:tcPr>
          <w:p>
            <w:pPr>
              <w:jc w:val="right"/>
              <w:ind w:right="485"/>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490,460</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(116 )</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(260,171 )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Exercise of stock options and common stock issued under the 2020</w:t>
            </w: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24,417</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344,358</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(17,436 )</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(17,436 )</w:t>
            </w: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(212 )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(212 )</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46,143,536</w:t>
            </w:r>
          </w:p>
        </w:tc>
        <w:tc>
          <w:tcPr>
            <w:tcW w:w="260" w:type="dxa"/>
            <w:vAlign w:val="bottom"/>
          </w:tcPr>
          <w:p>
            <w:pPr>
              <w:spacing w:after="0"/>
              <w:rPr>
                <w:sz w:val="19"/>
                <w:szCs w:val="19"/>
                <w:color w:val="auto"/>
              </w:rPr>
            </w:pPr>
          </w:p>
        </w:tc>
        <w:tc>
          <w:tcPr>
            <w:tcW w:w="640" w:type="dxa"/>
            <w:vAlign w:val="bottom"/>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495,744</w:t>
            </w:r>
          </w:p>
        </w:tc>
        <w:tc>
          <w:tcPr>
            <w:tcW w:w="2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(328 )</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(277,607 )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6"/>
                <w:szCs w:val="16"/>
                <w:color w:val="auto"/>
              </w:rPr>
              <w:t>Exercise of stock options and release of vested restricted stock</w:t>
            </w:r>
          </w:p>
        </w:tc>
        <w:tc>
          <w:tcPr>
            <w:tcW w:w="9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units issued under the 2020 EIP</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209,012</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4,805,088</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(16,640 )</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(16,640 )</w:t>
            </w:r>
          </w:p>
        </w:tc>
        <w:tc>
          <w:tcPr>
            <w:tcW w:w="0" w:type="dxa"/>
            <w:vAlign w:val="bottom"/>
          </w:tcPr>
          <w:p>
            <w:pPr>
              <w:spacing w:after="0"/>
              <w:rPr>
                <w:sz w:val="1"/>
                <w:szCs w:val="1"/>
                <w:color w:val="auto"/>
              </w:rPr>
            </w:pPr>
          </w:p>
        </w:tc>
      </w:tr>
      <w:tr>
        <w:trPr>
          <w:trHeight w:val="23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(27 )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51,157,636</w:t>
            </w:r>
          </w:p>
        </w:tc>
        <w:tc>
          <w:tcPr>
            <w:tcW w:w="260" w:type="dxa"/>
            <w:vAlign w:val="bottom"/>
          </w:tcPr>
          <w:p>
            <w:pPr>
              <w:spacing w:after="0"/>
              <w:rPr>
                <w:sz w:val="19"/>
                <w:szCs w:val="19"/>
                <w:color w:val="auto"/>
              </w:rPr>
            </w:pPr>
          </w:p>
        </w:tc>
        <w:tc>
          <w:tcPr>
            <w:tcW w:w="640" w:type="dxa"/>
            <w:vAlign w:val="bottom"/>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532,214</w:t>
            </w:r>
          </w:p>
        </w:tc>
        <w:tc>
          <w:tcPr>
            <w:tcW w:w="22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(355 )</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(294,247 )</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-2253615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-2253615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-2253615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-2253615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-2253615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-1216660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-1216660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-1216660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-1216660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-1216660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-179705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-179705</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-179705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-179705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60" w:type="dxa"/>
            <w:vAlign w:val="bottom"/>
            <w:gridSpan w:val="3"/>
            <w:vMerge w:val="restart"/>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81"/>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86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3"/>
                <w:szCs w:val="13"/>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9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3"/>
                <w:szCs w:val="13"/>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900" w:type="dxa"/>
            <w:vAlign w:val="bottom"/>
            <w:gridSpan w:val="2"/>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535,468</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(310,003 )</w:t>
            </w:r>
          </w:p>
        </w:tc>
        <w:tc>
          <w:tcPr>
            <w:tcW w:w="1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225,689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(15,270 )</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(15,270 )</w:t>
            </w: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(319 )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26"/>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(34 )</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51,445,862</w:t>
            </w:r>
          </w:p>
        </w:tc>
        <w:tc>
          <w:tcPr>
            <w:tcW w:w="260" w:type="dxa"/>
            <w:vAlign w:val="bottom"/>
            <w:shd w:val="clear" w:color="auto" w:fill="CFF0FC"/>
          </w:tcPr>
          <w:p>
            <w:pPr>
              <w:spacing w:after="0"/>
              <w:rPr>
                <w:sz w:val="23"/>
                <w:szCs w:val="23"/>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538,078</w:t>
            </w: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(129 )</w:t>
            </w: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(325,273 )</w:t>
            </w:r>
          </w:p>
        </w:tc>
        <w:tc>
          <w:tcPr>
            <w:tcW w:w="1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212,676</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83"/>
        </w:trPr>
        <w:tc>
          <w:tcPr>
            <w:tcW w:w="468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Exercise of stock options and common stock issued under the 2020</w:t>
            </w:r>
          </w:p>
        </w:tc>
        <w:tc>
          <w:tcPr>
            <w:tcW w:w="96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ESPP</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76,263</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(1,213 )</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(1,213 )</w:t>
            </w: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loss on available for sale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(61 )</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2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51,522,125</w:t>
            </w:r>
          </w:p>
        </w:tc>
        <w:tc>
          <w:tcPr>
            <w:tcW w:w="260" w:type="dxa"/>
            <w:vAlign w:val="bottom"/>
            <w:shd w:val="clear" w:color="auto" w:fill="CFF0FC"/>
          </w:tcPr>
          <w:p>
            <w:pPr>
              <w:spacing w:after="0"/>
              <w:rPr>
                <w:sz w:val="23"/>
                <w:szCs w:val="23"/>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540,986</w:t>
            </w: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(185 )</w:t>
            </w: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(326,486 )</w:t>
            </w:r>
          </w:p>
        </w:tc>
        <w:tc>
          <w:tcPr>
            <w:tcW w:w="1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4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Release of vested restricted stock units issued under the 2020 EIP</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227,379</w:t>
            </w:r>
          </w:p>
        </w:tc>
        <w:tc>
          <w:tcPr>
            <w:tcW w:w="260" w:type="dxa"/>
            <w:vAlign w:val="bottom"/>
            <w:tcBorders>
              <w:top w:val="single" w:sz="8" w:color="CFF0FC"/>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(19,226 )</w:t>
            </w: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(19,226 )</w:t>
            </w:r>
          </w:p>
        </w:tc>
        <w:tc>
          <w:tcPr>
            <w:tcW w:w="0" w:type="dxa"/>
            <w:vAlign w:val="bottom"/>
          </w:tcPr>
          <w:p>
            <w:pPr>
              <w:spacing w:after="0"/>
              <w:rPr>
                <w:sz w:val="1"/>
                <w:szCs w:val="1"/>
                <w:color w:val="auto"/>
              </w:rPr>
            </w:pPr>
          </w:p>
        </w:tc>
      </w:tr>
      <w:tr>
        <w:trPr>
          <w:trHeight w:val="239"/>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Unrealized gain on available for sale investments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51,749,504</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84"/>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543,210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(345,712 )</w:t>
            </w:r>
          </w:p>
        </w:tc>
        <w:tc>
          <w:tcPr>
            <w:tcW w:w="1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197,908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-1971040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-1953895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-1971040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-1953895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-1971040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-1953895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-1971040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-1953895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-1971040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-1953895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-933450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-916305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-933450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-916305</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-933450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-916305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-933450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-916305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-24765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-7620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-24765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7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(35,709 )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(53,204 )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discounts on marketable securities</w:t>
            </w:r>
          </w:p>
        </w:tc>
        <w:tc>
          <w:tcPr>
            <w:tcW w:w="3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(4,239 )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(3,511 )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income</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(291 )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(283 )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sale of equipment</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(2,427 )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assets and liabilities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(1,174 )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(1,318 )</w:t>
            </w:r>
          </w:p>
        </w:tc>
      </w:tr>
      <w:tr>
        <w:trPr>
          <w:trHeight w:val="243"/>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tcPr>
          <w:p>
            <w:pPr>
              <w:spacing w:after="0"/>
              <w:rPr>
                <w:sz w:val="21"/>
                <w:szCs w:val="21"/>
                <w:color w:val="auto"/>
              </w:rPr>
            </w:pPr>
          </w:p>
        </w:tc>
      </w:tr>
      <w:tr>
        <w:trPr>
          <w:trHeight w:val="23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(34,621 )</w:t>
            </w: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(43,572 )</w:t>
            </w:r>
          </w:p>
        </w:tc>
      </w:tr>
      <w:tr>
        <w:trPr>
          <w:trHeight w:val="23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(599 )</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(765 )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(110,773 )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(187,147 )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156,951</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139,955</w:t>
            </w:r>
          </w:p>
        </w:tc>
        <w:tc>
          <w:tcPr>
            <w:tcW w:w="100" w:type="dxa"/>
            <w:vAlign w:val="bottom"/>
          </w:tcPr>
          <w:p>
            <w:pPr>
              <w:spacing w:after="0"/>
              <w:rPr>
                <w:sz w:val="21"/>
                <w:szCs w:val="21"/>
                <w:color w:val="auto"/>
              </w:rPr>
            </w:pPr>
          </w:p>
        </w:tc>
      </w:tr>
      <w:tr>
        <w:trPr>
          <w:trHeight w:val="236"/>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(47,957 )</w:t>
            </w:r>
          </w:p>
        </w:tc>
      </w:tr>
      <w:tr>
        <w:trPr>
          <w:trHeight w:val="234"/>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3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issuance costs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35,121</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stock options and common stock issued under the 2020 EIP</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r>
      <w:tr>
        <w:trPr>
          <w:trHeight w:val="237"/>
        </w:trPr>
        <w:tc>
          <w:tcPr>
            <w:tcW w:w="77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38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(24 )</w:t>
            </w:r>
          </w:p>
        </w:tc>
        <w:tc>
          <w:tcPr>
            <w:tcW w:w="36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8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3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(56,240 )</w:t>
            </w: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38,528</w:t>
            </w:r>
          </w:p>
        </w:tc>
        <w:tc>
          <w:tcPr>
            <w:tcW w:w="3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49,632</w:t>
            </w:r>
          </w:p>
        </w:tc>
        <w:tc>
          <w:tcPr>
            <w:tcW w:w="32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52,879</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-2390775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-2390775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-1447800</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-813435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5" w:lineRule="exact"/>
        <w:rPr>
          <w:sz w:val="20"/>
          <w:szCs w:val="20"/>
          <w:color w:val="auto"/>
        </w:rPr>
      </w:pPr>
    </w:p>
    <w:p>
      <w:pPr>
        <w:ind w:left="520" w:right="7980" w:hanging="512"/>
        <w:spacing w:after="0" w:line="400" w:lineRule="auto"/>
        <w:tabs>
          <w:tab w:leader="none" w:pos="191" w:val="left"/>
        </w:tabs>
        <w:numPr>
          <w:ilvl w:val="0"/>
          <w:numId w:val="5"/>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Formation and Business of the Company Organization and Liquidity</w:t>
      </w: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PMV Pharmaceuticals, Inc. (the “Company” or “We”) was incorporated in the state of Delaware in March 2013. Since inception, the Company has devoted substantially all of its time and efforts to performing research and development activities and raising capital. We are a precision oncology company pioneering the discovery and development of small molecule, tumor-agnostic therapies targeting p53. The Company’s headquarters are located at 400 Alexander Park Drive, Suite 301, Princeton, New Jersey.</w:t>
      </w:r>
    </w:p>
    <w:p>
      <w:pPr>
        <w:spacing w:after="0" w:line="7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clinical 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8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incurred net losses and negative cash flows from operations since its inception. During the three and nine months ended September 30, 2024, the Company incurred a net loss of $19,226 and $35,709, respectively. For the nine months ended September 30, 2024, the Company used $34,621 of cash for operations. At September 30, 2024, the Company had an accumulated deficit of $345,712. Cash, cash equivalents, and marketable securities were $197,937 as of September 30, 2024. Management expects to incur substantial additional operating losses for the next several years and may need to obtain additional debt or equity financings in order to complete development of its products, obtain regulatory approvals, launch and commercialize its products and continue research and development programs. The Company believes it has adequate cash, cash equivalents, and marketable securities to operate for the next 12 months from the date of issuance of these condensed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condensed consolidated financial statements for the year ended December 31, 2023, included in the Company’s Annual Report on Form 10-K filed with the United States Securities and Exchange Commission (the “SEC”) on February 29, 2024. Since the date of those condensed consolidated financial statements, there have been no changes to its significant accounting policies.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interim period reporting requirements of Form 10-Q and Article 10 of Regulation S-X. The condensed consolidated balance sheet as of September 30, 2024, the condensed consolidated statements of operations and comprehensive loss, condensed consolidated statements of stockholders’ equity and condensed consolidated statements of statements of cash flows for the three and nine months ended September 30, 2024 and 2023 are unaudited, but, in the opinion of management, include all adjustments, consisting only of normal recurring adjustments, which we consider necessary for a fair presentation of the financial position, operating results and cash flows for the periods presented. The results for any interim period are not necessarily indicative of results for the year ending December 31, 2024, or for any other subsequent interim period. The condensed consolidated balance sheet as of December 31, 2023, has been derived from our audited condensed consolidated financial statements.</w:t>
      </w:r>
    </w:p>
    <w:p>
      <w:pPr>
        <w:spacing w:after="0" w:line="80"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our accounts and the accounts of our wholly owned subsidiary, PMV Pharma Australia Pvt Ltd. All significant intercompany transactions and balances have been eliminated upon consolidation. These condensed consolidated financial statements are presented in United States (“U.S.”) Dollars, which is also the functional currency of the Company.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condensed consolidated financial statements include, but are not limited to, research and development costs, accrued research and development costs and related prepaid expenses. Actual results could differ materially from those estimates.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Management considers all highly liquid investments with original maturities of three months or less to be cash equivalents.</w:t>
      </w:r>
    </w:p>
    <w:p>
      <w:pPr>
        <w:spacing w:after="0" w:line="117"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equity. Premiums and discounts on marketable debt securities are amortized into earnings over the life of the security and recorded on the interest income, net line of the income statement. For the nine months ended September 30, 2024 and 2023, the Company recorded $4,239 and $3,511 of accretion, respectively.</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Restricted cash as of September 30, 2024 and December 31, 2023 included a $822 deposit at the Company’s commercial bank underlying a stand-by letter of credit issued in favor of a landlord (See Note 6) and is classified in current assets.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and Accumulated Other Comprehensive Income (Loss)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Other comprehensive income (loss) is defined as the change in equity during a period from transactions and other events and circumstances from non-owner sources, including unrealized gains and losses on investments and foreign currency translation gains and losses.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31F20"/>
        </w:rPr>
        <w:t>Leases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circumstances present. The Company accounts for a contract as a lease when it has the right to control the asset for a period of time while obtaining substantially all of the asset’s economic benefits. The Company determines the initial classification and measurement of its operating right-of-use (“ROU”) assets and operating lease liabilities at the lease commencement date, and thereafter if modified. The lease term includes any renewal options that the Company is reasonably certain to exercise. The Company’s policy is to not record leases with a lease term of 12 months or less on its balance sheets. The Company’s only existing leases are for office and laboratory space.</w:t>
      </w:r>
    </w:p>
    <w:p>
      <w:pPr>
        <w:spacing w:after="0" w:line="7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ROU asset represents the right to use the leased asset for the lease term. The lease liability represents the present value of the lease payments under the lease. The present value of lease payments is determined by using the interest rate implicit in the lease, if that rate is readily determinable; otherwise, the Company uses its estimated secured incremental borrowing rate for that lease term.</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reasonably assured lease term based on the total lease payments and is included in operating expense in the statements of operations.</w:t>
      </w:r>
    </w:p>
    <w:p>
      <w:pPr>
        <w:spacing w:after="0" w:line="54" w:lineRule="exact"/>
        <w:rPr>
          <w:sz w:val="20"/>
          <w:szCs w:val="20"/>
          <w:color w:val="auto"/>
        </w:rPr>
      </w:pPr>
    </w:p>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Payments due under each lease agreement include fixed and variable payments. Variable payments relate to the Company’s share of the lessor’s operating costs associated with the underlying asset and are recognized when the event on which those payments are assessed occurs. Variable payments have been excluded from the lease liability and associated right-of-use asset. Neither of the Company’s leases contain residual value guarantees.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utilizes the incremental borrowing rate to calculate lease liabilities, which is the rate incurred to borrow on a collateralized basis over a similar term an amount equal to the lease payments in a similar economic environment.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of cash, cash equivalents, and marketable securities. Cash and cash equivalents were held at primarily two financial institutions. At times, such deposits may be in excess of insured limits. The Company has not experienced any losses on its deposits of cash and cash equivalents. The Company’s marketable securities are carried at fair value and include any unrealized gains and losses. Any investments with unrealized losses are considered to be temporarily impaired.</w:t>
      </w:r>
    </w:p>
    <w:p>
      <w:pPr>
        <w:spacing w:after="0" w:line="72"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7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Fair Value Measurements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assets consist of money market funds, U.S. government debt securities and corporate debt securities. The following tables show the Company’s cash equivalents and available-for-sale securities’ carrying amounts and fair values as of September 30, 2024, and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ind w:left="7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060" w:type="dxa"/>
            <w:vAlign w:val="bottom"/>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priced in</w:t>
            </w:r>
          </w:p>
        </w:tc>
        <w:tc>
          <w:tcPr>
            <w:tcW w:w="14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06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48,709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36,399</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33,269</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112,391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112,728</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Borders>
              <w:bottom w:val="single" w:sz="8" w:color="CFF0FC"/>
            </w:tcBorders>
            <w:shd w:val="clear" w:color="auto" w:fill="CFF0FC"/>
          </w:tcPr>
          <w:p>
            <w:pPr>
              <w:spacing w:after="0"/>
              <w:rPr>
                <w:sz w:val="23"/>
                <w:szCs w:val="23"/>
                <w:color w:val="auto"/>
              </w:rPr>
            </w:pPr>
          </w:p>
        </w:tc>
        <w:tc>
          <w:tcPr>
            <w:tcW w:w="30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197,435</w:t>
            </w:r>
          </w:p>
        </w:tc>
        <w:tc>
          <w:tcPr>
            <w:tcW w:w="24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gridSpan w:val="2"/>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197,836</w:t>
            </w:r>
          </w:p>
        </w:tc>
        <w:tc>
          <w:tcPr>
            <w:tcW w:w="220" w:type="dxa"/>
            <w:vAlign w:val="bottom"/>
            <w:tcBorders>
              <w:bottom w:val="single" w:sz="8" w:color="CFF0FC"/>
            </w:tcBorders>
            <w:gridSpan w:val="2"/>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121,011</w:t>
            </w:r>
          </w:p>
        </w:tc>
        <w:tc>
          <w:tcPr>
            <w:tcW w:w="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76,825</w:t>
            </w:r>
          </w:p>
        </w:tc>
        <w:tc>
          <w:tcPr>
            <w:tcW w:w="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ind w:left="8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Quoted</w:t>
            </w:r>
          </w:p>
        </w:tc>
        <w:tc>
          <w:tcPr>
            <w:tcW w:w="140" w:type="dxa"/>
            <w:vAlign w:val="bottom"/>
          </w:tcPr>
          <w:p>
            <w:pPr>
              <w:spacing w:after="0"/>
              <w:rPr>
                <w:sz w:val="11"/>
                <w:szCs w:val="11"/>
                <w:color w:val="auto"/>
              </w:rPr>
            </w:pPr>
          </w:p>
        </w:tc>
        <w:tc>
          <w:tcPr>
            <w:tcW w:w="1060" w:type="dxa"/>
            <w:vAlign w:val="bottom"/>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Priced in</w:t>
            </w:r>
          </w:p>
        </w:tc>
        <w:tc>
          <w:tcPr>
            <w:tcW w:w="14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4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10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7"/>
        </w:trPr>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Financial assets</w:t>
            </w:r>
          </w:p>
        </w:tc>
        <w:tc>
          <w:tcPr>
            <w:tcW w:w="19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0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CFF0FC"/>
            </w:tcBorders>
            <w:shd w:val="clear" w:color="auto" w:fill="CFF0FC"/>
          </w:tcPr>
          <w:p>
            <w:pPr>
              <w:spacing w:after="0"/>
              <w:rPr>
                <w:sz w:val="18"/>
                <w:szCs w:val="18"/>
                <w:color w:val="auto"/>
              </w:rPr>
            </w:pPr>
          </w:p>
        </w:tc>
        <w:tc>
          <w:tcPr>
            <w:tcW w:w="8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70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20" w:type="dxa"/>
            <w:vAlign w:val="bottom"/>
            <w:tcBorders>
              <w:top w:val="single" w:sz="8" w:color="auto"/>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37,694</w:t>
            </w:r>
          </w:p>
        </w:tc>
        <w:tc>
          <w:tcPr>
            <w:tcW w:w="2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37,694</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0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securities</w:t>
            </w: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70,043</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64,466</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Government securities</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120,670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120,813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92,297</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304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228,359</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228,550</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135,568</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92,982</w:t>
            </w:r>
          </w:p>
        </w:tc>
        <w:tc>
          <w:tcPr>
            <w:tcW w:w="20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-1593850</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-1576705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-1593850</wp:posOffset>
            </wp:positionV>
            <wp:extent cx="768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-1576705</wp:posOffset>
            </wp:positionV>
            <wp:extent cx="768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-1593850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-1576705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-1593850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-1576705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-1593850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-1576705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-1576705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-24765</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-7620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-24765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both"/>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As of September 30, 2024, the Company had aggregate cash and cash equivalents of $48,810, including cash equivalents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$48,709, consisting of money market funds. As of December 31, 2023, the Company had aggregate cash and cash equivalents of $37,706, including cash equivalents of $37,694, consisting of money market funds. Money market funds are classified within level 1 of the fair value hierarchy because they are valued using quoted market prices in active markets.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2"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Marketable Securities </w:t>
      </w:r>
      <w:r>
        <w:rPr>
          <w:rFonts w:ascii="Times New Roman" w:cs="Times New Roman" w:eastAsia="Times New Roman" w:hAnsi="Times New Roman"/>
          <w:sz w:val="18"/>
          <w:szCs w:val="18"/>
          <w:color w:val="auto"/>
        </w:rPr>
        <w:t>— Marketable securities of $149,127 as of September 30, 2024, consisted of corporate debt securities of $36,399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government debt securities of $112,728. There were $134,031 current marketable securities and $15,096 noncurrent marketable securities as of September 30, 2024. Marketable securities of $190,856 as of December 31, 2023, consisted of corporate debt securities of $70,043 and government debt securities of $120,813. There were $165,351 current marketable securities and $25,505 noncurrent marketable securities as of December 31, 2023.</w:t>
      </w:r>
    </w:p>
    <w:p>
      <w:pPr>
        <w:spacing w:after="0" w:line="72"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aggregated gross unrealized losses of available-for-sale investments were not material, and accordingly, no allowance for credit losses was recorded.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Property and Equipment, Net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&amp; equipment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&amp; fixtures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13,936</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0" w:type="dxa"/>
            <w:vAlign w:val="bottom"/>
          </w:tcPr>
          <w:p>
            <w:pPr>
              <w:spacing w:after="0"/>
              <w:rPr>
                <w:sz w:val="20"/>
                <w:szCs w:val="20"/>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(4,046 )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(3,270 )</w:t>
            </w: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10,130</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2024 and 2023 was $371 and $358, respectively. Depreciation expense for the nine months ended September 30, 2024 and 2023 was $1,105 and $898,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Accrued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5860" w:type="dxa"/>
            <w:vAlign w:val="bottom"/>
          </w:tcPr>
          <w:p>
            <w:pPr>
              <w:spacing w:after="0"/>
              <w:rPr>
                <w:sz w:val="16"/>
                <w:szCs w:val="16"/>
                <w:color w:val="auto"/>
              </w:rPr>
            </w:pPr>
          </w:p>
        </w:tc>
        <w:tc>
          <w:tcPr>
            <w:tcW w:w="18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820" w:type="dxa"/>
            <w:vAlign w:val="bottom"/>
            <w:shd w:val="clear" w:color="auto" w:fill="CFF0FC"/>
          </w:tcPr>
          <w:p>
            <w:pPr>
              <w:jc w:val="right"/>
              <w:ind w:right="16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8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shd w:val="clear" w:color="auto" w:fill="CFF0FC"/>
          </w:tcPr>
          <w:p>
            <w:pPr>
              <w:spacing w:after="0"/>
              <w:rPr>
                <w:sz w:val="20"/>
                <w:szCs w:val="20"/>
                <w:color w:val="auto"/>
              </w:rPr>
            </w:pPr>
          </w:p>
        </w:tc>
      </w:tr>
      <w:tr>
        <w:trPr>
          <w:trHeight w:val="23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and professional services</w:t>
            </w:r>
          </w:p>
        </w:tc>
        <w:tc>
          <w:tcPr>
            <w:tcW w:w="18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0"/>
                <w:szCs w:val="20"/>
                <w:color w:val="auto"/>
              </w:rPr>
            </w:pPr>
          </w:p>
        </w:tc>
      </w:tr>
      <w:tr>
        <w:trPr>
          <w:trHeight w:val="243"/>
        </w:trPr>
        <w:tc>
          <w:tcPr>
            <w:tcW w:w="5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8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3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jc w:val="right"/>
              <w:ind w:right="16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9,940</w:t>
            </w:r>
          </w:p>
        </w:tc>
        <w:tc>
          <w:tcPr>
            <w:tcW w:w="100" w:type="dxa"/>
            <w:vAlign w:val="bottom"/>
          </w:tcPr>
          <w:p>
            <w:pPr>
              <w:spacing w:after="0"/>
              <w:rPr>
                <w:sz w:val="20"/>
                <w:szCs w:val="20"/>
                <w:color w:val="auto"/>
              </w:rPr>
            </w:pPr>
          </w:p>
        </w:tc>
      </w:tr>
      <w:tr>
        <w:trPr>
          <w:trHeight w:val="20"/>
        </w:trPr>
        <w:tc>
          <w:tcPr>
            <w:tcW w:w="586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-187960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right="8600" w:hanging="512"/>
        <w:spacing w:after="0" w:line="400" w:lineRule="auto"/>
        <w:tabs>
          <w:tab w:leader="none" w:pos="191" w:val="left"/>
        </w:tabs>
        <w:numPr>
          <w:ilvl w:val="0"/>
          <w:numId w:val="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Commitments and Contingencies Operating Leases</w:t>
      </w:r>
    </w:p>
    <w:p>
      <w:pPr>
        <w:jc w:val="both"/>
        <w:ind w:right="60" w:firstLine="509"/>
        <w:spacing w:after="0" w:line="281" w:lineRule="auto"/>
        <w:rPr>
          <w:sz w:val="20"/>
          <w:szCs w:val="20"/>
          <w:color w:val="auto"/>
        </w:rPr>
      </w:pPr>
      <w:r>
        <w:rPr>
          <w:rFonts w:ascii="Times New Roman" w:cs="Times New Roman" w:eastAsia="Times New Roman" w:hAnsi="Times New Roman"/>
          <w:sz w:val="17"/>
          <w:szCs w:val="17"/>
          <w:color w:val="auto"/>
        </w:rPr>
        <w:t>In August 2018, the Company executed two noncancelable operating leases. One lease for approximately 6,000 square feet for vivarium, laboratory and general office space in South Brunswick, New Jersey. The lease was set to expire in July 2022. In January 2022, the Company signed a lease extension for up to one additional year through July 2023, with the option to terminate upon 120 days of written notice, with an increase in base rent as per the lease extension. The lease was terminated as of June 2023. The second lease is for office space in Lexington, Massachusetts, that terminated in August 2023.</w:t>
      </w:r>
    </w:p>
    <w:p>
      <w:pPr>
        <w:spacing w:after="0" w:line="56"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January 2021, the Company signed a lease for 50,581 square feet of office and laboratory space at One Research Way in Princeton, New Jersey. That lease term extends through 2032, has a five-year extension option, and replaced the Company’s two existing facilities as the Company’s headquarters in March 2023. Payment under this lease will total $19,889 through May 2032. The Company received a lease incentive of $4,046 from the lessor for a buildout of laboratory, vivarium, and office space. Management estimated the timing and amounts of reimbursements and included them as a reduction of lease payments when initially measuring the lease liability and right-of-use asset upon commencement. Since the inception date of the lease, $4,046 reimbursements were received. For the nine months ended September 30, 2024, $242 of reimbursements were received.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In August 2024, the Company entered into a Lease Termination Agreement with BMR-One Research Way LLC, a Delaware limited liability company (the “Landlord”), in connection with the termination of the lease for 50,581 square feet of office and laboratory space at One Research Way in Princeton, New Jersey (the “Termination Agreement”). Pursuant to the Termination Agreement, the Company and the Landlord agreed to terminate the lease at One Research Way in Princeton, New Jersey, contingent on the sale of the property by the Landlord to a prospective new buyer (the “Contingency”). The Contingency was met on the date of sale on October 1, 2024, and the lease was terminated on such date.</w:t>
      </w:r>
    </w:p>
    <w:p>
      <w:pPr>
        <w:spacing w:after="0" w:line="7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Pursuant to the Termination Agreement, and subject to the Contingency, the Company agreed to surrender the property and paid a total termination fee of approximately $1,420, consisting of (i) a cash payment in the amount of approximately $798 and (ii) a release of a security deposit from the Company’s existing letter of credit in the amount of approximately $622.</w:t>
      </w:r>
    </w:p>
    <w:p>
      <w:pPr>
        <w:spacing w:after="0" w:line="6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September 2024, the Company signed a sublease agreement for 3,205 square feet of office and laboratory space at 311 Pennington Rocky Hill Road in Hopewell, New Jersey. The Company will utilize the premises as laboratory space for operational research and development activities. The sublease term extends through 2029 and provides the Company with the option to extend the term for an additional three year period. Payment under this sublease will total $768 through December 2029.</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lease cost for the three and nine months ended September 30, 2024 and 2023,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r>
      <w:tr>
        <w:trPr>
          <w:trHeight w:val="236"/>
        </w:trPr>
        <w:tc>
          <w:tcPr>
            <w:tcW w:w="5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5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FF0FC"/>
          </w:tcPr>
          <w:p>
            <w:pPr>
              <w:spacing w:after="0"/>
              <w:rPr>
                <w:sz w:val="20"/>
                <w:szCs w:val="20"/>
                <w:color w:val="auto"/>
              </w:rPr>
            </w:pPr>
          </w:p>
        </w:tc>
      </w:tr>
      <w:tr>
        <w:trPr>
          <w:trHeight w:val="24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1"/>
                <w:szCs w:val="21"/>
                <w:color w:val="auto"/>
              </w:rPr>
            </w:pPr>
          </w:p>
        </w:tc>
      </w:tr>
      <w:tr>
        <w:trPr>
          <w:trHeight w:val="277"/>
        </w:trPr>
        <w:tc>
          <w:tcPr>
            <w:tcW w:w="5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-663575</wp:posOffset>
            </wp:positionV>
            <wp:extent cx="102235"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-663575</wp:posOffset>
            </wp:positionV>
            <wp:extent cx="9398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in the balance sheet for leases where the Company is the lessee as of September 30, 2024, and December 31, 2023,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 (in thousands, except lease term and discount rate data):</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operating leases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13,286</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6.08 %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454"/>
        </w:trPr>
        <w:tc>
          <w:tcPr>
            <w:tcW w:w="938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for the nine months ended September 30, 2024 and 2023, respectively, as follows: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paid for amounts included in the measurement of lease liabilities</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6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or modified operating lease liabilities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643"/>
        </w:trPr>
        <w:tc>
          <w:tcPr>
            <w:tcW w:w="73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7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-2407920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net of reimbursements, remaining as of September 30, 2024, under operating leases by fiscal year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0" w:type="dxa"/>
            <w:vAlign w:val="bottom"/>
          </w:tcPr>
          <w:p>
            <w:pPr>
              <w:spacing w:after="0"/>
              <w:rPr>
                <w:sz w:val="16"/>
                <w:szCs w:val="16"/>
                <w:color w:val="auto"/>
              </w:rPr>
            </w:pPr>
          </w:p>
        </w:tc>
        <w:tc>
          <w:tcPr>
            <w:tcW w:w="19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21"/>
                <w:szCs w:val="21"/>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20"/>
                <w:szCs w:val="20"/>
                <w:color w:val="auto"/>
              </w:rPr>
            </w:pP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FF0FC"/>
          </w:tcPr>
          <w:p>
            <w:pPr>
              <w:spacing w:after="0"/>
              <w:rPr>
                <w:sz w:val="21"/>
                <w:szCs w:val="21"/>
                <w:color w:val="auto"/>
              </w:rPr>
            </w:pPr>
          </w:p>
        </w:tc>
      </w:tr>
      <w:tr>
        <w:trPr>
          <w:trHeight w:val="239"/>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20"/>
                <w:szCs w:val="20"/>
                <w:color w:val="auto"/>
              </w:rPr>
            </w:pPr>
          </w:p>
        </w:tc>
      </w:tr>
      <w:tr>
        <w:trPr>
          <w:trHeight w:val="24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FF0FC"/>
          </w:tcPr>
          <w:p>
            <w:pPr>
              <w:spacing w:after="0"/>
              <w:rPr>
                <w:sz w:val="21"/>
                <w:szCs w:val="21"/>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100" w:type="dxa"/>
            <w:vAlign w:val="bottom"/>
          </w:tcPr>
          <w:p>
            <w:pPr>
              <w:spacing w:after="0"/>
              <w:rPr>
                <w:sz w:val="21"/>
                <w:szCs w:val="21"/>
                <w:color w:val="auto"/>
              </w:rPr>
            </w:pPr>
          </w:p>
        </w:tc>
      </w:tr>
      <w:tr>
        <w:trPr>
          <w:trHeight w:val="237"/>
        </w:trPr>
        <w:tc>
          <w:tcPr>
            <w:tcW w:w="8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100" w:type="dxa"/>
            <w:vAlign w:val="bottom"/>
            <w:shd w:val="clear" w:color="auto" w:fill="CFF0FC"/>
          </w:tcPr>
          <w:p>
            <w:pPr>
              <w:spacing w:after="0"/>
              <w:rPr>
                <w:sz w:val="20"/>
                <w:szCs w:val="20"/>
                <w:color w:val="auto"/>
              </w:rPr>
            </w:pPr>
          </w:p>
        </w:tc>
      </w:tr>
      <w:tr>
        <w:trPr>
          <w:trHeight w:val="243"/>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Amounts representing imputed interest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(3,229 )</w:t>
            </w:r>
          </w:p>
        </w:tc>
      </w:tr>
      <w:tr>
        <w:trPr>
          <w:trHeight w:val="277"/>
        </w:trPr>
        <w:tc>
          <w:tcPr>
            <w:tcW w:w="8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Rent expense recorded during the three months ended September 30, 2024 and 2023 was $367 and $366, respectively. Rent expense recorded during the nine months ended September 30, 2024 and 2023 was $1,076 and $1,559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Stockholders’ Equity</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1,000,000,000 shares of common stock with a par value of $0.00001 per share and 5,000,000 shares of preferred stock with a par value of $0.00001 per share. At September 30, 2024 and December 31, 2023, there were 51,749,504 and 51,445,862 shares of common stock issued and outstanding, respectively.</w:t>
      </w:r>
    </w:p>
    <w:p>
      <w:pPr>
        <w:spacing w:after="0" w:line="6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receive dividends if and when declared by the board of directors subject to the rights of any preferred stockholders. As of September 30, 2024, no dividends on common stock had been declared by the Company.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Program</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October 4, 2021, the Company entered into an at-the-market offering program (the “ATM Program”) pursuant to which, the Company may offer and sell shares of its common stock having aggregate gross sales proceeds of up to $150.0 million from time to time. During the three and nine months ended September 30, 2024, the Company did not sell any shares of its common stock under the ATM Program. As of September 30, 2024, the Company has approximately $113.8 million remaining in gross proceeds available for future issuances of common stock under the ATM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Stock Plan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2020 Equity Incentive Plan (the “2020 Plan”) was approved by the board of directors on September 24, 2020. The 2020 Plan provides for the grant of incentive stock options, non-qualified stock options, stock appreciation rights, restricted stock units, restricted stock awards, unrestricted stock awards, cash-based awards and dividend equivalent rights to the Company’s officers, employees, directors, and consultants. The number of shares of common stock initially reserved for issuance under the 2020 Plan was 4,406,374, which shall be increased, upon approval by the board of directors, on January 1, 2021 and each January 1 thereafter, in an amount equal to the least of (i) 4,406,374 shares of common stock, (ii) five percent (5%) of the outstanding common stock on the immediately preceding December 31, or (iii) such number of common stock determined by the board of directors no later than the immediately preceding December 31. For 2024, the board’s compensation committee, as the 2020 Plan administrator, exercised its discretion under clause (ii) to increase the number of shares of common stock reserved for issuance under the 2020 Plan by 2,572,174 shares, effective as of January 1, 2024. As of September 30, 2024, there were 5,329,431 shares available for issuance under the 2020 Plan.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On September 9, 2022, the Company granted 374,899 Restricted Stock Units (“RSUs”) to employees pursuant to an employee retention program approved by the board’s compensation committee. The RSUs have graded vesting on an annual basis for two years of continuous service, as per the 2020 Plan. As of September 30, 2024, the RSUs were fully vested and common stock was issued upon the settlement of the RSUs.</w:t>
      </w:r>
    </w:p>
    <w:p>
      <w:pPr>
        <w:spacing w:after="0" w:line="68"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January 18, 2024, the Company granted 952,665 RSUs to employees VP-level or higher, pursuant to an employee retention program approved by the compensation committee of the Company’s board of directors. The RSUs are scheduled to vest on June 30, 2025, based on approximately one and a half years of continuous service, as per the 2020 Plan.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2020 Employee Stock Purchase Plan (the “2020 ESPP”) was approved by the board of directors on September 24, 2020. A total of 400,752 shares of common stock were initially reserved for issuance under this plan, which shall be increased, upon approval by the board of directors, on January 1, 2021 and each January 1 thereafter, to the lesser of (i) 801,504 shares of common stock, (ii) 1% of the outstanding shares of common stock on the last day of the immediately preceding fiscal year, or (iii) an amount determined by the board of directors or any of its committees no later than the last day of the immediately preceding fiscal year. For 2024, the 2020 ESPP reserved shares were increased under clause (ii) by 514,434 shares, effective as of January 1, 2024. As of September 30, 2024, 275,497 shares are issued or outstanding, and there were 1,136,410 shares available for issuance, under the 2020 ESPP.</w:t>
      </w:r>
    </w:p>
    <w:p>
      <w:pPr>
        <w:spacing w:after="0" w:line="2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On July 16, 2024, the Company filed with the Securities and Exchange Commission a Tender Offer Statement on Schedule TO defining the terms and conditions of a one-time voluntary stock option exchange to its employees of certain options to purchase up to an aggregate of 2,820,491 shares of the Company’s common stock (the “Option Exchange”). On August 13, 2024, the completion date of the Option Exchange, stock options covering an aggregate of 2,786,691 shares of common stock were tendered by eligible employees, and the Company granted new options at an exercise price of $1.48, the Company’s closing stock price on August 13, 2024, covering an aggregate of 2,786,691 shares of common stock under the 2020 Equity Incentive Plan in exchange for the tendered options. As a result of the Option Exchange, the Company will recognize incremental stock-based compensation expense of $1,370 over the requisite service period of the new stock options, which is three or four years. The Company will recognize the sum of the incremental stock-based compensation expense and the remaining unrecognized compensation expense for the original awards on the modification date, over the requisite service period of the new stock options.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option activity for the nine-month period ended September 30,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4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87"/>
        </w:trPr>
        <w:tc>
          <w:tcPr>
            <w:tcW w:w="4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000s)</w:t>
            </w:r>
          </w:p>
        </w:tc>
        <w:tc>
          <w:tcPr>
            <w:tcW w:w="100" w:type="dxa"/>
            <w:vAlign w:val="bottom"/>
          </w:tcPr>
          <w:p>
            <w:pPr>
              <w:spacing w:after="0"/>
              <w:rPr>
                <w:sz w:val="16"/>
                <w:szCs w:val="16"/>
                <w:color w:val="auto"/>
              </w:rPr>
            </w:pPr>
          </w:p>
        </w:tc>
      </w:tr>
      <w:tr>
        <w:trPr>
          <w:trHeight w:val="23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4,474,411</w:t>
            </w:r>
          </w:p>
        </w:tc>
        <w:tc>
          <w:tcPr>
            <w:tcW w:w="2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6,973,464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FF0FC"/>
          </w:tcPr>
          <w:p>
            <w:pPr>
              <w:spacing w:after="0"/>
              <w:rPr>
                <w:sz w:val="20"/>
                <w:szCs w:val="20"/>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reserved for issuance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2,572,174</w:t>
            </w:r>
          </w:p>
        </w:tc>
        <w:tc>
          <w:tcPr>
            <w:tcW w:w="24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(6,261,885 )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6,261,885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 cancelled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4,544,731</w:t>
            </w:r>
          </w:p>
        </w:tc>
        <w:tc>
          <w:tcPr>
            <w:tcW w:w="24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(4,544,731 )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(3,111 )</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4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at September 30, 2024 (unaudited)</w:t>
            </w:r>
          </w:p>
        </w:tc>
        <w:tc>
          <w:tcPr>
            <w:tcW w:w="120" w:type="dxa"/>
            <w:vAlign w:val="bottom"/>
            <w:tcBorders>
              <w:top w:val="single" w:sz="8" w:color="CFF0FC"/>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5,329,431</w:t>
            </w:r>
          </w:p>
        </w:tc>
        <w:tc>
          <w:tcPr>
            <w:tcW w:w="24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8,687,507</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0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top w:val="single" w:sz="8" w:color="CFF0FC"/>
            </w:tcBorders>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At September 30, 2024</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4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8,687,507</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4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Exercisable</w:t>
            </w:r>
          </w:p>
        </w:tc>
        <w:tc>
          <w:tcPr>
            <w:tcW w:w="1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3,008,229</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6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-702310</wp:posOffset>
            </wp:positionV>
            <wp:extent cx="7747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-702310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-702310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At September 30, 2024, the total compensation cost related to nonvested awards not yet recognized was $14,534. The weighted-average period over which the nonvested awards is expected to be recognized was 3.4 years.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r>
      <w:tr>
        <w:trPr>
          <w:trHeight w:val="175"/>
        </w:trPr>
        <w:tc>
          <w:tcPr>
            <w:tcW w:w="6200" w:type="dxa"/>
            <w:vAlign w:val="bottom"/>
          </w:tcPr>
          <w:p>
            <w:pPr>
              <w:spacing w:after="0"/>
              <w:rPr>
                <w:sz w:val="15"/>
                <w:szCs w:val="15"/>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540" w:type="dxa"/>
            <w:vAlign w:val="bottom"/>
            <w:gridSpan w:val="3"/>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- 4.69%</w:t>
            </w:r>
          </w:p>
        </w:tc>
        <w:tc>
          <w:tcPr>
            <w:tcW w:w="2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1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- 4.18%</w:t>
            </w:r>
          </w:p>
        </w:tc>
        <w:tc>
          <w:tcPr>
            <w:tcW w:w="100" w:type="dxa"/>
            <w:vAlign w:val="bottom"/>
            <w:shd w:val="clear" w:color="auto" w:fill="CCEEFF"/>
          </w:tcPr>
          <w:p>
            <w:pPr>
              <w:spacing w:after="0"/>
              <w:rPr>
                <w:sz w:val="20"/>
                <w:szCs w:val="20"/>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- 6.44</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gridSpan w:val="2"/>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0%</w:t>
            </w:r>
          </w:p>
        </w:tc>
        <w:tc>
          <w:tcPr>
            <w:tcW w:w="2540" w:type="dxa"/>
            <w:vAlign w:val="bottom"/>
            <w:gridSpan w:val="3"/>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85.55% - 127.07%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- 77.7%</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weighted average assumptions used to estimate the fair value of stock purchase rights under the ESPP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r>
      <w:tr>
        <w:trPr>
          <w:trHeight w:val="175"/>
        </w:trPr>
        <w:tc>
          <w:tcPr>
            <w:tcW w:w="620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54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r>
      <w:tr>
        <w:trPr>
          <w:trHeight w:val="23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400" w:type="dxa"/>
            <w:vAlign w:val="bottom"/>
            <w:tcBorders>
              <w:top w:val="single" w:sz="8" w:color="auto"/>
            </w:tcBorders>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rPr>
              <w:t>5.43%</w:t>
            </w:r>
          </w:p>
        </w:tc>
        <w:tc>
          <w:tcPr>
            <w:tcW w:w="220" w:type="dxa"/>
            <w:vAlign w:val="bottom"/>
            <w:shd w:val="clear" w:color="auto" w:fill="CFF0FC"/>
          </w:tcPr>
          <w:p>
            <w:pPr>
              <w:spacing w:after="0"/>
              <w:rPr>
                <w:sz w:val="20"/>
                <w:szCs w:val="20"/>
                <w:color w:val="auto"/>
              </w:rPr>
            </w:pPr>
          </w:p>
        </w:tc>
        <w:tc>
          <w:tcPr>
            <w:tcW w:w="2320" w:type="dxa"/>
            <w:vAlign w:val="bottom"/>
            <w:tcBorders>
              <w:top w:val="single" w:sz="8" w:color="auto"/>
            </w:tcBorders>
            <w:shd w:val="clear" w:color="auto" w:fill="CFF0FC"/>
          </w:tcPr>
          <w:p>
            <w:pPr>
              <w:jc w:val="center"/>
              <w:ind w:left="22"/>
              <w:spacing w:after="0"/>
              <w:rPr>
                <w:sz w:val="20"/>
                <w:szCs w:val="20"/>
                <w:color w:val="auto"/>
              </w:rPr>
            </w:pPr>
            <w:r>
              <w:rPr>
                <w:rFonts w:ascii="Times New Roman" w:cs="Times New Roman" w:eastAsia="Times New Roman" w:hAnsi="Times New Roman"/>
                <w:sz w:val="18"/>
                <w:szCs w:val="18"/>
                <w:color w:val="auto"/>
                <w:w w:val="98"/>
              </w:rPr>
              <w:t>5.36%</w:t>
            </w:r>
          </w:p>
        </w:tc>
        <w:tc>
          <w:tcPr>
            <w:tcW w:w="100" w:type="dxa"/>
            <w:vAlign w:val="bottom"/>
            <w:shd w:val="clear" w:color="auto" w:fill="CCECFF"/>
          </w:tcPr>
          <w:p>
            <w:pPr>
              <w:spacing w:after="0"/>
              <w:rPr>
                <w:sz w:val="20"/>
                <w:szCs w:val="20"/>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0.50</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5"/>
              </w:rPr>
              <w:t>0.49</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400" w:type="dxa"/>
            <w:vAlign w:val="bottom"/>
            <w:shd w:val="clear" w:color="auto" w:fill="CFF0FC"/>
          </w:tcPr>
          <w:p>
            <w:pPr>
              <w:jc w:val="center"/>
              <w:ind w:left="38"/>
              <w:spacing w:after="0"/>
              <w:rPr>
                <w:sz w:val="20"/>
                <w:szCs w:val="20"/>
                <w:color w:val="auto"/>
              </w:rPr>
            </w:pPr>
            <w:r>
              <w:rPr>
                <w:rFonts w:ascii="Times New Roman" w:cs="Times New Roman" w:eastAsia="Times New Roman" w:hAnsi="Times New Roman"/>
                <w:sz w:val="18"/>
                <w:szCs w:val="18"/>
                <w:color w:val="auto"/>
                <w:w w:val="99"/>
              </w:rPr>
              <w:t>0%</w:t>
            </w:r>
          </w:p>
        </w:tc>
        <w:tc>
          <w:tcPr>
            <w:tcW w:w="2540" w:type="dxa"/>
            <w:vAlign w:val="bottom"/>
            <w:gridSpan w:val="2"/>
            <w:shd w:val="clear" w:color="auto" w:fill="CFF0FC"/>
          </w:tcPr>
          <w:p>
            <w:pPr>
              <w:jc w:val="center"/>
              <w:ind w:left="255"/>
              <w:spacing w:after="0"/>
              <w:rPr>
                <w:sz w:val="20"/>
                <w:szCs w:val="20"/>
                <w:color w:val="auto"/>
              </w:rPr>
            </w:pPr>
            <w:r>
              <w:rPr>
                <w:rFonts w:ascii="Times New Roman" w:cs="Times New Roman" w:eastAsia="Times New Roman" w:hAnsi="Times New Roman"/>
                <w:sz w:val="18"/>
                <w:szCs w:val="18"/>
                <w:color w:val="auto"/>
                <w:w w:val="99"/>
              </w:rPr>
              <w:t>0%</w:t>
            </w:r>
          </w:p>
        </w:tc>
        <w:tc>
          <w:tcPr>
            <w:tcW w:w="100" w:type="dxa"/>
            <w:vAlign w:val="bottom"/>
            <w:shd w:val="clear" w:color="auto" w:fill="CCECFF"/>
          </w:tcPr>
          <w:p>
            <w:pPr>
              <w:spacing w:after="0"/>
              <w:rPr>
                <w:sz w:val="21"/>
                <w:szCs w:val="21"/>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0" w:type="dxa"/>
            <w:vAlign w:val="bottom"/>
          </w:tcPr>
          <w:p>
            <w:pPr>
              <w:jc w:val="center"/>
              <w:ind w:left="38"/>
              <w:spacing w:after="0"/>
              <w:rPr>
                <w:sz w:val="20"/>
                <w:szCs w:val="20"/>
                <w:color w:val="auto"/>
              </w:rPr>
            </w:pPr>
            <w:r>
              <w:rPr>
                <w:rFonts w:ascii="Times New Roman" w:cs="Times New Roman" w:eastAsia="Times New Roman" w:hAnsi="Times New Roman"/>
                <w:sz w:val="18"/>
                <w:szCs w:val="18"/>
                <w:color w:val="auto"/>
              </w:rPr>
              <w:t>85.55%</w:t>
            </w:r>
          </w:p>
        </w:tc>
        <w:tc>
          <w:tcPr>
            <w:tcW w:w="2540" w:type="dxa"/>
            <w:vAlign w:val="bottom"/>
            <w:gridSpan w:val="2"/>
          </w:tcPr>
          <w:p>
            <w:pPr>
              <w:jc w:val="center"/>
              <w:ind w:left="235"/>
              <w:spacing w:after="0"/>
              <w:rPr>
                <w:sz w:val="20"/>
                <w:szCs w:val="20"/>
                <w:color w:val="auto"/>
              </w:rPr>
            </w:pPr>
            <w:r>
              <w:rPr>
                <w:rFonts w:ascii="Times New Roman" w:cs="Times New Roman" w:eastAsia="Times New Roman" w:hAnsi="Times New Roman"/>
                <w:sz w:val="18"/>
                <w:szCs w:val="18"/>
                <w:color w:val="auto"/>
                <w:w w:val="97"/>
              </w:rPr>
              <w:t>76.50%</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Risk Free Interest Rate: The risk-free rate is based on the U.S. Treasury yields in effect at the time of grant for periods corresponding with the expected term of the option.</w:t>
      </w:r>
    </w:p>
    <w:p>
      <w:pPr>
        <w:spacing w:after="0" w:line="54"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Expected Term: The Company uses the simplified method to calculate expected term described in the SEC’s Staff Accounting Bulletin No. 107, which takes into account vesting term and expiration date of the options.</w:t>
      </w:r>
    </w:p>
    <w:p>
      <w:pPr>
        <w:spacing w:after="0" w:line="54"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Dividend Yield: The Company has never declared or paid any cash dividends and does not plan to pay cash dividends in the foreseeable future, and therefore, used an expected dividend yield of zero in the valuation model.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Volatility: Volatility is based on the historical volatility of the Company’s publicly traded shares for the expected term.</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RSU activity under the 2020 Plan as of September 30,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22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87"/>
        </w:trPr>
        <w:tc>
          <w:tcPr>
            <w:tcW w:w="7060" w:type="dxa"/>
            <w:vAlign w:val="bottom"/>
          </w:tcPr>
          <w:p>
            <w:pPr>
              <w:spacing w:after="0"/>
              <w:rPr>
                <w:sz w:val="16"/>
                <w:szCs w:val="16"/>
                <w:color w:val="auto"/>
              </w:rPr>
            </w:pPr>
          </w:p>
        </w:tc>
        <w:tc>
          <w:tcPr>
            <w:tcW w:w="224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60" w:type="dxa"/>
            <w:vAlign w:val="bottom"/>
          </w:tcPr>
          <w:p>
            <w:pPr>
              <w:spacing w:after="0"/>
              <w:rPr>
                <w:sz w:val="16"/>
                <w:szCs w:val="16"/>
                <w:color w:val="auto"/>
              </w:rPr>
            </w:pPr>
          </w:p>
        </w:tc>
        <w:tc>
          <w:tcPr>
            <w:tcW w:w="1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December 31, 2023</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236,296</w:t>
            </w:r>
          </w:p>
        </w:tc>
        <w:tc>
          <w:tcPr>
            <w:tcW w:w="3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20"/>
                <w:szCs w:val="20"/>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952,665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r>
      <w:tr>
        <w:trPr>
          <w:trHeight w:val="247"/>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(227,379 )</w:t>
            </w:r>
          </w:p>
        </w:tc>
        <w:tc>
          <w:tcPr>
            <w:tcW w:w="16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FF0FC"/>
          </w:tcPr>
          <w:p>
            <w:pPr>
              <w:spacing w:after="0"/>
              <w:rPr>
                <w:sz w:val="21"/>
                <w:szCs w:val="21"/>
                <w:color w:val="auto"/>
              </w:rPr>
            </w:pPr>
          </w:p>
        </w:tc>
      </w:tr>
      <w:tr>
        <w:trPr>
          <w:trHeight w:val="23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(53,916 )</w:t>
            </w:r>
          </w:p>
        </w:tc>
        <w:tc>
          <w:tcPr>
            <w:tcW w:w="1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r>
      <w:tr>
        <w:trPr>
          <w:trHeight w:val="277"/>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shares at September 30, 2024</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907,666</w:t>
            </w:r>
          </w:p>
        </w:tc>
        <w:tc>
          <w:tcPr>
            <w:tcW w:w="3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$845 of unrecognized compensation cost related to RSUs that are expected to vest. These costs are expected to be recognized over a weighted average remaining vesting period of 0.8 years.</w:t>
      </w:r>
    </w:p>
    <w:p>
      <w:pPr>
        <w:spacing w:after="0" w:line="5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recorded under ASC 718 related to stock options granted and common stock issued under the 2020 ESPP were allocated to research and development and general and administrative expense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6"/>
                <w:szCs w:val="16"/>
                <w:color w:val="auto"/>
              </w:rPr>
            </w:pPr>
          </w:p>
        </w:tc>
      </w:tr>
      <w:tr>
        <w:trPr>
          <w:trHeight w:val="240"/>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6"/>
        </w:trPr>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FF0FC"/>
          </w:tcPr>
          <w:p>
            <w:pPr>
              <w:spacing w:after="0"/>
              <w:rPr>
                <w:sz w:val="20"/>
                <w:szCs w:val="20"/>
                <w:color w:val="auto"/>
              </w:rPr>
            </w:pPr>
          </w:p>
        </w:tc>
      </w:tr>
      <w:tr>
        <w:trPr>
          <w:trHeight w:val="24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00" w:type="dxa"/>
            <w:vAlign w:val="bottom"/>
          </w:tcPr>
          <w:p>
            <w:pPr>
              <w:spacing w:after="0"/>
              <w:rPr>
                <w:sz w:val="21"/>
                <w:szCs w:val="21"/>
                <w:color w:val="auto"/>
              </w:rPr>
            </w:pPr>
          </w:p>
        </w:tc>
      </w:tr>
      <w:tr>
        <w:trPr>
          <w:trHeight w:val="277"/>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-8255</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by award type included within the condensed consolidated statements of operations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100" w:type="dxa"/>
            <w:vAlign w:val="bottom"/>
          </w:tcPr>
          <w:p>
            <w:pPr>
              <w:spacing w:after="0"/>
              <w:rPr>
                <w:sz w:val="16"/>
                <w:szCs w:val="16"/>
                <w:color w:val="auto"/>
              </w:rPr>
            </w:pPr>
          </w:p>
        </w:tc>
      </w:tr>
      <w:tr>
        <w:trPr>
          <w:trHeight w:val="240"/>
        </w:trPr>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6"/>
        </w:trPr>
        <w:tc>
          <w:tcPr>
            <w:tcW w:w="4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7,414</w:t>
            </w: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0"/>
                <w:szCs w:val="20"/>
                <w:color w:val="auto"/>
              </w:rPr>
            </w:pPr>
          </w:p>
        </w:tc>
      </w:tr>
      <w:tr>
        <w:trPr>
          <w:trHeight w:val="247"/>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10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-187960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 Income Taxes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Company’s effective tax rates were 0.4% and 0% for the three months ended September 30, 2024 and 2023, respectively. The income tax provision and effective tax rate are driven primarily by the proceeds from the sale of the Company’s New Jersey tax net operating loss carryforwards and R&amp;D tax credits.</w:t>
      </w:r>
    </w:p>
    <w:p>
      <w:pPr>
        <w:spacing w:after="0" w:line="6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recorded a full valuation allowance on federal and state net deferred tax assets since management does not forecast the Company to be in a taxable position in the near future.</w:t>
      </w:r>
    </w:p>
    <w:p>
      <w:pPr>
        <w:spacing w:after="0" w:line="5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State of New Jersey’s Technology Business Tax Certificate Program allows certain high technology and biotechnology companies to sell unused net operating loss (“NOL”) carryforwards and research and development (“R&amp;D”) tax credits to other New Jersey-based corporate taxpayers. As of September 30, 2024, the Company received $16,176 of cash for the NOL and R&amp;D tax credit sales related to the tax years ended December 31, 2015 to 2022. The sale of the NOLs and R&amp;D tax credits has been recorded as an income tax benefit within the condensed consolidated statement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 Net Loss per Share</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excluded all outstanding stock options and restricted stock units at each period end from the computation of diluted net loss per share attributable to common stockholders for the periods indicated because including them would have had an anti-dilutive effect. The following common stock equivalents were excluded from the calculation of diluted net loss per share:</w:t>
      </w:r>
    </w:p>
    <w:p>
      <w:pPr>
        <w:spacing w:after="0" w:line="183"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100" w:type="dxa"/>
            <w:vAlign w:val="bottom"/>
          </w:tcPr>
          <w:p>
            <w:pPr>
              <w:spacing w:after="0"/>
              <w:rPr>
                <w:sz w:val="14"/>
                <w:szCs w:val="14"/>
                <w:color w:val="auto"/>
              </w:rPr>
            </w:pPr>
          </w:p>
        </w:tc>
        <w:tc>
          <w:tcPr>
            <w:tcW w:w="15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380" w:type="dxa"/>
            <w:vAlign w:val="bottom"/>
            <w:tcBorders>
              <w:top w:val="single" w:sz="8" w:color="auto"/>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8,687,507</w:t>
            </w:r>
          </w:p>
        </w:tc>
        <w:tc>
          <w:tcPr>
            <w:tcW w:w="2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7,174,552</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907,666</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244,064</w:t>
            </w:r>
          </w:p>
        </w:tc>
        <w:tc>
          <w:tcPr>
            <w:tcW w:w="100" w:type="dxa"/>
            <w:vAlign w:val="bottom"/>
          </w:tcPr>
          <w:p>
            <w:pPr>
              <w:spacing w:after="0"/>
              <w:rPr>
                <w:sz w:val="20"/>
                <w:szCs w:val="20"/>
                <w:color w:val="auto"/>
              </w:rPr>
            </w:pPr>
          </w:p>
        </w:tc>
      </w:tr>
      <w:tr>
        <w:trPr>
          <w:trHeight w:val="247"/>
        </w:trPr>
        <w:tc>
          <w:tcPr>
            <w:tcW w:w="6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shares to be purchased under 2020 ESPP</w:t>
            </w:r>
          </w:p>
        </w:tc>
        <w:tc>
          <w:tcPr>
            <w:tcW w:w="15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47,242</w:t>
            </w:r>
          </w:p>
        </w:tc>
        <w:tc>
          <w:tcPr>
            <w:tcW w:w="260" w:type="dxa"/>
            <w:vAlign w:val="bottom"/>
            <w:tcBorders>
              <w:bottom w:val="single" w:sz="8" w:color="CFF0FC"/>
            </w:tcBorders>
            <w:shd w:val="clear" w:color="auto" w:fill="CFF0FC"/>
          </w:tcPr>
          <w:p>
            <w:pPr>
              <w:spacing w:after="0"/>
              <w:rPr>
                <w:sz w:val="21"/>
                <w:szCs w:val="21"/>
                <w:color w:val="auto"/>
              </w:rPr>
            </w:pPr>
          </w:p>
        </w:tc>
        <w:tc>
          <w:tcPr>
            <w:tcW w:w="2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9,642,415</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7,492,716</w:t>
            </w:r>
          </w:p>
        </w:tc>
        <w:tc>
          <w:tcPr>
            <w:tcW w:w="10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-187960</wp:posOffset>
            </wp:positionV>
            <wp:extent cx="774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Related Parties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Company has consulting agreements with three members of its board of directors; one of which waived his consulting fees starting as of September 2021. Total consulting fees paid during the three months ended September 30, 2024 and 2023 were $50 and $25, respectively. Total consulting fees paid during the nine months ended September 30, 2024 and 2023 were $137 and $67, respectively. There were no amounts owed under the consulting agreements as of September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Restructuring</w:t>
      </w:r>
    </w:p>
    <w:p>
      <w:pPr>
        <w:spacing w:after="0" w:line="121"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On January 18, 2024, the Company announced a restructuring plan involving the reduction of its workforce by approximately 30% of the Company’s employees. All of the costs under the restructuring plan were incurred during the nine months ended September 30, 2024. The Company undertook these steps in order to streamline operations, reduce costs and preserve capital as it advances into late-stage development for its lead product candidate, PC14586.</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reduction in force, the Company incurred an aggregate non-recurring charge of $597, consisting primarily of employee severance and benefit costs associated with the restructuring. The Company has recorded these charges in research and development expenses in the accompanying condensed consolidated statement of operations based on responsibilities of the impacted employees.</w:t>
      </w:r>
    </w:p>
    <w:p>
      <w:pPr>
        <w:spacing w:after="0" w:line="6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accounts for employee termination benefits that represent a one-time benefit in accordance with ASC Topic 420, Exit or Disposal Cost Obligations. It records such costs into expense over the employee’s future service period, if any.</w:t>
      </w:r>
    </w:p>
    <w:p>
      <w:pPr>
        <w:spacing w:after="0" w:line="54" w:lineRule="exact"/>
        <w:rPr>
          <w:sz w:val="20"/>
          <w:szCs w:val="20"/>
          <w:color w:val="auto"/>
        </w:rPr>
      </w:pPr>
    </w:p>
    <w:p>
      <w:pPr>
        <w:ind w:right="240" w:firstLine="509"/>
        <w:spacing w:after="0" w:line="313" w:lineRule="auto"/>
        <w:rPr>
          <w:sz w:val="20"/>
          <w:szCs w:val="20"/>
          <w:color w:val="auto"/>
        </w:rPr>
      </w:pPr>
      <w:r>
        <w:rPr>
          <w:rFonts w:ascii="Times New Roman" w:cs="Times New Roman" w:eastAsia="Times New Roman" w:hAnsi="Times New Roman"/>
          <w:sz w:val="18"/>
          <w:szCs w:val="18"/>
          <w:color w:val="auto"/>
        </w:rPr>
        <w:t>The following sets forth information regarding the balances and activity associated with the Company’s accrued employee severance and benefits costs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Expenses, net</w:t>
            </w:r>
          </w:p>
        </w:tc>
        <w:tc>
          <w:tcPr>
            <w:tcW w:w="260" w:type="dxa"/>
            <w:vAlign w:val="bottom"/>
          </w:tcPr>
          <w:p>
            <w:pPr>
              <w:spacing w:after="0"/>
              <w:rPr>
                <w:sz w:val="13"/>
                <w:szCs w:val="13"/>
                <w:color w:val="auto"/>
              </w:rPr>
            </w:pPr>
          </w:p>
        </w:tc>
        <w:tc>
          <w:tcPr>
            <w:tcW w:w="17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vMerge w:val="restart"/>
          </w:tcPr>
          <w:p>
            <w:pPr>
              <w:spacing w:after="0"/>
              <w:rPr>
                <w:sz w:val="13"/>
                <w:szCs w:val="13"/>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87"/>
        </w:trPr>
        <w:tc>
          <w:tcPr>
            <w:tcW w:w="3540" w:type="dxa"/>
            <w:vAlign w:val="bottom"/>
          </w:tcPr>
          <w:p>
            <w:pPr>
              <w:spacing w:after="0"/>
              <w:rPr>
                <w:sz w:val="16"/>
                <w:szCs w:val="16"/>
                <w:color w:val="auto"/>
              </w:rPr>
            </w:pPr>
          </w:p>
        </w:tc>
        <w:tc>
          <w:tcPr>
            <w:tcW w:w="148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(597 )</w:t>
            </w:r>
          </w:p>
        </w:tc>
        <w:tc>
          <w:tcPr>
            <w:tcW w:w="1800" w:type="dxa"/>
            <w:vAlign w:val="bottom"/>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13. Subsequent Event</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On August 5, 2024, the Company entered into the Termination Agreement. Pursuant to the Termination Agreement, the Company and the Landlord agreed to terminate the Lease subject to the Contingency. The Contingency was met on the date of sale on October 1, 2024, and the lease at One Research Way was terminated on such date.</w:t>
      </w:r>
    </w:p>
    <w:p>
      <w:pPr>
        <w:spacing w:after="0" w:line="68"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Termination Agreement, and subject to the Contingency, the Company agreed to surrender the property and pay a total termination fee of approximately $1,420 consisting of (i) a cash payment in the amount of approximately $798 and (ii) a release of a security deposit from the Company’s existing letter of credit in the amount of approximately $622. On October 1, 2024, the Company wrote off the $7,864 net ROU asset, the $12,714 lease liability, and the $9,454 of leasehold improvements associated with the lease at One Research Way in Princeton, New Jersey. This, along with associated broker fees, will result in a net loss on the lease termination of $6,768 in the condensed consolidated statements of operations for the year ended December 31, 2024.</w:t>
      </w:r>
    </w:p>
    <w:p>
      <w:pPr>
        <w:spacing w:after="0" w:line="7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On September 3, 2024, the Company entered into a new sublease agreement with Hengrui (USA) LTD., for approximately 14,201 square feet of office space located at 400 Alexander Park Drive, Suite 301, in Princeton, New Jersey for the Company’s new headquarters. The term of the lease is approximately 2 years, commencing on October 1, 2024 and expiring on February 28, 2027.</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unaudited condensed consolidated financial statements and the related notes and other financial information included in this Quarterly Report on Form 10-Q and our audited condensed consolidated financial statements and notes thereto as of and for the years ended December 31, 2023 and 2022 and the related “Management’s Discussion and Analysis of Financial Condition and Results of Operations,” including “Contractual Obligations and Commitments” and “Critical Accounting Policies and Estimates,” included in our Annual Report on Form 10-K for the fiscal year ended December 31, 2023 filed with the Securities and Exchange Commission, or the SEC, on February 29, 2024. Unless the context requires otherwise, references in this Quarterly Report on Form 10-Q to “we,” “us,” and “our” refer to PMV Pharmaceuticals, Inc.</w:t>
      </w:r>
    </w:p>
    <w:p>
      <w:pPr>
        <w:spacing w:after="0" w:line="7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that involve risks, uncertainties, and assumptions. Our actual results may differ materially from those anticipated in these forward-looking statements as a result of various factors, including but not limited to those set forth under the captions “Special Note Regarding Forward-Looking Statements,” “Item 1A. Risk Factors” and elsewhere in our Annual Report on Form 10-K for the fiscal year ended December 31, 2023, as updated by our subsequent filings under the Securities Exchange Act of 1934, as amended. Furthermore, past operating results are not necessarily indicative of results that may occur in future periods.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are a precision oncology company pioneering the discovery and development of small molecule, tumor-agnostic therapies targeting p53.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p53 mutations and other p53-related cancers.</w:t>
      </w:r>
    </w:p>
    <w:p>
      <w:pPr>
        <w:spacing w:after="0" w:line="8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During the three and nine months ended September 30, 2024, the Company incurred net losses of $19.2 million and $35.7 million, respectively. As of September 30, 2024, we had an accumulated deficit of $345.7 million. We do not currently have any product candidates approved for sale, and we continue to incur significant research and development and general administrative expenses related to our operations. We initiated a Phase 1/2 clinical trial, PYNNACLE, in October 2020 for our lead product candidate, PC14586 (rezatapopt). In October 2020, we were granted FDA Fast Track Designation of PC14586 for the treatment of patients with locally advanced or metastatic solid tumors that have a p53 Y220C mutation. In July 2023, we concluded our End of Phase 1 meeting with the FDA with alignment on the recommended Phase 2 dose and key elements of the single arm, Phase 2 registrational portion of the PYNNACLE study. In October 2023, we presented our updated Phase 1 clinical data for PC14586 at the 2023 AACR-NCI-EORTC International Conference on Molecular Targets and Cancer Therapeutics Meeting. We are continuing to dose patients in the pivotal Phase 2 monotherapy portion of our PYNNACLE trial, and have activated over 75% of sites globally across the U.S., Europe and Asia-Pacific.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azacytidine in patients harboring a TP53 Y220C mutation. We expect that enrollment for this Phase 1b study will begin in the first quarter of 2025. We also expect to provide interim data on the Phase 2 monotherapy registrational portion of the PYNNACLE trial by mid-2025.</w:t>
      </w:r>
    </w:p>
    <w:p>
      <w:pPr>
        <w:spacing w:after="0" w:line="8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Furthermore, we have incurred and will continue to incur additional costs associated with operating as a public company that we did not experience as a private company. We expect to continue to incur significant losses for the foreseeable future.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sectPr>
      </w:pPr>
    </w:p>
    <w:bookmarkStart w:id="20" w:name="page21"/>
    <w:bookmarkEnd w:id="20"/>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75" w:lineRule="exact"/>
        <w:rPr>
          <w:sz w:val="20"/>
          <w:szCs w:val="20"/>
          <w:color w:val="auto"/>
        </w:rPr>
      </w:pPr>
    </w:p>
    <w:p>
      <w:pPr>
        <w:jc w:val="both"/>
        <w:ind w:right="900" w:firstLine="509"/>
        <w:spacing w:after="0" w:line="266" w:lineRule="auto"/>
        <w:rPr>
          <w:sz w:val="20"/>
          <w:szCs w:val="20"/>
          <w:color w:val="auto"/>
        </w:rPr>
      </w:pPr>
      <w:r>
        <w:rPr>
          <w:rFonts w:ascii="Times New Roman" w:cs="Times New Roman" w:eastAsia="Times New Roman" w:hAnsi="Times New Roman"/>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right="80" w:firstLine="509"/>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and depreciation and maintenance of research equipment. We expense research and development costs as they are incurred.</w:t>
      </w:r>
    </w:p>
    <w:p>
      <w:pPr>
        <w:spacing w:after="0" w:line="72"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We do not allocate our costs by product candidate or development program, as a significant amount of research and development expenses include compensation costs, materials, supplies, depreciation on and maintenance of research equipment, and the cost of services provided by outside contractors,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 (rezatapopt). We initiated a Phase 1/2 clinical trial in October 2020 for our lead product candidate, PC14586. In October 2020, we were granted FDA Fast Track Designation of PC14586 for the treatment of patients with locally advanced or metastatic solid tumors that have a p53 Y220C mutation. In October 2023, we presented our updated Phase 1 clinical data for PC14586 at the 2023 AACR-NCI-EORTC International Conference on Molecular Targets and Cancer Therapeutics Meeting. We are continuing to dose patients, and have activated over 60% of sites globally across the US, Europe and Asia-Pacific, in the registrational, tumor-agnostic PYNNACLE Phase 2 trial of PC14586 in patients with advanced solid tumors harboring a TP53 Y220C mutation and KRAS wild-type (WT). In October 2024, we discontinued enrollment in the Phase 1b combination arm of the PYNNACLE trial evaluating rezatapopt in combination with Merck and Co.’s anti-PD-1 therapy KEYTRUDA® (pembrolizumab) in patients with advanced solid tumors harboring a TP53 Y220C mutation. Additionally, we announced that we are collaborating with the MD Anderson Cancer Center and the Memorial Sloan Kettering Cancer Center to support an investigator-initiated Phase 1b study, which is designed to assess the safety, tolerability, pharmacokinetics, and preliminary efficacy of rezatapopt monotherapy in combination with azacytidine in patients harboring a TP53 Y220C mutation. We expect that enrollment for this Phase 1b study will begin in the first quarter of 2025. We also expect to provide interim data on the Phase 2 monotherapy registrational portion of the PYNNACLE trial by mid-2025.</w:t>
      </w:r>
    </w:p>
    <w:p>
      <w:pPr>
        <w:spacing w:after="0" w:line="29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 services and other consulting fees. Allocated expenses consist of rent expense related to our office and research and development facilities. We also expect to increase our general and administrative expenses as we advance our product candidates through preclinical research and development, manufacturing, clinical development, and commercialization.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w:t>
      </w:r>
    </w:p>
    <w:p>
      <w:pPr>
        <w:spacing w:after="0" w:line="2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3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53"/>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(1,101 )</w:t>
            </w:r>
          </w:p>
        </w:tc>
      </w:tr>
      <w:tr>
        <w:trPr>
          <w:trHeight w:val="241"/>
        </w:trPr>
        <w:tc>
          <w:tcPr>
            <w:tcW w:w="66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FF0FC"/>
          </w:tcPr>
          <w:p>
            <w:pPr>
              <w:spacing w:after="0"/>
              <w:rPr>
                <w:sz w:val="21"/>
                <w:szCs w:val="21"/>
                <w:color w:val="auto"/>
              </w:rPr>
            </w:pPr>
          </w:p>
        </w:tc>
      </w:tr>
      <w:tr>
        <w:trPr>
          <w:trHeight w:val="243"/>
        </w:trPr>
        <w:tc>
          <w:tcPr>
            <w:tcW w:w="6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(21,888 )</w:t>
            </w: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(19,628 )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(2,260 )</w:t>
            </w:r>
          </w:p>
        </w:tc>
      </w:tr>
      <w:tr>
        <w:trPr>
          <w:trHeight w:val="237"/>
        </w:trPr>
        <w:tc>
          <w:tcPr>
            <w:tcW w:w="6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(369 )</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(252 )</w:t>
            </w:r>
          </w:p>
        </w:tc>
      </w:tr>
      <w:tr>
        <w:trPr>
          <w:trHeight w:val="241"/>
        </w:trPr>
        <w:tc>
          <w:tcPr>
            <w:tcW w:w="66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(19,152 )</w:t>
            </w:r>
          </w:p>
        </w:tc>
        <w:tc>
          <w:tcPr>
            <w:tcW w:w="18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(16,640 )</w:t>
            </w: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(2,512 )</w:t>
            </w: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FF0FC"/>
          </w:tcPr>
          <w:p>
            <w:pPr>
              <w:spacing w:after="0"/>
              <w:rPr>
                <w:sz w:val="21"/>
                <w:szCs w:val="21"/>
                <w:color w:val="auto"/>
              </w:rPr>
            </w:pPr>
          </w:p>
        </w:tc>
      </w:tr>
      <w:tr>
        <w:trPr>
          <w:trHeight w:val="241"/>
        </w:trPr>
        <w:tc>
          <w:tcPr>
            <w:tcW w:w="66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5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(19,226 )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(16,640 )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(2,586 )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-2228215</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-2228215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-1602740</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-1602740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-342265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-342265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vMerge w:val="continue"/>
          </w:tcPr>
          <w:p>
            <w:pPr>
              <w:spacing w:after="0"/>
              <w:rPr>
                <w:sz w:val="11"/>
                <w:szCs w:val="11"/>
                <w:color w:val="auto"/>
              </w:rPr>
            </w:pPr>
          </w:p>
        </w:tc>
        <w:tc>
          <w:tcPr>
            <w:tcW w:w="2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458"/>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right"/>
              <w:ind w:right="435"/>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3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31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3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(241 )</w:t>
            </w:r>
          </w:p>
        </w:tc>
        <w:tc>
          <w:tcPr>
            <w:tcW w:w="0" w:type="dxa"/>
            <w:vAlign w:val="bottom"/>
          </w:tcPr>
          <w:p>
            <w:pPr>
              <w:spacing w:after="0"/>
              <w:rPr>
                <w:sz w:val="1"/>
                <w:szCs w:val="1"/>
                <w:color w:val="auto"/>
              </w:rPr>
            </w:pPr>
          </w:p>
        </w:tc>
      </w:tr>
      <w:tr>
        <w:trPr>
          <w:trHeight w:val="23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9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(491 )</w:t>
            </w:r>
          </w:p>
        </w:tc>
        <w:tc>
          <w:tcPr>
            <w:tcW w:w="0" w:type="dxa"/>
            <w:vAlign w:val="bottom"/>
          </w:tcPr>
          <w:p>
            <w:pPr>
              <w:spacing w:after="0"/>
              <w:rPr>
                <w:sz w:val="1"/>
                <w:szCs w:val="1"/>
                <w:color w:val="auto"/>
              </w:rPr>
            </w:pPr>
          </w:p>
        </w:tc>
      </w:tr>
      <w:tr>
        <w:trPr>
          <w:trHeight w:val="276"/>
        </w:trPr>
        <w:tc>
          <w:tcPr>
            <w:tcW w:w="3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9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3740" w:type="dxa"/>
            <w:vAlign w:val="bottom"/>
          </w:tcPr>
          <w:p>
            <w:pPr>
              <w:spacing w:after="0"/>
              <w:rPr>
                <w:sz w:val="24"/>
                <w:szCs w:val="24"/>
                <w:color w:val="auto"/>
              </w:rPr>
            </w:pPr>
          </w:p>
        </w:tc>
        <w:tc>
          <w:tcPr>
            <w:tcW w:w="29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7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-899795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-899795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2" w:name="page23"/>
    <w:bookmarkEnd w:id="22"/>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$16.9 million for the three months ended September 30, 2024, compared to $13.6 million for the three months ended September 30, 2023. The increase of $3.3 million, compared to the three months ended September 30, 2023, was primarily due to the following:</w:t>
      </w:r>
    </w:p>
    <w:p>
      <w:pPr>
        <w:spacing w:after="0" w:line="68" w:lineRule="exact"/>
        <w:rPr>
          <w:sz w:val="20"/>
          <w:szCs w:val="20"/>
          <w:color w:val="auto"/>
        </w:rPr>
      </w:pPr>
    </w:p>
    <w:p>
      <w:pPr>
        <w:ind w:left="90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 million increase in research and development expenses associated with advancing our lead product candidate, PC14586, through the Phase 1/2 clinical trial; and</w:t>
      </w:r>
    </w:p>
    <w:p>
      <w:pPr>
        <w:spacing w:after="0" w:line="53"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$0.7 million decrease in expenses for personnel related costs and stock-based compensation, primarily driven by decreased headcount from our reduction in force initiated in January 2024.</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$4.9 million for the three months ended September 30, 2024, compared to $6.0 million for the three months ended September 30, 2023. The decrease of $1.1 million, compared to the three months ended September 30, 2023, was primarily due to following:</w:t>
      </w:r>
    </w:p>
    <w:p>
      <w:pPr>
        <w:spacing w:after="0" w:line="54"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decrease in personnel expenses driven by a decrease in headcount and $0.2 million decrease in director and officer insurance fees.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$2.6 million for the three months ended September 30, 2024. The decrease of $0.4 million compared to the three months ended September 30, 2023, is driven by less cash and investments in marketable securities and U.S treasuries during the three months ended September 30,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8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280" w:type="dxa"/>
            <w:vAlign w:val="bottom"/>
            <w:vMerge w:val="continue"/>
          </w:tcPr>
          <w:p>
            <w:pPr>
              <w:spacing w:after="0"/>
              <w:rPr>
                <w:sz w:val="11"/>
                <w:szCs w:val="11"/>
                <w:color w:val="auto"/>
              </w:rPr>
            </w:pPr>
          </w:p>
        </w:tc>
        <w:tc>
          <w:tcPr>
            <w:tcW w:w="2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413"/>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3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(3,207 )</w:t>
            </w:r>
          </w:p>
        </w:tc>
        <w:tc>
          <w:tcPr>
            <w:tcW w:w="0" w:type="dxa"/>
            <w:vAlign w:val="bottom"/>
          </w:tcPr>
          <w:p>
            <w:pPr>
              <w:spacing w:after="0"/>
              <w:rPr>
                <w:sz w:val="1"/>
                <w:szCs w:val="1"/>
                <w:color w:val="auto"/>
              </w:rPr>
            </w:pPr>
          </w:p>
        </w:tc>
      </w:tr>
      <w:tr>
        <w:trPr>
          <w:trHeight w:val="241"/>
        </w:trPr>
        <w:tc>
          <w:tcPr>
            <w:tcW w:w="4280" w:type="dxa"/>
            <w:vAlign w:val="bottom"/>
            <w:tcBorders>
              <w:top w:val="single" w:sz="8" w:color="CFF0FC"/>
            </w:tcBorders>
          </w:tcPr>
          <w:p>
            <w:pPr>
              <w:spacing w:after="0"/>
              <w:rPr>
                <w:sz w:val="20"/>
                <w:szCs w:val="20"/>
                <w:color w:val="auto"/>
              </w:rPr>
            </w:pPr>
          </w:p>
        </w:tc>
        <w:tc>
          <w:tcPr>
            <w:tcW w:w="23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(950 )</w:t>
            </w:r>
          </w:p>
        </w:tc>
        <w:tc>
          <w:tcPr>
            <w:tcW w:w="0" w:type="dxa"/>
            <w:vAlign w:val="bottom"/>
          </w:tcPr>
          <w:p>
            <w:pPr>
              <w:spacing w:after="0"/>
              <w:rPr>
                <w:sz w:val="1"/>
                <w:szCs w:val="1"/>
                <w:color w:val="auto"/>
              </w:rPr>
            </w:pPr>
          </w:p>
        </w:tc>
      </w:tr>
      <w:tr>
        <w:trPr>
          <w:trHeight w:val="243"/>
        </w:trPr>
        <w:tc>
          <w:tcPr>
            <w:tcW w:w="42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from operations</w:t>
            </w:r>
          </w:p>
        </w:tc>
        <w:tc>
          <w:tcPr>
            <w:tcW w:w="2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(60,280 )</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(61,230 )</w:t>
            </w: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3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2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80" w:type="dxa"/>
            <w:vAlign w:val="bottom"/>
            <w:shd w:val="clear" w:color="auto" w:fill="CFF0FC"/>
          </w:tcPr>
          <w:p>
            <w:pPr>
              <w:spacing w:after="0"/>
              <w:rPr>
                <w:sz w:val="20"/>
                <w:szCs w:val="20"/>
                <w:color w:val="auto"/>
              </w:rPr>
            </w:pPr>
          </w:p>
        </w:tc>
        <w:tc>
          <w:tcPr>
            <w:tcW w:w="2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income</w:t>
            </w:r>
          </w:p>
        </w:tc>
        <w:tc>
          <w:tcPr>
            <w:tcW w:w="2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8,029</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280" w:type="dxa"/>
            <w:vAlign w:val="bottom"/>
            <w:shd w:val="clear" w:color="auto" w:fill="CFF0FC"/>
          </w:tcPr>
          <w:p>
            <w:pPr>
              <w:spacing w:after="0"/>
              <w:rPr>
                <w:sz w:val="20"/>
                <w:szCs w:val="20"/>
                <w:color w:val="auto"/>
              </w:rPr>
            </w:pPr>
          </w:p>
        </w:tc>
        <w:tc>
          <w:tcPr>
            <w:tcW w:w="2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(51,809 )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(53,201 )</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(16,100 )</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(16,103 )</w:t>
            </w:r>
          </w:p>
        </w:tc>
        <w:tc>
          <w:tcPr>
            <w:tcW w:w="0" w:type="dxa"/>
            <w:vAlign w:val="bottom"/>
          </w:tcPr>
          <w:p>
            <w:pPr>
              <w:spacing w:after="0"/>
              <w:rPr>
                <w:sz w:val="1"/>
                <w:szCs w:val="1"/>
                <w:color w:val="auto"/>
              </w:rPr>
            </w:pPr>
          </w:p>
        </w:tc>
      </w:tr>
      <w:tr>
        <w:trPr>
          <w:trHeight w:val="241"/>
        </w:trPr>
        <w:tc>
          <w:tcPr>
            <w:tcW w:w="4280" w:type="dxa"/>
            <w:vAlign w:val="bottom"/>
            <w:tcBorders>
              <w:top w:val="single" w:sz="8" w:color="CFF0FC"/>
            </w:tcBorders>
          </w:tcPr>
          <w:p>
            <w:pPr>
              <w:spacing w:after="0"/>
              <w:rPr>
                <w:sz w:val="20"/>
                <w:szCs w:val="20"/>
                <w:color w:val="auto"/>
              </w:rPr>
            </w:pPr>
          </w:p>
        </w:tc>
        <w:tc>
          <w:tcPr>
            <w:tcW w:w="236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(35,709 )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(53,204 )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17,495</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4280" w:type="dxa"/>
            <w:vAlign w:val="bottom"/>
            <w:tcBorders>
              <w:top w:val="single" w:sz="8" w:color="CFF0FC"/>
            </w:tcBorders>
          </w:tcPr>
          <w:p>
            <w:pPr>
              <w:spacing w:after="0"/>
              <w:rPr>
                <w:sz w:val="24"/>
                <w:szCs w:val="24"/>
                <w:color w:val="auto"/>
              </w:rPr>
            </w:pPr>
          </w:p>
        </w:tc>
        <w:tc>
          <w:tcPr>
            <w:tcW w:w="2360" w:type="dxa"/>
            <w:vAlign w:val="bottom"/>
            <w:tcBorders>
              <w:top w:val="single" w:sz="8" w:color="CFF0FC"/>
            </w:tcBorders>
          </w:tcPr>
          <w:p>
            <w:pPr>
              <w:jc w:val="right"/>
              <w:ind w:right="83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-3119755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-3119755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-2493645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-2493645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-1233805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-1233805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-916305</wp:posOffset>
            </wp:positionV>
            <wp:extent cx="768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-899160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-916305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-899160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p>
      <w:pPr>
        <w:spacing w:after="0" w:line="232"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6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3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(996 )</w:t>
            </w: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 related</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(895 )</w:t>
            </w:r>
          </w:p>
        </w:tc>
      </w:tr>
      <w:tr>
        <w:trPr>
          <w:trHeight w:val="276"/>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44,760</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42,503</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$44.8 million for the nine months ended September 30, 2024, compared to $42.5 million for the nine months ended September 30, 2023. The increase of $2.3 million, compared to the nine months ended September 30, 2023, was primarily due to the following:</w:t>
      </w:r>
    </w:p>
    <w:p>
      <w:pPr>
        <w:spacing w:after="0" w:line="68" w:lineRule="exact"/>
        <w:rPr>
          <w:sz w:val="20"/>
          <w:szCs w:val="20"/>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in research and development expenses, largely driven by increased contractual research organization costs; offset by</w:t>
      </w:r>
    </w:p>
    <w:p>
      <w:pPr>
        <w:spacing w:after="0" w:line="117" w:lineRule="exact"/>
        <w:rPr>
          <w:rFonts w:ascii="Times New Roman" w:cs="Times New Roman" w:eastAsia="Times New Roman" w:hAnsi="Times New Roman"/>
          <w:sz w:val="18"/>
          <w:szCs w:val="18"/>
          <w:color w:val="auto"/>
        </w:rPr>
      </w:pPr>
    </w:p>
    <w:p>
      <w:pPr>
        <w:ind w:left="900" w:right="7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decrease in expenses for personnel related costs and stock-based compensation as a result of reduced headcount from our reduction in force initiated in January 2024.</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80" w:firstLine="509"/>
        <w:spacing w:after="0" w:line="312" w:lineRule="auto"/>
        <w:rPr>
          <w:sz w:val="20"/>
          <w:szCs w:val="20"/>
          <w:color w:val="auto"/>
        </w:rPr>
      </w:pPr>
      <w:r>
        <w:rPr>
          <w:rFonts w:ascii="Times New Roman" w:cs="Times New Roman" w:eastAsia="Times New Roman" w:hAnsi="Times New Roman"/>
          <w:sz w:val="17"/>
          <w:szCs w:val="17"/>
          <w:color w:val="auto"/>
        </w:rPr>
        <w:t>General and administrative expenses were $15.5 million for the nine months ended September 30, 2024, compared to $18.7 million for the nine months ended September 30, 2023. The decrease of $3.2 million, compared to the nine months ended September 30, 2023, was primarily due to following:</w:t>
      </w:r>
    </w:p>
    <w:p>
      <w:pPr>
        <w:spacing w:after="0" w:line="32" w:lineRule="exact"/>
        <w:rPr>
          <w:sz w:val="20"/>
          <w:szCs w:val="20"/>
          <w:color w:val="auto"/>
        </w:rPr>
      </w:pPr>
    </w:p>
    <w:p>
      <w:pPr>
        <w:ind w:left="900" w:right="2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million decrease in personnel expenses driven by a decrease in headcount, $1.1 million decrease in facility and equipment expenses due to expiration of three leases, and $0.5 million decrease in director and officer insurance fees and legal expenses; offset 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finance and legal support expenses.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Net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Interest income, net primarily consists of interest income from our interest-bearing cash, cash equivalents and marketable securities and interest costs related to accretion and amortization of discounts and premiums on marketable securities. Interest income, net was $8.4 million for the nine months ended September 30, 2024. The increase of $0.4 million compared to the nine months ended September 30, 2023, is driven by increased interest rates from cash and investments in marketable securities and U.S treasuries during the nine months ended September 30, 2024.</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received $16.2 million of cash for the NOL and R&amp;D tax credit sales related to the tax years ended December 31, 2015 to 2022. The sale of the NOLs and R&amp;D tax credits have been recorded as an income tax benefit within the condensed consolidated statement of operations.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4" w:name="page25"/>
    <w:bookmarkEnd w:id="24"/>
    <w:p>
      <w:pPr>
        <w:ind w:left="4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40" w:type="dxa"/>
            <w:vAlign w:val="bottom"/>
          </w:tcPr>
          <w:p>
            <w:pPr>
              <w:spacing w:after="0"/>
              <w:rPr>
                <w:sz w:val="16"/>
                <w:szCs w:val="16"/>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4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37,706</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100" w:type="dxa"/>
            <w:vAlign w:val="bottom"/>
          </w:tcPr>
          <w:p>
            <w:pPr>
              <w:spacing w:after="0"/>
              <w:rPr>
                <w:sz w:val="20"/>
                <w:szCs w:val="20"/>
                <w:color w:val="auto"/>
              </w:rPr>
            </w:pPr>
          </w:p>
        </w:tc>
      </w:tr>
      <w:tr>
        <w:trPr>
          <w:trHeight w:val="247"/>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134,031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165,351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(31,320 )</w:t>
            </w:r>
          </w:p>
        </w:tc>
      </w:tr>
      <w:tr>
        <w:trPr>
          <w:trHeight w:val="243"/>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(10,409 )</w:t>
            </w:r>
          </w:p>
        </w:tc>
      </w:tr>
      <w:tr>
        <w:trPr>
          <w:trHeight w:val="20"/>
        </w:trPr>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197,937</w:t>
            </w:r>
          </w:p>
        </w:tc>
        <w:tc>
          <w:tcPr>
            <w:tcW w:w="2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228,562</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(30,625 )</w:t>
            </w:r>
          </w:p>
        </w:tc>
      </w:tr>
      <w:tr>
        <w:trPr>
          <w:trHeight w:val="223"/>
        </w:trPr>
        <w:tc>
          <w:tcPr>
            <w:tcW w:w="62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189,620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207,409</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(17,789 )</w:t>
            </w:r>
          </w:p>
        </w:tc>
      </w:tr>
      <w:tr>
        <w:trPr>
          <w:trHeight w:val="247"/>
        </w:trPr>
        <w:tc>
          <w:tcPr>
            <w:tcW w:w="6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(13,563 )</w:t>
            </w:r>
          </w:p>
        </w:tc>
        <w:tc>
          <w:tcPr>
            <w:tcW w:w="1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(14,029 )</w:t>
            </w: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FF0FC"/>
          </w:tcPr>
          <w:p>
            <w:pPr>
              <w:spacing w:after="0"/>
              <w:rPr>
                <w:sz w:val="21"/>
                <w:szCs w:val="21"/>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working capital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176,057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193,380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(17,323 )</w:t>
            </w:r>
          </w:p>
        </w:tc>
      </w:tr>
      <w:tr>
        <w:trPr>
          <w:trHeight w:val="20"/>
        </w:trPr>
        <w:tc>
          <w:tcPr>
            <w:tcW w:w="6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-831215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-814070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-831215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-814070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September 30, 2024, we had cash, cash equivalents, and marketable securities of $197.9 million and an accumulated deficit of $345.7 million.</w:t>
      </w:r>
    </w:p>
    <w:p>
      <w:pPr>
        <w:spacing w:after="0" w:line="7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On October 4, 2021, we filed a shelf registration statement on Form S-3, as amended, (File No. 333-260012) with the SEC, or the Prior Shelf Registration Statement, which registered the offering, issuance, and sale of up to $200 million of various equity and debt securities and up to $150 million of common stock pursuant to an at-the-market equity offering program with Jefferies LLC, dated October 4, 2021, or the ATM Program. The Prior Shelf Registration Statement expired on October 4, 2024 and no shares of our common stock were able to be sold pursuant to the ATM Program following such date. We expect to file a new shelf registration statement on Form S-3 in order to, amongst other things, issue and sell common stock pursuant to the ATM Program. During the three and nine months ended September 30, 2024, we did not sell any shares of its common stock under the ATM Program. As of September 30, 2024, we have approximately $113.8 million remaining in gross proceeds available for future issuances of common stock under the ATM Program.</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January 2021, we signed a lease for 50,581 square feet of office and laboratory space at One Research Way in Princeton, New Jersey. That lease term extends through 2032 and has a five-year extension option. Amounts related to future lease payments as of September 30, 2024, totaled $13.9 million, with $1.9 million to be paid within the next 12 months. In August 2024, the Company entered into a Lease Termination Agreement with BMR-One Research Way LLC, in connection with the termination of the lease at One Research Way in Princeton, New Jersey. Pursuant to the Termination Agreement, the Company and the Landlord agreed to terminate the lease, contingent on the sale of the property by the Landlord to a prospective new buyer. The sale to the new buyer was completed on October 1, 2024 and the lease was terminated on such date.</w:t>
      </w:r>
    </w:p>
    <w:p>
      <w:pPr>
        <w:spacing w:after="0" w:line="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September 2024, we signed two subleases, one for 14,201 square feet of office space at 400 Alexander Park Drive, Suite 301, in Princeton, New Jersey, to be used as our new headquarters (“400 Alexander Sublease”), and the other for 3,025 square feet of office and laboratory space at 311 Pennington Rocky Hill in Hopewell, New Jersey, to be used for our new laboratory space (“311 Pennington Sublease”). The 400 Alexander Sublease term extends until February 28, 2027, and the 311 Pennington Sublease term extends until December 2029 and has a three-year extension option. Amounts related to future lease payments for 311 Pennington Sublease as of September 30, 2024, totaled $0.8 million with $0.1 million to be paid within the next 12 months. Amounts related to future lease payments for 400 Alexander Sublease as of October 1, 2024 totaled $0.8 million with $0.3 million to be paid within the next 12 months.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 and Future Funding Requirements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use our capital resources primarily to fund operating expenses, mainly research and development expenditures. On January 18, 2024, we announced a restructuring plan involving the reduction of our workforce by approximately 30% of our employees. All of the costs under the restructuring plan were incurred during the nine months ended September 30, 2024. We undertook these steps in order to streamline operations, reduce costs and preserve capital as we advance our lead candidate, PC14586, into late-stage development. At this time, due to the inherently unpredictable nature of preclinical and clinical development, we cannot reasonably estimate the costs we will incur and the timelines that will be required to complete development, obtain marketing approval and commercialize our current product candidates or any future product 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Due to our significant research and development expenditures, we have generated substantial operating losses in each period since inception. We have incurred an accumulated deficit of $345.7 million through September 30, 2024. We expect to incur substantial additional losses in the future as we expand our research and development activities. For the nine months ended September 30, 2024 and 2023, our cash operating expenditures were $34.6 million and $43.6 million, respectively. Based on our research and development plans, we expect that our cash, cash equivalents and marketable securities as of September 30, 2024 will be sufficient to fund our operations to the end of 2026.</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however, and we could use our capital resources sooner than we expect.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timing and amount of our operating expenditures will depend largely on:</w:t>
      </w:r>
    </w:p>
    <w:p>
      <w:pPr>
        <w:spacing w:after="0" w:line="117"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payments we may receive under any future collaboration agreements;</w:t>
      </w:r>
    </w:p>
    <w:p>
      <w:pPr>
        <w:spacing w:after="0" w:line="117" w:lineRule="exact"/>
        <w:rPr>
          <w:rFonts w:ascii="Times New Roman" w:cs="Times New Roman" w:eastAsia="Times New Roman" w:hAnsi="Times New Roman"/>
          <w:sz w:val="18"/>
          <w:szCs w:val="18"/>
          <w:color w:val="auto"/>
        </w:rPr>
      </w:pPr>
    </w:p>
    <w:p>
      <w:pPr>
        <w:ind w:left="900" w:right="78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future licenses and research and development programs and to establish new collaboration and/or in-licensing arrangements;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prosecuting and enforcing patent and other intellectual property claims;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regulatory approvals;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finalizing our announced reduction in force and related reorganization; and</w:t>
      </w:r>
    </w:p>
    <w:p>
      <w:pPr>
        <w:spacing w:after="0" w:line="117" w:lineRule="exact"/>
        <w:rPr>
          <w:rFonts w:ascii="Times New Roman" w:cs="Times New Roman" w:eastAsia="Times New Roman" w:hAnsi="Times New Roman"/>
          <w:sz w:val="18"/>
          <w:szCs w:val="18"/>
          <w:color w:val="auto"/>
        </w:rPr>
      </w:pPr>
    </w:p>
    <w:p>
      <w:pPr>
        <w:ind w:left="900" w:right="94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manage our office and laboratory headquarters, enhance operational systems and hire additional personnel to support development of our product candidates and satisfy our obligations as a public company.</w:t>
      </w:r>
    </w:p>
    <w:p>
      <w:pPr>
        <w:spacing w:after="0" w:line="54"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 indicated (in thousands):</w:t>
      </w:r>
    </w:p>
    <w:p>
      <w:pPr>
        <w:spacing w:after="0" w:line="23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555"/>
              <w:spacing w:after="0" w:line="131"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555"/>
              <w:spacing w:after="0" w:line="13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r>
      <w:tr>
        <w:trPr>
          <w:trHeight w:val="187"/>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(34,621 )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(43,572 )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(47,957 )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35,289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exchange rates on cash, cash equivalents, and restricted cash</w:t>
            </w:r>
          </w:p>
        </w:tc>
        <w:tc>
          <w:tcPr>
            <w:tcW w:w="26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(24 )</w:t>
            </w:r>
          </w:p>
        </w:tc>
        <w:tc>
          <w:tcPr>
            <w:tcW w:w="24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(56,240 )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2024, was $34.6 million, which consisted primarily of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$35.7 million partially offset by non-cash charges of $4.1 million. Changes in our net operating assets decreased operating cash by $3.0 million. The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charges primarily consisted of stock-based compensation of $7.6 million, accretion of discounts on marketable securities of $4.2 million, 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$1.1 million, and non-cash lease income of $0.3 million. The change in our net operating assets and liabilities was primarily due to an increase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assets, and a decrease in outstanding payables and accrued expenses.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$43.6 million, which consisted primarily of net loss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$53.2 million partially offset by non-cash charges of $6.5 million. Changes in our net operating assets increased operating cash by $3.1 million. The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charges primarily consisted of stock-based compensation of $9.4 million, accretion of premiums on marketable securities of $3.5 million, depreciation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$0.9 million, and non-cash lease income of $0.3 million. The change in our net operating assets and liabilities was primarily due to a decrease in prepaid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and other assets, a decrease in outstanding payables and an increase in accrued expenses.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provided $45.6 million of cash during the nine months ended September 30, 2024, which consisted primarily of maturities of marketable securities of $157.0 million, partially offset by purchases of marketable securities of $110.8 million, along with purchases of property and equipment of $0.6 million.</w:t>
      </w:r>
    </w:p>
    <w:p>
      <w:pPr>
        <w:spacing w:after="0" w:line="68" w:lineRule="exact"/>
        <w:rPr>
          <w:sz w:val="20"/>
          <w:szCs w:val="20"/>
          <w:color w:val="auto"/>
        </w:rPr>
      </w:pPr>
    </w:p>
    <w:p>
      <w:pPr>
        <w:jc w:val="both"/>
        <w:ind w:right="560" w:firstLine="509"/>
        <w:spacing w:after="0" w:line="266" w:lineRule="auto"/>
        <w:rPr>
          <w:sz w:val="20"/>
          <w:szCs w:val="20"/>
          <w:color w:val="auto"/>
        </w:rPr>
      </w:pPr>
      <w:r>
        <w:rPr>
          <w:rFonts w:ascii="Times New Roman" w:cs="Times New Roman" w:eastAsia="Times New Roman" w:hAnsi="Times New Roman"/>
          <w:sz w:val="18"/>
          <w:szCs w:val="18"/>
          <w:color w:val="auto"/>
        </w:rPr>
        <w:t>Our investing activities used $48.0 million of cash during nine months ended September 30, 2023, which consisted primarily of purchases of marketable securities of $187.1 million, along with purchases of property and equipment of $0.8 million, partially offset by maturities of marketable securities of $140.0 million.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financing activities provided $0.1 million of cash during the nine months ended September 30, 2024. This consisted of $0.1 million of proceeds from the exercise of stock options.</w:t>
      </w:r>
    </w:p>
    <w:p>
      <w:pPr>
        <w:spacing w:after="0" w:line="54" w:lineRule="exact"/>
        <w:rPr>
          <w:sz w:val="20"/>
          <w:szCs w:val="20"/>
          <w:color w:val="auto"/>
        </w:rPr>
      </w:pPr>
    </w:p>
    <w:p>
      <w:pPr>
        <w:jc w:val="both"/>
        <w:ind w:right="520" w:firstLine="509"/>
        <w:spacing w:after="0" w:line="266" w:lineRule="auto"/>
        <w:rPr>
          <w:sz w:val="20"/>
          <w:szCs w:val="20"/>
          <w:color w:val="auto"/>
        </w:rPr>
      </w:pPr>
      <w:r>
        <w:rPr>
          <w:rFonts w:ascii="Times New Roman" w:cs="Times New Roman" w:eastAsia="Times New Roman" w:hAnsi="Times New Roman"/>
          <w:sz w:val="18"/>
          <w:szCs w:val="18"/>
          <w:color w:val="auto"/>
        </w:rPr>
        <w:t>Our financing activities provided $35.3 million of cash during the nine months ended September 30, 2023. This consisted of $35.1 million of common stock issued under the ATM Program, net of issuance costs, and $0.2 million of proceeds from the exercise of stock options and issuance of common stock under the 2020 ESPP.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accounting principles generally accepted in the United States requires us to make estimates and judgments that affect the amounts reported in those condensed consolidated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7" w:name="page28"/>
    <w:bookmarkEnd w:id="27"/>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 During the nine-month period ended September 30, 2024, there were no material changes to our critical accounting policies from those described in our audited condensed consolidated financial statements for the year ended December 31, 2023, included in our Annual Report on Form 10-K filed with the SEC on February 29, 2024, except as noted below.</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Accrued Research and Development Costs and Related Prepaid Expenses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sourcing of raw materials and manufacturing of our product candidates, allocated facility-related expenses and external costs of outside vendors, and other direct and indirect costs. Non-refundable research and development advance payments are deferred and capitalized. The capitalized amounts are expensed as the related goods are delivered or services are performed.</w:t>
      </w:r>
    </w:p>
    <w:p>
      <w:pPr>
        <w:spacing w:after="0" w:line="7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condensed consolidated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including research laboratories, in connection with preclinical development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and investigative sites in connection with preclinical studies and clinical trials;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CMOs in connection with drug substance and drug product formulation of preclinical studies and clinical trial materials.</w:t>
      </w:r>
    </w:p>
    <w:p>
      <w:pPr>
        <w:spacing w:after="0" w:line="117"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of the notes to our unaudited condensed consolidated financial statements for the nine months ended September 30, 2024 included elsewhere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risks.</w:t>
      </w:r>
    </w:p>
    <w:p>
      <w:pPr>
        <w:spacing w:after="0" w:line="11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$197.9 million and restricted cash of $0.8 million as of September 30, 2024. The Company’s cash equivalents consist of interest-bearing U.S. treasury securities, money market funds, and corporate debt securities. Our exposure due to changes in interest rates is not material due to the nature and amount of our money-market funds and marketable securities.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Securities Exchange Act of 1934, as amended,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carry out a variety of ongoing procedures, under the supervision and with the participation of our management, including our Chief Executive Officer and Chief Financial Officer, to evaluate the effectiveness of the design and operation of our disclosure controls and procedures. Based on the foregoing, our Chief Executive Officer and Chief Financial Officer concluded that our disclosure controls and procedures were effective at the reasonable assurance level as of September 30, 2024.</w:t>
      </w:r>
    </w:p>
    <w:p>
      <w:pPr>
        <w:spacing w:after="0" w:line="72"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There have not been any changes in our internal control over financial reporting during our most recent fiscal quarter that have materially affected, or are reasonably likely to materially affect, our internal control over financial reporting.</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involved in any litigation or legal proceedings that, in management’s opinion, are likely to have any material adverse effect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There have been no material changes to the Company’s risk factors as set forth in Part I, Item 1A of the Company’s Annual Report on Form 10-K for the fiscal year ended December 31, 2023, as filed with the SEC on February 29, 2024, as supplemented by our Quarterly Report on Form 10-Q for the quarter ended March 31, 2024, as filed with the SEC on May 9, 2024. You should carefully review and consider the information regarding certain factors which could materially affect our business, financial condition or future results set forth under the heading “Risk Factors” in our Annual Report on Form 10-K for the fiscal year ended December 31, 2023, as filed with the SEC on February 29, 2024, and our Quarterly Report on Form 10-Q for the quarter ended March 31, 2024, as filed with the SEC on May 9, 2024.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 Unregistered Sales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 Use of Proceeds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Our registration statement on Form S-1 (File No. 333-248627) relating to the IPO was declared effective by the SEC. The IPO closed on September 25, 2020 at which time we sold 13,529,750 shares of common stock (including the exercise in full by the underwriters of their option to purchase an additional 1,764,750 shares of common stock) at a public offering price of $18.00 per share. We received net proceeds from the IPO of approximately $223.2 million, after deducting the underwriting discounts and commissions of approximately $17.0 million and estimated offering related expenses of approximately $3.3 million. No offering expenses were paid or payable, directly, or indirectly, to our directors, officers, or persons owning 10% or more of any class of equity securities or to our affiliates. Goldman Sachs &amp; Co. LLC, BofA Securities, Cowen, and Evercore ISI acted as joint book-running managers for the offering.</w:t>
      </w:r>
    </w:p>
    <w:p>
      <w:pPr>
        <w:spacing w:after="0" w:line="8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September 24, 2020.</w:t>
      </w:r>
    </w:p>
    <w:p>
      <w:pPr>
        <w:spacing w:after="0" w:line="54"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On October 4, 2021, we filed a shelf registration statement on Form S-3, as amended (File No. 333-260012), or the Prior Shelf Registration Statement, which was subsequently declared effective by the SEC on April 28, 2022. The Prior Shelf Registration Statement consisted of (i) a base prospectus pursuant to which we may offer and sell, from time to time, up to $200 million of shares of our common stock, shares of our preferred stock, various series of debt securities and warrants to purchase any of such securities in one or more registered offerings, and (ii) a prospectus supplement pursuant to which we may offer and sell, from time to time, up to $150 million of shares of common stock in “at-the-market” offerings. The Prior Shelf Registration Statement expired on October 4, 2024 and no shares of our common stock were able to be sold pursuant to the ATM Program following such date. We expect to file a new shelf registration statement on Form S-3 in order to, among other things, issue and sell common stock pursuant to the ATM Program. During the three and nine months ended September 30, 2024, the Company did not sell any shares of its common stock under the ATM Program. As of September 30, 2024, we have approximately $113.8 million remaining in gross proceeds available for future issuances of common stock under the ATM Program. There has been no material change in the planned use of proceeds as described in the Prior Shelf Registration Statement. None of the offering expenses were paid or payable, directly, or indirectly, to our directors, officers, or persons owning 10% or more of any class of equity securities or to our affiliates.</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 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2"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jc w:val="center"/>
        <w:ind w:right="8059"/>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center"/>
        <w:ind w:right="8019"/>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4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gridSpan w:val="14"/>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80" w:type="dxa"/>
            <w:vAlign w:val="bottom"/>
            <w:vMerge w:val="restart"/>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60" w:type="dxa"/>
            <w:vAlign w:val="bottom"/>
            <w:gridSpan w:val="14"/>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4"/>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3.1</w:t>
            </w:r>
          </w:p>
        </w:tc>
        <w:tc>
          <w:tcPr>
            <w:tcW w:w="5700" w:type="dxa"/>
            <w:vAlign w:val="bottom"/>
            <w:gridSpan w:val="16"/>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Amended and Restated Certificate of Incorporation of the Registrant</w:t>
              </w:r>
            </w:hyperlink>
          </w:p>
        </w:tc>
        <w:tc>
          <w:tcPr>
            <w:tcW w:w="74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September 29, 2020</w:t>
            </w:r>
          </w:p>
        </w:tc>
        <w:tc>
          <w:tcPr>
            <w:tcW w:w="0" w:type="dxa"/>
            <w:vAlign w:val="bottom"/>
          </w:tcPr>
          <w:p>
            <w:pPr>
              <w:spacing w:after="0"/>
              <w:rPr>
                <w:sz w:val="1"/>
                <w:szCs w:val="1"/>
                <w:color w:val="auto"/>
              </w:rPr>
            </w:pPr>
          </w:p>
        </w:tc>
      </w:tr>
      <w:tr>
        <w:trPr>
          <w:trHeight w:val="466"/>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3.2</w:t>
            </w:r>
          </w:p>
        </w:tc>
        <w:tc>
          <w:tcPr>
            <w:tcW w:w="4940" w:type="dxa"/>
            <w:vAlign w:val="bottom"/>
            <w:tcBorders>
              <w:top w:val="single" w:sz="8" w:color="0000FF"/>
            </w:tcBorders>
            <w:gridSpan w:val="8"/>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Amended and Restated Bylaws of the Registrant</w:t>
              </w:r>
            </w:hyperlink>
          </w:p>
        </w:tc>
        <w:tc>
          <w:tcPr>
            <w:tcW w:w="760" w:type="dxa"/>
            <w:vAlign w:val="bottom"/>
            <w:gridSpan w:val="8"/>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May 10, 2023</w:t>
            </w: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ind w:right="173"/>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restart"/>
          </w:tcPr>
          <w:p>
            <w:pPr>
              <w:jc w:val="center"/>
              <w:ind w:right="15"/>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001-39539</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vMerge w:val="restart"/>
          </w:tcPr>
          <w:p>
            <w:pPr>
              <w:jc w:val="center"/>
              <w:ind w:left="55"/>
              <w:spacing w:after="0"/>
              <w:rPr>
                <w:sz w:val="20"/>
                <w:szCs w:val="20"/>
                <w:color w:val="auto"/>
              </w:rPr>
            </w:pPr>
            <w:r>
              <w:rPr>
                <w:rFonts w:ascii="Times New Roman" w:cs="Times New Roman" w:eastAsia="Times New Roman" w:hAnsi="Times New Roman"/>
                <w:sz w:val="18"/>
                <w:szCs w:val="18"/>
                <w:color w:val="auto"/>
              </w:rPr>
              <w:t>August 8, 2024</w:t>
            </w:r>
          </w:p>
        </w:tc>
        <w:tc>
          <w:tcPr>
            <w:tcW w:w="0" w:type="dxa"/>
            <w:vAlign w:val="bottom"/>
          </w:tcPr>
          <w:p>
            <w:pPr>
              <w:spacing w:after="0" w:line="20" w:lineRule="exact"/>
              <w:rPr>
                <w:sz w:val="1"/>
                <w:szCs w:val="1"/>
                <w:color w:val="auto"/>
              </w:rPr>
            </w:pPr>
          </w:p>
        </w:tc>
      </w:tr>
      <w:tr>
        <w:trPr>
          <w:trHeight w:val="507"/>
        </w:trPr>
        <w:tc>
          <w:tcPr>
            <w:tcW w:w="940" w:type="dxa"/>
            <w:vAlign w:val="bottom"/>
            <w:vMerge w:val="continue"/>
          </w:tcPr>
          <w:p>
            <w:pPr>
              <w:spacing w:after="0"/>
              <w:rPr>
                <w:sz w:val="24"/>
                <w:szCs w:val="24"/>
                <w:color w:val="auto"/>
              </w:rPr>
            </w:pPr>
          </w:p>
        </w:tc>
        <w:tc>
          <w:tcPr>
            <w:tcW w:w="5560" w:type="dxa"/>
            <w:vAlign w:val="bottom"/>
            <w:gridSpan w:val="15"/>
            <w:vMerge w:val="restart"/>
          </w:tcPr>
          <w:p>
            <w:pPr>
              <w:spacing w:after="0"/>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Lease Termination Agreement, dated August 5, 2024, by and between BMR-</w:t>
              </w:r>
            </w:hyperlink>
          </w:p>
        </w:tc>
        <w:tc>
          <w:tcPr>
            <w:tcW w:w="140" w:type="dxa"/>
            <w:vAlign w:val="bottom"/>
            <w:vMerge w:val="restart"/>
          </w:tcPr>
          <w:p>
            <w:pPr>
              <w:spacing w:after="0"/>
              <w:rPr>
                <w:sz w:val="24"/>
                <w:szCs w:val="24"/>
                <w:color w:val="auto"/>
              </w:rPr>
            </w:pPr>
          </w:p>
        </w:tc>
        <w:tc>
          <w:tcPr>
            <w:tcW w:w="7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940" w:type="dxa"/>
            <w:vAlign w:val="bottom"/>
          </w:tcPr>
          <w:p>
            <w:pPr>
              <w:spacing w:after="0"/>
              <w:rPr>
                <w:sz w:val="15"/>
                <w:szCs w:val="15"/>
                <w:color w:val="auto"/>
              </w:rPr>
            </w:pPr>
          </w:p>
        </w:tc>
        <w:tc>
          <w:tcPr>
            <w:tcW w:w="5560" w:type="dxa"/>
            <w:vAlign w:val="bottom"/>
            <w:tcBorders>
              <w:bottom w:val="single" w:sz="8" w:color="0000FF"/>
            </w:tcBorders>
            <w:gridSpan w:val="15"/>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1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73">
              <w:r>
                <w:rPr>
                  <w:rFonts w:ascii="Times New Roman" w:cs="Times New Roman" w:eastAsia="Times New Roman" w:hAnsi="Times New Roman"/>
                  <w:sz w:val="18"/>
                  <w:szCs w:val="18"/>
                  <w:color w:val="0000FF"/>
                  <w:w w:val="99"/>
                </w:rPr>
                <w:t>One Research Way LLC and PMV Pharmaceuticals, Inc.</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9"/>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5"/>
              </w:rPr>
              <w:t>31.1+</w:t>
            </w:r>
          </w:p>
        </w:tc>
        <w:tc>
          <w:tcPr>
            <w:tcW w:w="55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w:t>
            </w:r>
          </w:p>
        </w:tc>
        <w:tc>
          <w:tcPr>
            <w:tcW w:w="16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22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202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5"/>
              </w:rPr>
              <w:t>31.2+</w:t>
            </w:r>
          </w:p>
        </w:tc>
        <w:tc>
          <w:tcPr>
            <w:tcW w:w="55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w:t>
            </w:r>
          </w:p>
        </w:tc>
        <w:tc>
          <w:tcPr>
            <w:tcW w:w="20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4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15d-14(a) under the Securities Exchange Act of 1934, as Adopted Pursuant</w:t>
            </w:r>
          </w:p>
        </w:tc>
        <w:tc>
          <w:tcPr>
            <w:tcW w:w="22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366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302 of the Sarbanes-Oxley Act of 2002.</w:t>
            </w:r>
          </w:p>
        </w:tc>
        <w:tc>
          <w:tcPr>
            <w:tcW w:w="20" w:type="dxa"/>
            <w:vAlign w:val="bottom"/>
            <w:tcBorders>
              <w:bottom w:val="single" w:sz="8" w:color="0000EE"/>
            </w:tcBorders>
          </w:tcPr>
          <w:p>
            <w:pPr>
              <w:spacing w:after="0"/>
              <w:rPr>
                <w:sz w:val="17"/>
                <w:szCs w:val="17"/>
                <w:color w:val="auto"/>
              </w:rPr>
            </w:pPr>
          </w:p>
        </w:tc>
        <w:tc>
          <w:tcPr>
            <w:tcW w:w="2020" w:type="dxa"/>
            <w:vAlign w:val="bottom"/>
            <w:gridSpan w:val="11"/>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32.1+†</w:t>
            </w:r>
          </w:p>
        </w:tc>
        <w:tc>
          <w:tcPr>
            <w:tcW w:w="53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32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30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32.2+†</w:t>
            </w:r>
          </w:p>
        </w:tc>
        <w:tc>
          <w:tcPr>
            <w:tcW w:w="5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38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7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20" w:type="dxa"/>
            <w:vAlign w:val="bottom"/>
            <w:tcBorders>
              <w:top w:val="single" w:sz="8" w:color="0000FF"/>
              <w:bottom w:val="single" w:sz="8" w:color="0000EE"/>
            </w:tcBorders>
          </w:tcPr>
          <w:p>
            <w:pPr>
              <w:spacing w:after="0"/>
              <w:rPr>
                <w:sz w:val="17"/>
                <w:szCs w:val="17"/>
                <w:color w:val="auto"/>
              </w:rPr>
            </w:pPr>
          </w:p>
        </w:tc>
        <w:tc>
          <w:tcPr>
            <w:tcW w:w="30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101.INS</w:t>
            </w:r>
          </w:p>
        </w:tc>
        <w:tc>
          <w:tcPr>
            <w:tcW w:w="5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4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rPr>
              <w:t>101.SCH</w:t>
            </w:r>
          </w:p>
        </w:tc>
        <w:tc>
          <w:tcPr>
            <w:tcW w:w="57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080" w:right="5020" w:hanging="734"/>
        <w:spacing w:after="0" w:line="282" w:lineRule="auto"/>
        <w:tabs>
          <w:tab w:leader="none" w:pos="10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48" w:lineRule="exact"/>
        <w:rPr>
          <w:rFonts w:ascii="Times New Roman" w:cs="Times New Roman" w:eastAsia="Times New Roman" w:hAnsi="Times New Roman"/>
          <w:sz w:val="18"/>
          <w:szCs w:val="18"/>
          <w:color w:val="auto"/>
        </w:rPr>
      </w:pPr>
    </w:p>
    <w:p>
      <w:pPr>
        <w:jc w:val="both"/>
        <w:ind w:firstLine="8"/>
        <w:spacing w:after="0" w:line="261" w:lineRule="auto"/>
        <w:tabs>
          <w:tab w:leader="none" w:pos="1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9512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22" w:right="51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0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r>
      <w:tr>
        <w:trPr>
          <w:trHeight w:val="47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7, 2024</w:t>
            </w:r>
          </w:p>
        </w:tc>
        <w:tc>
          <w:tcPr>
            <w:tcW w:w="23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David H. Mack</w:t>
            </w:r>
          </w:p>
        </w:tc>
      </w:tr>
      <w:tr>
        <w:trPr>
          <w:trHeight w:val="205"/>
        </w:trPr>
        <w:tc>
          <w:tcPr>
            <w:tcW w:w="37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David H. Mack, Ph.D.</w:t>
            </w:r>
          </w:p>
        </w:tc>
      </w:tr>
      <w:tr>
        <w:trPr>
          <w:trHeight w:val="230"/>
        </w:trPr>
        <w:tc>
          <w:tcPr>
            <w:tcW w:w="37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r>
      <w:tr>
        <w:trPr>
          <w:trHeight w:val="234"/>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pacing w:after="0" w:line="2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ectPr>
          <w:pgSz w:w="11900" w:h="16838" w:orient="portrait"/>
          <w:cols w:equalWidth="0" w:num="1">
            <w:col w:w="11240"/>
          </w:cols>
          <w:pgMar w:left="320" w:top="1022" w:right="3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7, 2024</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-1203960</wp:posOffset>
            </wp:positionH>
            <wp:positionV relativeFrom="paragraph">
              <wp:posOffset>26035</wp:posOffset>
            </wp:positionV>
            <wp:extent cx="32746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4940" w:space="720"/>
            <w:col w:w="1600" w:space="720"/>
            <w:col w:w="3260"/>
          </w:cols>
          <w:pgMar w:left="320" w:top="1022" w:right="339" w:bottom="1440" w:gutter="0" w:footer="0" w:header="0"/>
          <w:type w:val="continuous"/>
        </w:sectPr>
      </w:pPr>
    </w:p>
    <w:p>
      <w:pPr>
        <w:jc w:val="center"/>
        <w:ind w:left="6060"/>
        <w:spacing w:after="0"/>
        <w:rPr>
          <w:sz w:val="20"/>
          <w:szCs w:val="20"/>
          <w:color w:val="auto"/>
        </w:rPr>
      </w:pPr>
      <w:r>
        <w:rPr>
          <w:rFonts w:ascii="Times New Roman" w:cs="Times New Roman" w:eastAsia="Times New Roman" w:hAnsi="Times New Roman"/>
          <w:sz w:val="18"/>
          <w:szCs w:val="18"/>
          <w:color w:val="auto"/>
        </w:rPr>
        <w:t>Michael Carulli</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7"/>
          <w:szCs w:val="17"/>
          <w:color w:val="auto"/>
        </w:rPr>
        <w:t>(Principal Financial and Principal Accounting Officer)</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 Mack, certify that:</w:t>
      </w:r>
    </w:p>
    <w:p>
      <w:pPr>
        <w:spacing w:after="0" w:line="225"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PMV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2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President, Chief Executive Officer,</w:t>
      </w:r>
    </w:p>
    <w:p>
      <w:pPr>
        <w:spacing w:after="0" w:line="23"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and Director</w:t>
      </w:r>
    </w:p>
    <w:p>
      <w:pPr>
        <w:spacing w:after="0" w:line="9"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Carulli, certify that:</w:t>
      </w:r>
    </w:p>
    <w:p>
      <w:pPr>
        <w:spacing w:after="0" w:line="198"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2024, of PMV Pharmaceuticals,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6020" w:val="left"/>
          <w:tab w:leader="none" w:pos="816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26035</wp:posOffset>
            </wp:positionV>
            <wp:extent cx="30346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1"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2024,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800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2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President, Chief Executive Officer, and Director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30, 2024, of PMV Pharmaceuticals, Inc. (the “Company”)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20"/>
        <w:spacing w:after="0"/>
        <w:tabs>
          <w:tab w:leader="none" w:pos="5680" w:val="left"/>
          <w:tab w:leader="none" w:pos="7980" w:val="left"/>
        </w:tabs>
        <w:rPr>
          <w:sz w:val="20"/>
          <w:szCs w:val="20"/>
          <w:color w:val="auto"/>
        </w:rPr>
      </w:pPr>
      <w:r>
        <w:rPr>
          <w:rFonts w:ascii="Times New Roman" w:cs="Times New Roman" w:eastAsia="Times New Roman" w:hAnsi="Times New Roman"/>
          <w:sz w:val="18"/>
          <w:szCs w:val="18"/>
          <w:color w:val="auto"/>
        </w:rPr>
        <w:t>Date: 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2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b w:val="1"/>
          <w:bCs w:val="1"/>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1167765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71" Type="http://schemas.openxmlformats.org/officeDocument/2006/relationships/hyperlink" Target="https://www.sec.gov/Archives/edgar/data/1699382/000119312520257820/d95525dex31.htm" TargetMode="External"/><Relationship Id="rId272" Type="http://schemas.openxmlformats.org/officeDocument/2006/relationships/hyperlink" Target="https://www.sec.gov/Archives/edgar/data/1699382/000095017023020100/pmvp-ex3_3.htm" TargetMode="External"/><Relationship Id="rId273" Type="http://schemas.openxmlformats.org/officeDocument/2006/relationships/hyperlink" Target="https://www.sec.gov/Archives/edgar/data/1699382/000095017024093345/pmvp-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2024-11-07T07:12:04Z</dcterms:created>
  <dcterms:modified xsi:type="dcterms:W3CDTF">2024-11-07T07:12:04Z</dcterms:modified>
</cp:coreProperties>
</file>