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341630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SCHEDULE 13G*</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13d-102)</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INFORMATION TO BE INCLUDED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RULES 13d-1(b), (c), AND</w:t>
      </w:r>
    </w:p>
    <w:p>
      <w:pPr>
        <w:spacing w:after="0" w:line="9" w:lineRule="exact"/>
        <w:rPr>
          <w:sz w:val="24"/>
          <w:szCs w:val="24"/>
          <w:color w:val="auto"/>
        </w:rPr>
      </w:pPr>
    </w:p>
    <w:p>
      <w:pPr>
        <w:jc w:val="both"/>
        <w:ind w:left="4240" w:right="4160" w:hanging="26"/>
        <w:spacing w:after="0" w:line="250" w:lineRule="auto"/>
        <w:tabs>
          <w:tab w:leader="none" w:pos="44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w:t>
      </w: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w:t>
      </w:r>
    </w:p>
    <w:p>
      <w:pPr>
        <w:spacing w:after="0" w:line="1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80" w:firstLine="8"/>
        <w:spacing w:after="0" w:line="226" w:lineRule="exact"/>
        <w:tabs>
          <w:tab w:leader="none" w:pos="20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BML Investment Partners,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3,269,907</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3,269,907</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3,269,907</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Princeton, NJ</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BML Investment Partners, L.P.</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65 E Cedar, Suite 2</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Zionsville, IN 46077</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Delaware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Common stock, par value $0.00001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Sections 240.13d-1(b) or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240.13d-2(b) or (c), Check Whether the Person Filing Is a(n):</w:t>
      </w:r>
    </w:p>
    <w:p>
      <w:pPr>
        <w:spacing w:after="0" w:line="166" w:lineRule="exact"/>
        <w:rPr>
          <w:sz w:val="20"/>
          <w:szCs w:val="20"/>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Section 240.13d-1(b)(1)(ii)(E);</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Section 240.13d-1(b)(1)(ii)(F);</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Section 240.13d-1(b)(1)(ii)(G);</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00" w:hanging="320"/>
        <w:spacing w:after="0" w:line="245"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Section 240.13d-1(b)(1)(ii)(J);</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Section 240.13d-1(b)(1)(ii)(K). If filing as a non-U.S. institution in accordance with Section 240.13d-1(b)</w:t>
      </w:r>
    </w:p>
    <w:p>
      <w:pPr>
        <w:spacing w:after="0" w:line="6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 ____________________________ .</w:t>
      </w: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3,269,907</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3,269,907</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3,269,907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BML CAPIITAL MANAGEMENT, LLC</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Braden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Braden M Leonard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361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180"/>
      </w:cols>
      <w:pgMar w:left="320" w:top="1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2024-12-12T11:32:14Z</dcterms:created>
  <dcterms:modified xsi:type="dcterms:W3CDTF">2024-12-12T11:32:14Z</dcterms:modified>
</cp:coreProperties>
</file>