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8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ORBIMED ADVISORS LLC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85"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601 LEXINGTON AVENUE</w:t>
            </w:r>
          </w:p>
        </w:tc>
        <w:tc>
          <w:tcPr>
            <w:tcW w:w="0" w:type="dxa"/>
            <w:vAlign w:val="bottom"/>
          </w:tcPr>
          <w:p>
            <w:pPr>
              <w:spacing w:after="0"/>
              <w:rPr>
                <w:sz w:val="1"/>
                <w:szCs w:val="1"/>
                <w:color w:val="auto"/>
              </w:rPr>
            </w:pPr>
          </w:p>
        </w:tc>
      </w:tr>
      <w:tr>
        <w:trPr>
          <w:trHeight w:val="30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54TH FLOOR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10022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40" w:lineRule="exact"/>
        <w:rPr>
          <w:sz w:val="24"/>
          <w:szCs w:val="24"/>
          <w:color w:val="auto"/>
        </w:rPr>
      </w:pPr>
    </w:p>
    <w:p>
      <w:pPr>
        <w:sectPr>
          <w:pgSz w:w="11900" w:h="16885" w:orient="portrait"/>
          <w:cols w:equalWidth="0" w:num="3">
            <w:col w:w="4277" w:space="720"/>
            <w:col w:w="3003" w:space="269"/>
            <w:col w:w="2671"/>
          </w:cols>
          <w:pgMar w:left="480" w:top="230" w:right="479" w:bottom="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458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5872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4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w w:val="98"/>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040" w:type="dxa"/>
            <w:vAlign w:val="bottom"/>
            <w:tcBorders>
              <w:bottom w:val="single" w:sz="8" w:color="2C2C2C"/>
            </w:tcBorders>
            <w:gridSpan w:val="2"/>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7"/>
              </w:rPr>
              <w:t>4,025,076</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8"/>
              </w:rPr>
              <w:t>See footnote</w:t>
            </w:r>
            <w:r>
              <w:rPr>
                <w:rFonts w:ascii="Times New Roman" w:cs="Times New Roman" w:eastAsia="Times New Roman" w:hAnsi="Times New Roman"/>
                <w:sz w:val="25"/>
                <w:szCs w:val="25"/>
                <w:color w:val="008000"/>
                <w:w w:val="98"/>
                <w:vertAlign w:val="superscript"/>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40" w:type="dxa"/>
            <w:vAlign w:val="bottom"/>
            <w:tcBorders>
              <w:bottom w:val="single" w:sz="8" w:color="2C2C2C"/>
            </w:tcBorders>
            <w:gridSpan w:val="2"/>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7"/>
              </w:rPr>
              <w:t>1,076,891</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8"/>
              </w:rPr>
              <w:t>See footnote</w:t>
            </w:r>
            <w:r>
              <w:rPr>
                <w:rFonts w:ascii="Times New Roman" w:cs="Times New Roman" w:eastAsia="Times New Roman" w:hAnsi="Times New Roman"/>
                <w:sz w:val="25"/>
                <w:szCs w:val="25"/>
                <w:color w:val="008000"/>
                <w:w w:val="98"/>
                <w:vertAlign w:val="superscript"/>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40" w:type="dxa"/>
            <w:vAlign w:val="bottom"/>
            <w:tcBorders>
              <w:bottom w:val="single" w:sz="8" w:color="2C2C2C"/>
            </w:tcBorders>
            <w:gridSpan w:val="2"/>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8"/>
              </w:rPr>
              <w:t>518,191</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8"/>
              </w:rPr>
              <w:t>See footnote</w:t>
            </w:r>
            <w:r>
              <w:rPr>
                <w:rFonts w:ascii="Times New Roman" w:cs="Times New Roman" w:eastAsia="Times New Roman" w:hAnsi="Times New Roman"/>
                <w:sz w:val="25"/>
                <w:szCs w:val="25"/>
                <w:color w:val="008000"/>
                <w:w w:val="98"/>
                <w:vertAlign w:val="superscript"/>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40" w:type="dxa"/>
            <w:vAlign w:val="bottom"/>
            <w:tcBorders>
              <w:bottom w:val="single" w:sz="8" w:color="2C2C2C"/>
            </w:tcBorders>
            <w:gridSpan w:val="2"/>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8"/>
              </w:rPr>
              <w:t>380,133</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8"/>
              </w:rPr>
              <w:t>See footnote</w:t>
            </w:r>
            <w:r>
              <w:rPr>
                <w:rFonts w:ascii="Times New Roman" w:cs="Times New Roman" w:eastAsia="Times New Roman" w:hAnsi="Times New Roman"/>
                <w:sz w:val="25"/>
                <w:szCs w:val="25"/>
                <w:color w:val="008000"/>
                <w:w w:val="98"/>
                <w:vertAlign w:val="superscript"/>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40" w:type="dxa"/>
            <w:vAlign w:val="bottom"/>
            <w:tcBorders>
              <w:bottom w:val="single" w:sz="8" w:color="2C2C2C"/>
            </w:tcBorders>
            <w:gridSpan w:val="2"/>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5"/>
              </w:rPr>
              <w:t>114,039</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(3)(4)</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0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ORBIMED ADVISORS LLC</w:t>
              </w:r>
            </w:hyperlink>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480" w:type="dxa"/>
            <w:vAlign w:val="bottom"/>
          </w:tcPr>
          <w:p>
            <w:pPr>
              <w:ind w:left="120"/>
              <w:spacing w:after="0"/>
              <w:rPr>
                <w:sz w:val="20"/>
                <w:szCs w:val="20"/>
                <w:color w:val="auto"/>
              </w:rPr>
            </w:pPr>
            <w:r>
              <w:rPr>
                <w:rFonts w:ascii="Arial" w:cs="Arial" w:eastAsia="Arial" w:hAnsi="Arial"/>
                <w:sz w:val="15"/>
                <w:szCs w:val="15"/>
                <w:color w:val="auto"/>
              </w:rPr>
              <w:t>(First)</w:t>
            </w:r>
          </w:p>
        </w:tc>
        <w:tc>
          <w:tcPr>
            <w:tcW w:w="104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601 LEXINGTON AVENUE</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54TH FLOOR</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48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NY</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10022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gridSpan w:val="2"/>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480" w:type="dxa"/>
            <w:vAlign w:val="bottom"/>
          </w:tcPr>
          <w:p>
            <w:pPr>
              <w:ind w:left="120"/>
              <w:spacing w:after="0"/>
              <w:rPr>
                <w:sz w:val="20"/>
                <w:szCs w:val="20"/>
                <w:color w:val="auto"/>
              </w:rPr>
            </w:pPr>
            <w:r>
              <w:rPr>
                <w:rFonts w:ascii="Arial" w:cs="Arial" w:eastAsia="Arial" w:hAnsi="Arial"/>
                <w:sz w:val="15"/>
                <w:szCs w:val="15"/>
                <w:color w:val="auto"/>
              </w:rPr>
              <w:t>(State)</w:t>
            </w:r>
          </w:p>
        </w:tc>
        <w:tc>
          <w:tcPr>
            <w:tcW w:w="1040" w:type="dxa"/>
            <w:vAlign w:val="bottom"/>
            <w:gridSpan w:val="2"/>
          </w:tcPr>
          <w:p>
            <w:pPr>
              <w:ind w:left="2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0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2"/>
          </w:tcPr>
          <w:p>
            <w:pPr>
              <w:ind w:left="20"/>
              <w:spacing w:after="0"/>
              <w:rPr>
                <w:rFonts w:ascii="Times New Roman" w:cs="Times New Roman" w:eastAsia="Times New Roman" w:hAnsi="Times New Roman"/>
                <w:sz w:val="24"/>
                <w:szCs w:val="24"/>
                <w:u w:val="single" w:color="auto"/>
                <w:color w:val="0000EE"/>
                <w:w w:val="99"/>
              </w:rPr>
            </w:pPr>
            <w:hyperlink r:id="rId15">
              <w:r>
                <w:rPr>
                  <w:rFonts w:ascii="Times New Roman" w:cs="Times New Roman" w:eastAsia="Times New Roman" w:hAnsi="Times New Roman"/>
                  <w:sz w:val="24"/>
                  <w:szCs w:val="24"/>
                  <w:u w:val="single" w:color="auto"/>
                  <w:color w:val="0000EE"/>
                  <w:w w:val="99"/>
                </w:rPr>
                <w:t>OrbiMed Capital GP V LLC</w:t>
              </w:r>
            </w:hyperlink>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480" w:type="dxa"/>
            <w:vAlign w:val="bottom"/>
          </w:tcPr>
          <w:p>
            <w:pPr>
              <w:ind w:left="120"/>
              <w:spacing w:after="0"/>
              <w:rPr>
                <w:sz w:val="20"/>
                <w:szCs w:val="20"/>
                <w:color w:val="auto"/>
              </w:rPr>
            </w:pPr>
            <w:r>
              <w:rPr>
                <w:rFonts w:ascii="Arial" w:cs="Arial" w:eastAsia="Arial" w:hAnsi="Arial"/>
                <w:sz w:val="15"/>
                <w:szCs w:val="15"/>
                <w:color w:val="auto"/>
              </w:rPr>
              <w:t>(First)</w:t>
            </w:r>
          </w:p>
        </w:tc>
        <w:tc>
          <w:tcPr>
            <w:tcW w:w="104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-3994150</wp:posOffset>
            </wp:positionV>
            <wp:extent cx="6937375" cy="4688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937375" cy="4688205"/>
                    </a:xfrm>
                    <a:prstGeom prst="rect">
                      <a:avLst/>
                    </a:prstGeom>
                    <a:noFill/>
                  </pic:spPr>
                </pic:pic>
              </a:graphicData>
            </a:graphic>
          </wp:anchor>
        </w:drawing>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601 LEXINGTON AVENUE</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54TH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121285</wp:posOffset>
            </wp:positionV>
            <wp:extent cx="26206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ectPr>
          <w:pgSz w:w="11900" w:h="16885" w:orient="portrait"/>
          <w:cols w:equalWidth="0" w:num="1">
            <w:col w:w="10940"/>
          </w:cols>
          <w:pgMar w:left="480" w:top="230" w:right="479" w:bottom="0" w:gutter="0" w:footer="0" w:header="0"/>
          <w:type w:val="continuous"/>
        </w:sect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85"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4"/>
        </w:trPr>
        <w:tc>
          <w:tcPr>
            <w:tcW w:w="10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40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NY</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2"/>
                <w:szCs w:val="22"/>
                <w:color w:val="auto"/>
              </w:rPr>
            </w:pPr>
          </w:p>
        </w:tc>
      </w:tr>
      <w:tr>
        <w:trPr>
          <w:trHeight w:val="177"/>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12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6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OrbiMed Genesis GP LLC</w:t>
              </w:r>
            </w:hyperlink>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12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601 LEXINGTON AVENUE</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54TH FLOOR</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8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40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NY</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12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2611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73045" cy="26111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20" w:right="26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each of the Series A Preferred Stock, Series B Preferred Stock, Series C Preferred Stock and Series D Preferred Stock shall automatically convert into shares of Common Stock on a one to one basis immediately prior to the completion of the Issuer's initial public offering of Common Stock and have no expiration date.</w:t>
      </w:r>
    </w:p>
    <w:p>
      <w:pPr>
        <w:spacing w:after="0" w:line="17" w:lineRule="exact"/>
        <w:rPr>
          <w:rFonts w:ascii="Times New Roman" w:cs="Times New Roman" w:eastAsia="Times New Roman" w:hAnsi="Times New Roman"/>
          <w:sz w:val="15"/>
          <w:szCs w:val="15"/>
          <w:color w:val="008000"/>
        </w:rPr>
      </w:pPr>
    </w:p>
    <w:p>
      <w:pPr>
        <w:ind w:left="20" w:right="80" w:firstLine="5"/>
        <w:spacing w:after="0" w:line="236"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OrbiMed Private Investments V, LP ("OPI V"). OrbiMed Capital GP V LLC ("GP V") is the general partner of OPI V, and OrbiMed Advisors LLC ("OrbiMed Advisors"), a registered investment adviser under the Investment Advisors Act of 1940, as amended, is the managing member of GP V. By virtue of such relationships, GP V and OrbiMed Advisors may be deemed to have voting and investment power with respect to the securities held by OPI V noted above and as a result may be deemed to beneficially own such securities for purposes of Rule 13d-3 under the Securities Exchange Act of 1934, as amended (the "Exchange Act"). OrbiMed Advisors exercises this investment and voting power through a management committee comprised of Carl L. Gordon, Sven H. Borho, and Jonathan T. Silverstein, each of whom disclaims beneficial ownership of the shares held by OPI V.</w:t>
      </w:r>
    </w:p>
    <w:p>
      <w:pPr>
        <w:spacing w:after="0" w:line="32" w:lineRule="exact"/>
        <w:rPr>
          <w:rFonts w:ascii="Times New Roman" w:cs="Times New Roman" w:eastAsia="Times New Roman" w:hAnsi="Times New Roman"/>
          <w:sz w:val="15"/>
          <w:szCs w:val="15"/>
          <w:color w:val="008000"/>
        </w:rPr>
      </w:pPr>
    </w:p>
    <w:p>
      <w:pPr>
        <w:ind w:left="20" w:right="2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report on Form 3 is jointly filed by OrbiMed Advisors, GP V, and OrbiMed Genesis GP LLC ("Genesis GP"). Each of the Reporting Persons disclaims beneficial ownership of the securities reported herein for purposes of Rule 16a-1(a) under the Exchange Act, except to the extent of its pecuniary interest therein, if any. This report shall not be deemed an admission that any such entity is a beneficial owner of such securities for purpose of Section 16 of the Exchange Act, or for any other purpose.</w:t>
      </w:r>
    </w:p>
    <w:p>
      <w:pPr>
        <w:spacing w:after="0" w:line="29" w:lineRule="exact"/>
        <w:rPr>
          <w:rFonts w:ascii="Times New Roman" w:cs="Times New Roman" w:eastAsia="Times New Roman" w:hAnsi="Times New Roman"/>
          <w:sz w:val="15"/>
          <w:szCs w:val="15"/>
          <w:color w:val="008000"/>
        </w:rPr>
      </w:pPr>
    </w:p>
    <w:p>
      <w:pPr>
        <w:ind w:left="2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OrbiMed Genesis Master Fund, L.P. ("Genesis Master Fund"). Genesis GP is the general partner of Genesis Master Fund and OrbiMed Advisors is the managing member of Genesis GP. By virtue of such relationships, Genesis GP and OrbiMed Advisors may be deemed to have voting power and investment power over the securities held by Genesis Master Fund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Genesis Master Fund.</w:t>
      </w:r>
    </w:p>
    <w:p>
      <w:pPr>
        <w:sectPr>
          <w:pgSz w:w="11900" w:h="16838" w:orient="portrait"/>
          <w:cols w:equalWidth="0" w:num="1">
            <w:col w:w="10860"/>
          </w:cols>
          <w:pgMar w:left="500" w:top="169" w:right="539" w:bottom="1440" w:gutter="0" w:footer="0" w:header="0"/>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15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2809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By: /s/ Douglas Coon,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109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095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90955" cy="952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OrbiMed Capital GP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5252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/s/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668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Coon,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3507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5496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OrbiMed Genesis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6680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/s/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6680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Coon,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3507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5496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8580" w:space="160"/>
            <w:col w:w="2120"/>
          </w:cols>
          <w:pgMar w:left="500" w:top="169" w:right="53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20" w:right="218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2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69"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0" Type="http://schemas.openxmlformats.org/officeDocument/2006/relationships/hyperlink" Target="http://www.sec.gov/cgi-bin/browse-edgar?action=getcompany&amp;CIK=0001055951" TargetMode="External"/><Relationship Id="rId11"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615374" TargetMode="External"/><Relationship Id="rId18"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2020-09-24T18:25:21Z</dcterms:created>
  <dcterms:modified xsi:type="dcterms:W3CDTF">2020-09-24T18:25:21Z</dcterms:modified>
</cp:coreProperties>
</file>