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05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053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Heyman Richard A.</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(Last)</w:t>
            </w:r>
          </w:p>
        </w:tc>
        <w:tc>
          <w:tcPr>
            <w:tcW w:w="96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C/O PMV PHARMACEUTICALS, INC</w:t>
            </w:r>
          </w:p>
        </w:tc>
      </w:tr>
      <w:tr>
        <w:trPr>
          <w:trHeight w:val="258"/>
        </w:trPr>
        <w:tc>
          <w:tcPr>
            <w:tcW w:w="20" w:type="dxa"/>
            <w:vAlign w:val="bottom"/>
          </w:tcPr>
          <w:p>
            <w:pPr>
              <w:spacing w:after="0"/>
              <w:rPr>
                <w:sz w:val="22"/>
                <w:szCs w:val="22"/>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1 RESEARCH WAY</w:t>
            </w:r>
          </w:p>
        </w:tc>
        <w:tc>
          <w:tcPr>
            <w:tcW w:w="160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5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PRINCETON</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08540</w:t>
            </w: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PMV Pharmaceuticals,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PMVP</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1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140" w:type="dxa"/>
            <w:vAlign w:val="bottom"/>
            <w:tcBorders>
              <w:bottom w:val="single" w:sz="8" w:color="2C2C2C"/>
            </w:tcBorders>
          </w:tcPr>
          <w:p>
            <w:pPr>
              <w:spacing w:after="0"/>
              <w:rPr>
                <w:sz w:val="9"/>
                <w:szCs w:val="9"/>
                <w:color w:val="auto"/>
              </w:rPr>
            </w:pPr>
          </w:p>
        </w:tc>
        <w:tc>
          <w:tcPr>
            <w:tcW w:w="150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06/06/2024</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1.65</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06/06/2024</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67,500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06/05/2034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67,500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67,500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as follows: 22,500 shares vest on the earlier of (i) June 6, 2025 or (ii) the day prior to the date of the Issuer's next annual meeting of stockholders and the remaining 45,000 shares vest in 36 equal monthly installments beginning on July 6, 2024.</w:t>
      </w:r>
    </w:p>
    <w:p>
      <w:pPr>
        <w:spacing w:after="0" w:line="8"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Robert Ticktin, by power of</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06/10/2024</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2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The undersigned, as a Section 16 reporting person of PMV Pharmaceuticals, Inc. (the “Company”), hereby constitutes and appoints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David H. Mack, Ph.D., Robert Ticktin, and Michael Carulli, and each of them, as the undersigned’s true and lawful attorney-in-fact to:</w:t>
      </w:r>
    </w:p>
    <w:p>
      <w:pPr>
        <w:spacing w:after="0" w:line="213" w:lineRule="exact"/>
        <w:rPr>
          <w:sz w:val="20"/>
          <w:szCs w:val="20"/>
          <w:color w:val="auto"/>
        </w:rPr>
      </w:pPr>
    </w:p>
    <w:p>
      <w:pPr>
        <w:jc w:val="both"/>
        <w:ind w:left="1240" w:hanging="308"/>
        <w:spacing w:after="0" w:line="250" w:lineRule="auto"/>
        <w:tabs>
          <w:tab w:leader="none" w:pos="1214" w:val="left"/>
        </w:tabs>
        <w:numPr>
          <w:ilvl w:val="1"/>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prepare, execute in the undersigned’s name and on the undersigned’s behalf, and submit to the Securities and Exchange Commission (the “SEC”) a Form ID, including amendments thereto, and any other documents necessary or appropriate to obtain EDGAR codes and passwords enabling the undersigned to make electronic filings with the SEC of reports required by Section 16(a) of the Securities Exchange Act of 1934 or any rule or regulation of the SEC;</w:t>
      </w:r>
    </w:p>
    <w:p>
      <w:pPr>
        <w:spacing w:after="0" w:line="198" w:lineRule="exact"/>
        <w:rPr>
          <w:rFonts w:ascii="Times New Roman" w:cs="Times New Roman" w:eastAsia="Times New Roman" w:hAnsi="Times New Roman"/>
          <w:sz w:val="19"/>
          <w:szCs w:val="19"/>
          <w:color w:val="auto"/>
        </w:rPr>
      </w:pPr>
    </w:p>
    <w:p>
      <w:pPr>
        <w:jc w:val="both"/>
        <w:ind w:left="1240" w:hanging="618"/>
        <w:spacing w:after="0" w:line="250" w:lineRule="auto"/>
        <w:tabs>
          <w:tab w:leader="none" w:pos="1214"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198" w:lineRule="exact"/>
        <w:rPr>
          <w:rFonts w:ascii="Times New Roman" w:cs="Times New Roman" w:eastAsia="Times New Roman" w:hAnsi="Times New Roman"/>
          <w:sz w:val="19"/>
          <w:szCs w:val="19"/>
          <w:color w:val="auto"/>
        </w:rPr>
      </w:pPr>
    </w:p>
    <w:p>
      <w:pPr>
        <w:ind w:left="1240" w:hanging="618"/>
        <w:spacing w:after="0" w:line="269" w:lineRule="auto"/>
        <w:tabs>
          <w:tab w:leader="none" w:pos="1214"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all acts necessary in order to file such forms with the SEC, any securities exchange or national association, the Company and such other person or agency as the attorneys-in-fact shall deem appropriate.</w:t>
      </w:r>
    </w:p>
    <w:p>
      <w:pPr>
        <w:spacing w:after="0" w:line="181" w:lineRule="exact"/>
        <w:rPr>
          <w:sz w:val="20"/>
          <w:szCs w:val="20"/>
          <w:color w:val="auto"/>
        </w:rPr>
      </w:pPr>
    </w:p>
    <w:p>
      <w:pPr>
        <w:jc w:val="both"/>
        <w:ind w:firstLine="619"/>
        <w:spacing w:after="0" w:line="250" w:lineRule="auto"/>
        <w:rPr>
          <w:sz w:val="20"/>
          <w:szCs w:val="20"/>
          <w:color w:val="auto"/>
        </w:rPr>
      </w:pPr>
      <w:r>
        <w:rPr>
          <w:rFonts w:ascii="Times New Roman" w:cs="Times New Roman" w:eastAsia="Times New Roman" w:hAnsi="Times New Roman"/>
          <w:sz w:val="19"/>
          <w:szCs w:val="19"/>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99" w:lineRule="exact"/>
        <w:rPr>
          <w:sz w:val="20"/>
          <w:szCs w:val="20"/>
          <w:color w:val="auto"/>
        </w:rPr>
      </w:pPr>
    </w:p>
    <w:p>
      <w:pPr>
        <w:jc w:val="both"/>
        <w:ind w:right="20" w:firstLine="619"/>
        <w:spacing w:after="0" w:line="255"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this 5th day of January, 2024.</w:t>
      </w:r>
    </w:p>
    <w:p>
      <w:pPr>
        <w:spacing w:after="0" w:line="200" w:lineRule="exact"/>
        <w:rPr>
          <w:sz w:val="20"/>
          <w:szCs w:val="20"/>
          <w:color w:val="auto"/>
        </w:rPr>
      </w:pPr>
    </w:p>
    <w:p>
      <w:pPr>
        <w:spacing w:after="0" w:line="26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Signature: /s/ Richard Heyman</w:t>
      </w:r>
    </w:p>
    <w:p>
      <w:pPr>
        <w:spacing w:after="0" w:line="23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Print Name: Richard Heyman, Ph.D.</w:t>
      </w:r>
    </w:p>
    <w:sectPr>
      <w:pgSz w:w="11900" w:h="16838" w:orient="portrait"/>
      <w:cols w:equalWidth="0" w:num="1">
        <w:col w:w="10980"/>
      </w:cols>
      <w:pgMar w:left="460" w:top="863"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lvl w:ilvl="1">
      <w:lvlJc w:val="left"/>
      <w:lvlText w:val="%2."/>
      <w:numFmt w:val="decimal"/>
      <w:start w:val="1"/>
    </w:lvl>
  </w:abstractNum>
  <w:abstractNum w:abstractNumId="3">
    <w:nsid w:val="625558EC"/>
    <w:multiLevelType w:val="hybridMultilevel"/>
    <w:lvl w:ilvl="0">
      <w:lvlJc w:val="left"/>
      <w:lvlText w:val="%1."/>
      <w:numFmt w:val="decimal"/>
      <w:start w:val="2"/>
    </w:lvl>
    <w:lvl w:ilvl="1">
      <w:lvlJc w:val="left"/>
      <w:lvlText w:val="%2"/>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84759" TargetMode="External"/><Relationship Id="rId13" Type="http://schemas.openxmlformats.org/officeDocument/2006/relationships/hyperlink" Target="http://www.sec.gov/cgi-bin/browse-edgar?action=getcompany&amp;CIK=00016993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2024-06-10T15:46:31Z</dcterms:created>
  <dcterms:modified xsi:type="dcterms:W3CDTF">2024-06-10T15:46:31Z</dcterms:modified>
</cp:coreProperties>
</file>