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w:t>
      </w: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52705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0"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fiscal year ended December 31, 2023</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53975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PMV PHARMACEUTICALS, INC.</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38735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6"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2"/>
        </w:trPr>
        <w:tc>
          <w:tcPr>
            <w:tcW w:w="4120" w:type="dxa"/>
            <w:vAlign w:val="bottom"/>
          </w:tcPr>
          <w:p>
            <w:pPr>
              <w:jc w:val="center"/>
              <w:ind w:right="196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20" w:type="dxa"/>
            <w:vAlign w:val="bottom"/>
          </w:tcPr>
          <w:p>
            <w:pPr>
              <w:jc w:val="center"/>
              <w:ind w:left="1986"/>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17"/>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1 Research Way</w:t>
            </w:r>
          </w:p>
        </w:tc>
        <w:tc>
          <w:tcPr>
            <w:tcW w:w="3020" w:type="dxa"/>
            <w:vAlign w:val="bottom"/>
          </w:tcPr>
          <w:p>
            <w:pPr>
              <w:spacing w:after="0"/>
              <w:rPr>
                <w:sz w:val="24"/>
                <w:szCs w:val="24"/>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Princeton, NJ</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73"/>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-106680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PMVP</w:t>
            </w:r>
          </w:p>
        </w:tc>
        <w:tc>
          <w:tcPr>
            <w:tcW w:w="120" w:type="dxa"/>
            <w:vAlign w:val="bottom"/>
          </w:tcPr>
          <w:p>
            <w:pPr>
              <w:spacing w:after="0"/>
              <w:rPr>
                <w:sz w:val="15"/>
                <w:szCs w:val="15"/>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040"/>
        <w:spacing w:after="0" w:line="193"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00"/>
        <w:spacing w:after="0" w:line="24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16"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2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40"/>
        <w:spacing w:after="0" w:line="243"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Stock Market on June 30, 2023 (the last business day of the Registrant’s most recently completed second fiscal quarter), was $209,239,411.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28, 2024 was 51,443,488.</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26" w:lineRule="exact"/>
        <w:rPr>
          <w:sz w:val="24"/>
          <w:szCs w:val="24"/>
          <w:color w:val="auto"/>
        </w:rPr>
      </w:pPr>
    </w:p>
    <w:p>
      <w:pPr>
        <w:ind w:right="140"/>
        <w:spacing w:after="0" w:line="26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0" w:type="dxa"/>
            <w:vAlign w:val="bottom"/>
            <w:gridSpan w:val="9"/>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9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8"/>
                <w:szCs w:val="18"/>
                <w:color w:val="auto"/>
              </w:rPr>
            </w:pPr>
          </w:p>
        </w:tc>
        <w:tc>
          <w:tcPr>
            <w:tcW w:w="860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8"/>
                <w:szCs w:val="18"/>
                <w:color w:val="auto"/>
              </w:rPr>
            </w:pPr>
          </w:p>
        </w:tc>
        <w:tc>
          <w:tcPr>
            <w:tcW w:w="860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20" w:type="dxa"/>
            <w:vAlign w:val="bottom"/>
            <w:tcBorders>
              <w:top w:val="single" w:sz="8" w:color="0000FF"/>
            </w:tcBorders>
            <w:gridSpan w:val="9"/>
          </w:tcPr>
          <w:p>
            <w:pPr>
              <w:spacing w:after="0"/>
              <w:rPr>
                <w:sz w:val="18"/>
                <w:szCs w:val="18"/>
                <w:color w:val="auto"/>
              </w:rPr>
            </w:pPr>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8"/>
                <w:szCs w:val="18"/>
                <w:color w:val="auto"/>
              </w:rPr>
            </w:pPr>
          </w:p>
        </w:tc>
        <w:tc>
          <w:tcPr>
            <w:tcW w:w="79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20" w:type="dxa"/>
            <w:vAlign w:val="bottom"/>
            <w:tcBorders>
              <w:right w:val="single" w:sz="8" w:color="0000EE"/>
            </w:tcBorders>
            <w:gridSpan w:val="1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w:t>
      </w:r>
    </w:p>
    <w:p>
      <w:pPr>
        <w:spacing w:after="0" w:line="186"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“plans”,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69" w:lineRule="exact"/>
        <w:rPr>
          <w:sz w:val="20"/>
          <w:szCs w:val="20"/>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940" w:right="26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6" w:lineRule="exact"/>
        <w:rPr>
          <w:rFonts w:ascii="Times New Roman" w:cs="Times New Roman" w:eastAsia="Times New Roman" w:hAnsi="Times New Roman"/>
          <w:sz w:val="18"/>
          <w:szCs w:val="18"/>
          <w:color w:val="auto"/>
        </w:rPr>
      </w:pPr>
    </w:p>
    <w:p>
      <w:pPr>
        <w:ind w:left="940" w:right="32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6" w:lineRule="exact"/>
        <w:rPr>
          <w:rFonts w:ascii="Times New Roman" w:cs="Times New Roman" w:eastAsia="Times New Roman" w:hAnsi="Times New Roman"/>
          <w:sz w:val="18"/>
          <w:szCs w:val="18"/>
          <w:color w:val="auto"/>
        </w:rPr>
      </w:pPr>
    </w:p>
    <w:p>
      <w:pPr>
        <w:ind w:left="94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6"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6" w:lineRule="exact"/>
        <w:rPr>
          <w:rFonts w:ascii="Times New Roman" w:cs="Times New Roman" w:eastAsia="Times New Roman" w:hAnsi="Times New Roman"/>
          <w:sz w:val="18"/>
          <w:szCs w:val="18"/>
          <w:color w:val="auto"/>
        </w:rPr>
      </w:pPr>
    </w:p>
    <w:p>
      <w:pPr>
        <w:ind w:left="940" w:right="30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potential future strategic collaborations with third parties and our ability to attract collaborators with development, regulatory and commercialization expertise;</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6"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54" w:lineRule="exact"/>
        <w:rPr>
          <w:rFonts w:ascii="Times New Roman" w:cs="Times New Roman" w:eastAsia="Times New Roman" w:hAnsi="Times New Roman"/>
          <w:sz w:val="18"/>
          <w:szCs w:val="18"/>
          <w:color w:val="auto"/>
        </w:rPr>
      </w:pPr>
    </w:p>
    <w:p>
      <w:pPr>
        <w:ind w:left="940" w:right="26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3" w:name="page4"/>
    <w:bookmarkEnd w:id="3"/>
    <w:p>
      <w:pPr>
        <w:spacing w:after="0" w:line="84" w:lineRule="exact"/>
        <w:rPr>
          <w:sz w:val="20"/>
          <w:szCs w:val="20"/>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16" w:lineRule="exact"/>
        <w:rPr>
          <w:rFonts w:ascii="Times New Roman" w:cs="Times New Roman" w:eastAsia="Times New Roman" w:hAnsi="Times New Roman"/>
          <w:sz w:val="18"/>
          <w:szCs w:val="18"/>
          <w:color w:val="auto"/>
        </w:rPr>
      </w:pPr>
    </w:p>
    <w:p>
      <w:pPr>
        <w:ind w:left="940" w:right="860" w:hanging="288"/>
        <w:spacing w:after="0" w:line="281"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assumptions, projections and expectations regarding future cost savings and expenses associated with the announced restructuring plan and reduction in force; and</w:t>
      </w:r>
    </w:p>
    <w:p>
      <w:pPr>
        <w:spacing w:after="0" w:line="54" w:lineRule="exact"/>
        <w:rPr>
          <w:rFonts w:ascii="Times New Roman" w:cs="Times New Roman" w:eastAsia="Times New Roman" w:hAnsi="Times New Roman"/>
          <w:sz w:val="18"/>
          <w:szCs w:val="18"/>
          <w:color w:val="auto"/>
        </w:rPr>
      </w:pPr>
    </w:p>
    <w:p>
      <w:pPr>
        <w:jc w:val="both"/>
        <w:ind w:left="940" w:right="120" w:hanging="288"/>
        <w:spacing w:after="0" w:line="265"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macroeconomic and geopolitical environment, including inflation, rising interest rates, increased volatility in the debt and equity markets, instability in the global banking system, global pandemics and other public health emergencies, and geopolitical conflicts, and their potentially material adverse impact on our business and the execution of our clinical trials.</w:t>
      </w:r>
    </w:p>
    <w:p>
      <w:pPr>
        <w:spacing w:after="0" w:line="17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27"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Our lead product candidate, PC14586 (rezatapopt), is an orally available small molecule designed to potently and selectively correct p53 misfolding caused by a specific p53 mutation, Y220C, while sparing wild-type p53. The p53 Y220C mutation is associated with approximately 1.0% of all cancers, including breast, non-small cell lung cancer, or NSCLC, colorectal, pancreatic and ovarian cancers. PC14586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U.S. Food and Drug Administration, or FDA, Fast Track designation of PC14586 for the treatment of patients with locally advanced or metastatic solid tumors that have a p53 Y220C mutation. In July 2023, we met with the FDA at an End of Phase 1 meeting where alignment was obtained on our pivotal Phase 2 study design. In October 2023, we presented our updated Phase 1 clinical data at the 2023 AACR-NCI-EORTC International Conference on Molecular Targets and Cancer Therapeutics Meeting and we continue to enroll patients in this trial. The pivotal Phase 2 monotherapy portion of our PYNNACLE trial is planned to be initiated in the first quarter of 2024. In addition, in December 2022, we opened a separate Phase 1b arm within the existing Phase 1/2 PYNNACLE trial combining PC14586 with KEYTRUDA® (pembrolizumab) in collaboration with Merck and Co.</w:t>
      </w:r>
    </w:p>
    <w:p>
      <w:pPr>
        <w:spacing w:after="0" w:line="186"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PC14586 and Pipeline</w:t>
      </w:r>
    </w:p>
    <w:p>
      <w:pPr>
        <w:spacing w:after="0" w:line="229"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orally available, potent and highly selective small molecule product candidates that target p53 mutations or other p53-related cancers.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5" w:name="page6"/>
    <w:bookmarkEnd w:id="5"/>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179705</wp:posOffset>
            </wp:positionV>
            <wp:extent cx="4726305" cy="2183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26305" cy="218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40" w:hanging="28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Discovery, we screen compounds against biological assays to identify lead compounds.</w:t>
      </w:r>
    </w:p>
    <w:p>
      <w:pPr>
        <w:spacing w:after="0" w:line="95" w:lineRule="exact"/>
        <w:rPr>
          <w:rFonts w:ascii="Times New Roman" w:cs="Times New Roman" w:eastAsia="Times New Roman" w:hAnsi="Times New Roman"/>
          <w:sz w:val="14"/>
          <w:szCs w:val="14"/>
          <w:color w:val="auto"/>
        </w:rPr>
      </w:pPr>
    </w:p>
    <w:p>
      <w:pPr>
        <w:ind w:left="940" w:right="300" w:hanging="288"/>
        <w:spacing w:after="0" w:line="258"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Lead Optimization, we modify the lead compound to improve potency, selectivity, pharmacokinetic and toxicity parameters and physical chemical properties important for clinical development.</w:t>
      </w:r>
    </w:p>
    <w:p>
      <w:pPr>
        <w:spacing w:after="0" w:line="58" w:lineRule="exact"/>
        <w:rPr>
          <w:rFonts w:ascii="Times New Roman" w:cs="Times New Roman" w:eastAsia="Times New Roman" w:hAnsi="Times New Roman"/>
          <w:sz w:val="14"/>
          <w:szCs w:val="14"/>
          <w:color w:val="auto"/>
        </w:rPr>
      </w:pPr>
    </w:p>
    <w:p>
      <w:pPr>
        <w:ind w:left="940" w:hanging="28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IND-Enabling Studies, we conduct preclinical studies, in accordance with Good Laboratory Practice, or GLP, required for an IND submission to the FDA.</w:t>
      </w:r>
    </w:p>
    <w:p>
      <w:pPr>
        <w:spacing w:after="0" w:line="248" w:lineRule="exact"/>
        <w:rPr>
          <w:sz w:val="20"/>
          <w:szCs w:val="20"/>
          <w:color w:val="auto"/>
        </w:rPr>
      </w:pPr>
    </w:p>
    <w:p>
      <w:pPr>
        <w:ind w:right="220" w:firstLine="644"/>
        <w:spacing w:after="0" w:line="260" w:lineRule="auto"/>
        <w:rPr>
          <w:sz w:val="20"/>
          <w:szCs w:val="20"/>
          <w:color w:val="auto"/>
        </w:rPr>
      </w:pPr>
      <w:r>
        <w:rPr>
          <w:rFonts w:ascii="Times New Roman" w:cs="Times New Roman" w:eastAsia="Times New Roman" w:hAnsi="Times New Roman"/>
          <w:sz w:val="18"/>
          <w:szCs w:val="18"/>
          <w:color w:val="auto"/>
        </w:rPr>
        <w:t>Our lead product candidate, PC14586 (rezatapopt), is designed to be an orally available small molecule that structurally corrects the mutant p53 protein with the Y220C mutation. The p53 Y220C mutation results from tyrosine being substituted by a cysteine at amino acid position 220 and is associated with approximately 1.0% of all cancers, including breast, NSCLC, colorectal, pancreatic and ovarian cancers. There are currently no products approved by the FDA, and we are not aware of any other products in clinical development, that selectively target the p53 Y220C mutation.</w:t>
      </w:r>
    </w:p>
    <w:p>
      <w:pPr>
        <w:spacing w:after="0" w:line="18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primarily functions in cells with the p53 Y220C mutation) and exhibited robust anti-tumor activity evidenced by potent tumor growth inhibition, or TGI, and strong tumor regression as a single agent. Further, preclinical studies have demonstrated significant synergistic effects in combination with anti-PD-1 therapy.</w:t>
      </w:r>
    </w:p>
    <w:p>
      <w:pPr>
        <w:spacing w:after="0" w:line="20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initiated a Phase 1/2 clinical trial for PC14586 in October 2020. In addition, we were granted FDA Fast Track designation of PC14586 for the treatment of patients with locally advanced or metastatic solid tumors that have a p53 Y220C mutation in October 2020. We dosed our first patient in this clinical trial in the fourth quarter of 2020. The Phase 1 portion of the trial was designed to evaluate escalating doses of PC14586 to determine the maximum tolerated dose, or MTD, and recommended Phase 2 dose of PC14586 when administered orally to patients. Safety, tolerability and effects on biomarkers such as macrophage inhibitory cytokine-1, or MIC-1, was also assessed. The Phase 1 portion was also designed to assess preliminary anti-tumor efficacy in patients with advanced solid tumors that have the p53 Y220C mutation. In June 2022, we presented initial Phase 1 data from our Phase 1/2 clinical trial at the 2022 American Society of Clinical Oncology (ASCO) Annual Meeting: PC14586 was generally well-tolerated and the MTD was determined to be 1500mg twice daily (BID).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7" w:lineRule="exact"/>
        <w:rPr>
          <w:sz w:val="20"/>
          <w:szCs w:val="20"/>
          <w:color w:val="auto"/>
        </w:rPr>
      </w:pPr>
    </w:p>
    <w:p>
      <w:pPr>
        <w:ind w:right="80" w:firstLine="644"/>
        <w:spacing w:after="0" w:line="265" w:lineRule="auto"/>
        <w:rPr>
          <w:sz w:val="20"/>
          <w:szCs w:val="20"/>
          <w:color w:val="auto"/>
        </w:rPr>
      </w:pPr>
      <w:r>
        <w:rPr>
          <w:rFonts w:ascii="Times New Roman" w:cs="Times New Roman" w:eastAsia="Times New Roman" w:hAnsi="Times New Roman"/>
          <w:sz w:val="18"/>
          <w:szCs w:val="18"/>
          <w:color w:val="auto"/>
        </w:rPr>
        <w:t>In July 2023, we conducted our End of Phase 1 meeting with the FDA where the recommended Phase 2 dose of 2000 mg once daily (QD) and our proposed Phase 2 study design were discussed. Alignment with the FDA was obtained on the recommended Phase 2 dose as well as key elements of the Phase 2 registrational portion of the PYNNACLE trial. The Phase 2 portion of the study will be initiated based on this alignment with the FDA.</w:t>
      </w:r>
    </w:p>
    <w:p>
      <w:pPr>
        <w:spacing w:after="0" w:line="204"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 October 2023, we presented updated Phase 1 data, as of a September 5, 2023 data cutoff date, at the 2023 American Association for Cancer Research (AACR), the National Cancer Institute (NCI), and the European Organisation for Research and Treatment of Cancer (EORTC) International Conference on Molecular Targets and Cancer Therapeutics. PC14586 was generally well tolerated. A total of 67 patients with the p53 Y220C mutation were enrolled, including 51 patients with measurable disease who were treated in the efficacious dose range, which was defined as a dose from 1150mg QD to 1500mg BID.</w:t>
      </w:r>
    </w:p>
    <w:p>
      <w:pPr>
        <w:spacing w:after="0" w:line="182"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Within the patients with measurable disease, we evaluated 38 patients that were also KRAS wild type. In these 38 patients, within the efficacious dose range, confirmed partial responses were observed per investigator assessment (RECIST v1.1) in 13 patients (34%) across multiple tumor types including breast, endometrial, ovarian and small cell lung. We also evaluated patients at the recommended Phase 2 dose of 2000 mg QD. Among the 16 patients treated at the recommended Phase 2 dose, confirmed partial responses were observed per investigator assessment (RECIST v1.1) in 6 patients (38%) across multiple tumor types, including those noted above.</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Our vision is to become a leading precision oncology company by designing, developing and commercializing novel precision medicines for every patient with a p53-driven tumor.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65" w:lineRule="exact"/>
        <w:rPr>
          <w:sz w:val="20"/>
          <w:szCs w:val="20"/>
          <w:color w:val="auto"/>
        </w:rPr>
      </w:pPr>
    </w:p>
    <w:p>
      <w:pPr>
        <w:ind w:left="940" w:hanging="288"/>
        <w:spacing w:after="0" w:line="255"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Advancing our lead product candidate, PC14586 (rezatapopt), as a tumor-agnostic, oral small molecule therapy for cancer patients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designed PC14586 to be an orally available, tumor-agnostic therapeutic and, if approved, we believe it could become the first agent to address the p53 Y220C mutation-defined patient population. In October 2020, we initiated a Phase 1/2 clinical trial for PC14586 in multiple solid tumors with the p53 Y220C mutation. We are conducting our clinical trials in this genetically-defined patient population and leverage learnings from recently approved tumor-agnostic drugs to inform the clinical and regulatory pathways for PC14586. In December 2022, we opened a separate Phase 1b arm within the existing Phase 1/2 clinical trial, to evaluate the combination of PC14586 with Merck’s KEYTRUDA (pembrolizumab), in patients with advanced solid tumors harboring a p53 Y220C mutation. In October 2023, we presented our Phase 1 clinical data for PC14586 and observed partial responses across multiple tumor types.</w:t>
      </w:r>
    </w:p>
    <w:p>
      <w:pPr>
        <w:spacing w:after="0" w:line="74" w:lineRule="exact"/>
        <w:rPr>
          <w:rFonts w:ascii="Times New Roman" w:cs="Times New Roman" w:eastAsia="Times New Roman" w:hAnsi="Times New Roman"/>
          <w:sz w:val="18"/>
          <w:szCs w:val="18"/>
          <w:color w:val="auto"/>
        </w:rPr>
      </w:pPr>
    </w:p>
    <w:p>
      <w:pPr>
        <w:ind w:left="940" w:right="140" w:hanging="288"/>
        <w:spacing w:after="0" w:line="25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Leveraging the advantages of precision medicine and our expertise in p53 biology to pursue accelerated approval of our product candidates</w:t>
      </w:r>
      <w:r>
        <w:rPr>
          <w:rFonts w:ascii="Times New Roman" w:cs="Times New Roman" w:eastAsia="Times New Roman" w:hAnsi="Times New Roman"/>
          <w:sz w:val="18"/>
          <w:szCs w:val="18"/>
          <w:color w:val="auto"/>
        </w:rPr>
        <w:t>. For our lead product candidate, PC14586, we are actively working with physicians and leading clinical trial institutions to enroll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the p53 Y220C mutation identified via NGS in our Phase 1/2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the potential to serve as a predictive marker of efficacy, thereby providing clear decision points for clinical development and efficient advancement of our product candidates towards approval. If we obtain early and encouraging clinical results, we may seek breakthrough therapy designation from the FDA, which, if granted, is intended to expedite clinical development and regulatory review. We intend to maximize the benefit of our product candidates by pursuing a tumor-agnostic approach.</w:t>
      </w:r>
    </w:p>
    <w:p>
      <w:pPr>
        <w:spacing w:after="0" w:line="78" w:lineRule="exact"/>
        <w:rPr>
          <w:rFonts w:ascii="Times New Roman" w:cs="Times New Roman" w:eastAsia="Times New Roman" w:hAnsi="Times New Roman"/>
          <w:sz w:val="18"/>
          <w:szCs w:val="18"/>
          <w:color w:val="auto"/>
        </w:rPr>
      </w:pPr>
    </w:p>
    <w:p>
      <w:pPr>
        <w:ind w:left="940" w:right="320" w:hanging="288"/>
        <w:spacing w:after="0" w:line="268"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Identifying and exploring combination therapy approaches for our product candidates</w:t>
      </w:r>
      <w:r>
        <w:rPr>
          <w:rFonts w:ascii="Times New Roman" w:cs="Times New Roman" w:eastAsia="Times New Roman" w:hAnsi="Times New Roman"/>
          <w:sz w:val="18"/>
          <w:szCs w:val="18"/>
          <w:color w:val="auto"/>
        </w:rPr>
        <w:t>. Though PC14586 has demonstrated clear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robust tumor regression as a single agent in preclinical animal models and clinical proof of concept, we believe that the mechanism of correcting the structure of mutant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4" w:lineRule="exact"/>
        <w:rPr>
          <w:sz w:val="20"/>
          <w:szCs w:val="20"/>
          <w:color w:val="auto"/>
        </w:rPr>
      </w:pPr>
    </w:p>
    <w:p>
      <w:pPr>
        <w:ind w:left="940" w:right="20"/>
        <w:spacing w:after="0" w:line="256" w:lineRule="auto"/>
        <w:rPr>
          <w:sz w:val="20"/>
          <w:szCs w:val="20"/>
          <w:color w:val="auto"/>
        </w:rPr>
      </w:pPr>
      <w:r>
        <w:rPr>
          <w:rFonts w:ascii="Times New Roman" w:cs="Times New Roman" w:eastAsia="Times New Roman" w:hAnsi="Times New Roman"/>
          <w:sz w:val="18"/>
          <w:szCs w:val="18"/>
          <w:color w:val="auto"/>
        </w:rPr>
        <w:t>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deoxyribonucleic acid, or DNA, damage and upregulate p53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74" w:lineRule="exact"/>
        <w:rPr>
          <w:sz w:val="20"/>
          <w:szCs w:val="20"/>
          <w:color w:val="auto"/>
        </w:rPr>
      </w:pPr>
    </w:p>
    <w:p>
      <w:pPr>
        <w:ind w:left="940" w:right="60" w:hanging="288"/>
        <w:spacing w:after="0" w:line="26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Harnessing the power of our precision oncology platform to discover and develop additional differentiated product candidates. </w:t>
      </w:r>
      <w:r>
        <w:rPr>
          <w:rFonts w:ascii="Times New Roman" w:cs="Times New Roman" w:eastAsia="Times New Roman" w:hAnsi="Times New Roman"/>
          <w:sz w:val="18"/>
          <w:szCs w:val="18"/>
          <w:color w:val="auto"/>
        </w:rPr>
        <w:t>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extensive in-house expertise, deep understanding of chemistry and decades of experience researching the p53 protein, we believe that we will be able to leverage and apply foundational knowledge from the advancement of PC14586 to the discovery and development of additional product candidates.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Background on Targeted Therapies</w:t>
      </w:r>
    </w:p>
    <w:p>
      <w:pPr>
        <w:spacing w:after="0" w:line="229" w:lineRule="exact"/>
        <w:rPr>
          <w:sz w:val="20"/>
          <w:szCs w:val="20"/>
          <w:color w:val="auto"/>
        </w:rPr>
      </w:pPr>
    </w:p>
    <w:p>
      <w:pPr>
        <w:ind w:right="40" w:firstLine="659"/>
        <w:spacing w:after="0" w:line="260" w:lineRule="auto"/>
        <w:rPr>
          <w:sz w:val="20"/>
          <w:szCs w:val="20"/>
          <w:color w:val="auto"/>
        </w:rPr>
      </w:pPr>
      <w:r>
        <w:rPr>
          <w:rFonts w:ascii="Times New Roman" w:cs="Times New Roman" w:eastAsia="Times New Roman" w:hAnsi="Times New Roman"/>
          <w:sz w:val="18"/>
          <w:szCs w:val="18"/>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8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Recent advances in genomic sequencing and a better understanding of the genomic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Qinlock, in GIST (Deciphera), and Krazati and Lumakras in KRAS G12C mutated NSCLC (Mirati and Amgen) all received approvals within five years of first dosing in humans. This time period is significantly reduced compared to conventional drug development timelines. Despite this progress, a recent analysis found that only 16% of patients with metastatic cancer have tumors with genetic profiles eligible for treatment with an approved targeted agent, which leaves a large opportunity for precision oncology.</w:t>
      </w:r>
    </w:p>
    <w:p>
      <w:pPr>
        <w:spacing w:after="0" w:line="18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KEYTRUDA and Jemperli, respectively, approval in metastatic microsatellite instability-high, or MSI-high, or deficient mismatch repair, or dMMR, solid tumors. KEYTRUDA is also approved in tumor mutational burden-high-(TMB-H) solid tumors. In addition, the combination of Taflinar and Mekinist was approved for BRAF V600E mutation positive unresectable or metastatic solid tumors (with the exception of colorectal cancer). We believe that these approvals represent a fundamental shift in the development of targeted therapies and will increasingly lead to cancer being characterized for treatment in a genetic, rather than in a tumor-specific, manner, based on a biological rationale.</w:t>
      </w:r>
    </w:p>
    <w:p>
      <w:pPr>
        <w:spacing w:after="0" w:line="189" w:lineRule="exact"/>
        <w:rPr>
          <w:sz w:val="20"/>
          <w:szCs w:val="20"/>
          <w:color w:val="auto"/>
        </w:rPr>
      </w:pPr>
    </w:p>
    <w:p>
      <w:pPr>
        <w:jc w:val="both"/>
        <w:ind w:right="140" w:firstLine="644"/>
        <w:spacing w:after="0" w:line="288" w:lineRule="auto"/>
        <w:rPr>
          <w:sz w:val="20"/>
          <w:szCs w:val="20"/>
          <w:color w:val="auto"/>
        </w:rPr>
      </w:pPr>
      <w:r>
        <w:rPr>
          <w:rFonts w:ascii="Times New Roman" w:cs="Times New Roman" w:eastAsia="Times New Roman" w:hAnsi="Times New Roman"/>
          <w:sz w:val="17"/>
          <w:szCs w:val="17"/>
          <w:color w:val="auto"/>
        </w:rPr>
        <w:t>The widespread recognition that cancer is a genetic disease, as much as it is a disease defined by histology or anatomical location, has driven the increased use of genetic sequencing, which is now employed by approximately 75% of oncologists in the United States. As DNA sequencing technology advances, the availability of well-defined genomic sequencing tests increases. With the increasing number of approved targeted therapies, we believe that</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192"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physicians will seek a better understanding of the underlying genetic and protein abnormalities associated with a specific type of cancer in order to determine the optimal course of treatment. Advances in genomic sequencing are leading to transformations in the discovery and development of new targeted oncology drugs.</w:t>
      </w:r>
    </w:p>
    <w:p>
      <w:pPr>
        <w:spacing w:after="0" w:line="177"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an effective way to address p53-driven cancers is by targeting individual p53 mutations using a precision oncology approach and significantly expanding the scope of patients who can benefit from targeted therapies.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Product Candidate and Development Programs</w:t>
      </w:r>
    </w:p>
    <w:p>
      <w:pPr>
        <w:spacing w:after="0" w:line="229" w:lineRule="exact"/>
        <w:rPr>
          <w:sz w:val="20"/>
          <w:szCs w:val="20"/>
          <w:color w:val="auto"/>
        </w:rPr>
      </w:pPr>
    </w:p>
    <w:p>
      <w:pPr>
        <w:ind w:right="820" w:firstLine="644"/>
        <w:spacing w:after="0" w:line="281"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 small molecule product candidates.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132080</wp:posOffset>
            </wp:positionV>
            <wp:extent cx="4726305" cy="2183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26305" cy="218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40" w:hanging="288"/>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Discovery, we screen compounds against biological assays to identify lead compounds.</w:t>
      </w:r>
    </w:p>
    <w:p>
      <w:pPr>
        <w:spacing w:after="0" w:line="95" w:lineRule="exact"/>
        <w:rPr>
          <w:rFonts w:ascii="Times New Roman" w:cs="Times New Roman" w:eastAsia="Times New Roman" w:hAnsi="Times New Roman"/>
          <w:sz w:val="14"/>
          <w:szCs w:val="14"/>
          <w:color w:val="auto"/>
        </w:rPr>
      </w:pPr>
    </w:p>
    <w:p>
      <w:pPr>
        <w:ind w:left="940" w:right="320" w:hanging="288"/>
        <w:spacing w:after="0" w:line="258"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Lead Optimization, we modify the lead compound to improve potency, selectivity, pharmacokinetic and toxicity parameters and physical chemical properties important for clinical development.</w:t>
      </w:r>
    </w:p>
    <w:p>
      <w:pPr>
        <w:spacing w:after="0" w:line="58" w:lineRule="exact"/>
        <w:rPr>
          <w:rFonts w:ascii="Times New Roman" w:cs="Times New Roman" w:eastAsia="Times New Roman" w:hAnsi="Times New Roman"/>
          <w:sz w:val="14"/>
          <w:szCs w:val="14"/>
          <w:color w:val="auto"/>
        </w:rPr>
      </w:pPr>
    </w:p>
    <w:p>
      <w:pPr>
        <w:ind w:left="940" w:hanging="288"/>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IND-Enabling Studies, we conduct preclinical studies, in accordance with GLP required for an IND submission to the FDA.</w:t>
      </w:r>
    </w:p>
    <w:p>
      <w:pPr>
        <w:spacing w:after="0" w:line="20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expect to initially seek approval of our product candidates in most instances, including with PC14586 (rezatapopt), at least as a second line therapy or for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PC14586 (rezatapopt): A Selective Structural Corrector of p53 Y220C Mutations</w:t>
      </w:r>
    </w:p>
    <w:p>
      <w:pPr>
        <w:spacing w:after="0" w:line="121" w:lineRule="exact"/>
        <w:rPr>
          <w:sz w:val="20"/>
          <w:szCs w:val="20"/>
          <w:color w:val="auto"/>
        </w:rPr>
      </w:pPr>
    </w:p>
    <w:p>
      <w:pPr>
        <w:jc w:val="both"/>
        <w:ind w:right="40" w:firstLine="644"/>
        <w:spacing w:after="0" w:line="280" w:lineRule="auto"/>
        <w:rPr>
          <w:sz w:val="20"/>
          <w:szCs w:val="20"/>
          <w:color w:val="auto"/>
        </w:rPr>
      </w:pPr>
      <w:r>
        <w:rPr>
          <w:rFonts w:ascii="Times New Roman" w:cs="Times New Roman" w:eastAsia="Times New Roman" w:hAnsi="Times New Roman"/>
          <w:sz w:val="17"/>
          <w:szCs w:val="17"/>
          <w:color w:val="auto"/>
        </w:rPr>
        <w:t>p53 is the most widely mutated gene in human cancers. The vast majority of these mutations occur as a result of missense mutations that are found in the DNA binding domain. p53 Y220C mutations are found in approximately 1.0% of all cancers. This particular mutation is expressed in a large variety of solid tumors, including breast, NSCLC, colorectal, pancreatic and ovarian cancers. Our lead product candidate, PC14586 (rezatapopt), is designed to be an orally available small molecule that structurally corrects a p53 protein containing the Y220C mutation and restores wild-type p53 function.</w:t>
      </w:r>
    </w:p>
    <w:p>
      <w:pPr>
        <w:spacing w:after="0" w:line="166"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82"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w:t>
      </w:r>
    </w:p>
    <w:p>
      <w:pPr>
        <w:spacing w:after="0" w:line="204"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of PC14586 (rezatapopt)</w:t>
      </w:r>
    </w:p>
    <w:p>
      <w:pPr>
        <w:spacing w:after="0" w:line="134" w:lineRule="exact"/>
        <w:rPr>
          <w:sz w:val="20"/>
          <w:szCs w:val="20"/>
          <w:color w:val="auto"/>
        </w:rPr>
      </w:pPr>
    </w:p>
    <w:p>
      <w:pPr>
        <w:jc w:val="both"/>
        <w:ind w:right="240" w:firstLine="644"/>
        <w:spacing w:after="0" w:line="265" w:lineRule="auto"/>
        <w:rPr>
          <w:sz w:val="20"/>
          <w:szCs w:val="20"/>
          <w:color w:val="auto"/>
        </w:rPr>
      </w:pPr>
      <w:r>
        <w:rPr>
          <w:rFonts w:ascii="Times New Roman" w:cs="Times New Roman" w:eastAsia="Times New Roman" w:hAnsi="Times New Roman"/>
          <w:sz w:val="18"/>
          <w:szCs w:val="18"/>
          <w:color w:val="auto"/>
        </w:rPr>
        <w:t>We initiated a Phase 1/2 clinical trial, PYNNACLE, for PC14586 in October 2020. In addition, we were granted FDA Fast Track designation of PC14586 for the treatment of patients with locally advanced or metastatic solid tumors with a p53 Y220C mutation in October 2020. We dosed our first patient in this clinical trial in the fourth quarter of 2020.</w:t>
      </w:r>
    </w:p>
    <w:p>
      <w:pPr>
        <w:spacing w:after="0" w:line="21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October 2023, we provided an update on the Phase 1 portion of the Phase 1/2 trial at the 2023 American Association for Cancer Research (AACR), the National Cancer Institute (NCI), and the European Organisation for Research and Treatment of Cancer (EORTC) International Conference on Molecular Targets and Cancer Therapeutics Annual Meeting. The updated Phase 1 data, as of a September 5, 2023 data cutoff date, included enrollment of 67 patients with the p53 Y220C mutation, 51 of whom had measurable disease of which 38 were also KRAS wild type. Patients in the study had a median age of 63 (range of 32-84 years of age) with a range of tumor types and were heavily pretreated with a median of three prior lines of therapy. Of these patients, 38 patients with measurable disease and were KRAS wild type, were treated in the efficacious dose range, which was defined as a dose from 1150mg QD to 1500mg BID. In the efficacious dose range, confirmed partial responses were observed per investigator assessment (RECIST v1.1) in 13 patients (34%) across multiple different tumor types including breast, endometrial, ovarian and small cell lung. Best response of stable disease (SD) or confirmed partial response was observed in 33 of the 38 patients (87%) in the efficacious dose range. We also evaluated patients at the recommended Phase 2 dose of 2000 mg QD. Among the 16 patients treated at the recommended Phase 2 dose level, confirmed partial responses were observed per investigator assessment (RECIST v1.1) in 6 patients (38%) across multiple tumor types, including those noted above. Best response of stable disease (SD) or confirmed partial response was observed in 14 of the 16 patients (88%).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1252855</wp:posOffset>
            </wp:positionH>
            <wp:positionV relativeFrom="page">
              <wp:posOffset>911225</wp:posOffset>
            </wp:positionV>
            <wp:extent cx="5017770" cy="2620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017770"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520" w:firstLine="644"/>
        <w:spacing w:after="0" w:line="265" w:lineRule="auto"/>
        <w:rPr>
          <w:sz w:val="20"/>
          <w:szCs w:val="20"/>
          <w:color w:val="auto"/>
        </w:rPr>
      </w:pPr>
      <w:r>
        <w:rPr>
          <w:rFonts w:ascii="Times New Roman" w:cs="Times New Roman" w:eastAsia="Times New Roman" w:hAnsi="Times New Roman"/>
          <w:sz w:val="18"/>
          <w:szCs w:val="18"/>
          <w:color w:val="auto"/>
        </w:rPr>
        <w:t>PC14586 was observed to be generally well-tolerated (across 67 patients treated with PC14586 monotherapy as of September 5, 2023). The majority of adverse events were mild or moderate (Grade 1 or 2) in severity with the most frequent adverse events being nausea, vomiting, aspartate transaminase (AST)/alanine transaminase (ALT) increase, anemia, blood creatinine increase and fatigue.</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PC14586 in a Clinical Collaboration with Merck</w:t>
      </w:r>
    </w:p>
    <w:p>
      <w:pPr>
        <w:spacing w:after="0" w:line="121"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As a result of the preclinical combination data with PC14586 (rezatapopt) and an anti-PD1 antibody, we are evaluating this combination in patients. In July 2022, we announced a clinical collaboration agreement with Merck to evaluate the combination of PC14586 and Merck’s anti-PD1 antibody, KEYTRUDA (pembrolizumab), in patients with advanced solid tumors in patients with a p53 Y220C mutation. This study is being conducted as a separate Phase 1b arm of our ongoing Phase 1/2 PYNNACLE trial in patients with advanced solid tumors. Approximately 36 patients are expected to be enrolled in the combination arm of the trial. This combination arm will assess the safety, tolerability, pharmacokinetics, pharmacodynamics, and preliminary efficacy of PC14586 in combination with KEYTRUDA in patients with advanced solid tumors harboring a p53 Y220C mutation. Under the terms of the agreement, we will sponsor the trial and Merck will supply KEYTRUDA. In December 2022, we initiated enrollment in the PC14586 + pembrolizumab arm of the PYNNACLE study.</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229"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In addition to our PC14586 program, we are focused on developing a pipeline of product candidates targeting other p53 mutations or p53-related targets. These programs have been developed using our precision oncology platform and expertise.</w:t>
      </w:r>
    </w:p>
    <w:p>
      <w:pPr>
        <w:spacing w:after="0" w:line="163"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We are able to utilize the same general principles and similar drug discovery methods developed from our PC14586 (p53 Y220C) program to facilitate the development of additional new product candidates. We study the structural and functional properties of the target. We use assays, screens, preclinical model systems and biomarkers to assess and optimize selective small molecules. By leveraging our team’s depth of expertise around p53, we are positioned to accelerate our efforts to expand the pipeline of therapies that target p53 or other p53-related cancers.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6" w:lineRule="exact"/>
        <w:rPr>
          <w:sz w:val="20"/>
          <w:szCs w:val="20"/>
          <w:color w:val="auto"/>
        </w:rPr>
      </w:pPr>
    </w:p>
    <w:p>
      <w:pPr>
        <w:ind w:right="180" w:firstLine="64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therapies targeting p53 mutations and other p53-related cancers.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Jacobio Pharmaceuticals,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(out-licensed worldwide rights to Rain Therapeutics), Kartos Therapeutics, Kymera Therapeutics, Otsuka Pharmaceutical, Novartis and Roche, including testing MDM2 inhibitors in combination with a variety of other anti-cancer agents.</w:t>
      </w:r>
    </w:p>
    <w:p>
      <w:pPr>
        <w:spacing w:after="0" w:line="189" w:lineRule="exact"/>
        <w:rPr>
          <w:sz w:val="20"/>
          <w:szCs w:val="20"/>
          <w:color w:val="auto"/>
        </w:rPr>
      </w:pPr>
    </w:p>
    <w:p>
      <w:pPr>
        <w:ind w:right="380" w:firstLine="644"/>
        <w:spacing w:after="0" w:line="260"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(rezatapopt) or our future product candidates do not offer sustainable advantages over competing products, we may otherwise not be able to successfully compete against current and future competitors.</w:t>
      </w:r>
    </w:p>
    <w:p>
      <w:pPr>
        <w:spacing w:after="0" w:line="182"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2" w:lineRule="exact"/>
        <w:rPr>
          <w:sz w:val="20"/>
          <w:szCs w:val="20"/>
          <w:color w:val="auto"/>
        </w:rPr>
      </w:pPr>
    </w:p>
    <w:p>
      <w:pPr>
        <w:ind w:right="440" w:firstLine="644"/>
        <w:spacing w:after="0" w:line="260"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manufacture of our product candidates undergoing preclinical and clinical testing, as well as for commercial manufacture if our product candidates receive marketing approval.</w:t>
      </w:r>
    </w:p>
    <w:p>
      <w:pPr>
        <w:spacing w:after="0" w:line="177" w:lineRule="exact"/>
        <w:rPr>
          <w:sz w:val="20"/>
          <w:szCs w:val="20"/>
          <w:color w:val="auto"/>
        </w:rPr>
      </w:pPr>
    </w:p>
    <w:p>
      <w:pPr>
        <w:jc w:val="both"/>
        <w:ind w:right="300" w:firstLine="644"/>
        <w:spacing w:after="0" w:line="265" w:lineRule="auto"/>
        <w:rPr>
          <w:sz w:val="20"/>
          <w:szCs w:val="20"/>
          <w:color w:val="auto"/>
        </w:rPr>
      </w:pPr>
      <w:r>
        <w:rPr>
          <w:rFonts w:ascii="Times New Roman" w:cs="Times New Roman" w:eastAsia="Times New Roman" w:hAnsi="Times New Roman"/>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77"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77"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77" w:lineRule="exact"/>
        <w:rPr>
          <w:sz w:val="20"/>
          <w:szCs w:val="20"/>
          <w:color w:val="auto"/>
        </w:rPr>
      </w:pPr>
    </w:p>
    <w:p>
      <w:pPr>
        <w:ind w:right="240" w:firstLine="644"/>
        <w:spacing w:after="0" w:line="260" w:lineRule="auto"/>
        <w:rPr>
          <w:sz w:val="20"/>
          <w:szCs w:val="20"/>
          <w:color w:val="auto"/>
        </w:rPr>
      </w:pPr>
      <w:r>
        <w:rPr>
          <w:rFonts w:ascii="Times New Roman" w:cs="Times New Roman" w:eastAsia="Times New Roman" w:hAnsi="Times New Roman"/>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87"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95"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8"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6"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86"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January 31, 2024, we owned six issued US patents and seven granted foreign patents relating to methods of use and composition of matter of PMV compounds, including PC14586, at least 15 pending US patent applications, and at least 30 pending foreign patent applications, each of which relates to methods of use and composition of matter of PMV compounds. The six issued US patents are expected to expire between 2037 and 2041, without taking into account any possible patent term adjustment or extensions.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right="200" w:firstLine="644"/>
        <w:spacing w:after="0" w:line="281" w:lineRule="auto"/>
        <w:rPr>
          <w:sz w:val="20"/>
          <w:szCs w:val="20"/>
          <w:color w:val="auto"/>
        </w:rPr>
      </w:pPr>
      <w:r>
        <w:rPr>
          <w:rFonts w:ascii="Times New Roman" w:cs="Times New Roman" w:eastAsia="Times New Roman" w:hAnsi="Times New Roman"/>
          <w:sz w:val="18"/>
          <w:szCs w:val="18"/>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55" w:lineRule="exact"/>
        <w:rPr>
          <w:sz w:val="20"/>
          <w:szCs w:val="20"/>
          <w:color w:val="auto"/>
        </w:rPr>
      </w:pPr>
    </w:p>
    <w:p>
      <w:pPr>
        <w:ind w:left="960" w:right="740" w:hanging="294"/>
        <w:spacing w:after="0" w:line="28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FDA’s good laboratory practice requirements and other applicable regulations;</w:t>
      </w:r>
    </w:p>
    <w:p>
      <w:pPr>
        <w:spacing w:after="0" w:line="54"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trial may be initiated;</w:t>
      </w:r>
    </w:p>
    <w:p>
      <w:pPr>
        <w:spacing w:after="0" w:line="116" w:lineRule="exact"/>
        <w:rPr>
          <w:rFonts w:ascii="Times New Roman" w:cs="Times New Roman" w:eastAsia="Times New Roman" w:hAnsi="Times New Roman"/>
          <w:sz w:val="18"/>
          <w:szCs w:val="18"/>
          <w:color w:val="auto"/>
        </w:rPr>
      </w:pPr>
    </w:p>
    <w:p>
      <w:pPr>
        <w:ind w:left="960" w:right="20" w:hanging="294"/>
        <w:spacing w:after="0" w:line="28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4"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116"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to accept the filing for substantive review;</w:t>
      </w:r>
    </w:p>
    <w:p>
      <w:pPr>
        <w:spacing w:after="0" w:line="116"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960" w:right="220" w:hanging="294"/>
        <w:spacing w:after="0" w:line="265"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69"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22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9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unacceptable safety risk for subjects or other grounds, such as no demonstration of efficacy. There are also requirements governing the reporting of ongoing clinical studies and clinical study results to public registries.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940" w:right="140" w:hanging="288"/>
        <w:spacing w:after="0" w:line="258"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4" w:lineRule="exact"/>
        <w:rPr>
          <w:rFonts w:ascii="Times New Roman" w:cs="Times New Roman" w:eastAsia="Times New Roman" w:hAnsi="Times New Roman"/>
          <w:sz w:val="18"/>
          <w:szCs w:val="18"/>
          <w:color w:val="auto"/>
        </w:rPr>
      </w:pPr>
    </w:p>
    <w:p>
      <w:pPr>
        <w:jc w:val="both"/>
        <w:ind w:left="940" w:hanging="288"/>
        <w:spacing w:after="0" w:line="265"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9" w:lineRule="exact"/>
        <w:rPr>
          <w:rFonts w:ascii="Times New Roman" w:cs="Times New Roman" w:eastAsia="Times New Roman" w:hAnsi="Times New Roman"/>
          <w:sz w:val="18"/>
          <w:szCs w:val="18"/>
          <w:color w:val="auto"/>
        </w:rPr>
      </w:pPr>
    </w:p>
    <w:p>
      <w:pPr>
        <w:jc w:val="both"/>
        <w:ind w:left="940" w:right="40" w:hanging="288"/>
        <w:spacing w:after="0" w:line="288"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9" w:lineRule="exact"/>
        <w:rPr>
          <w:sz w:val="20"/>
          <w:szCs w:val="20"/>
          <w:color w:val="auto"/>
        </w:rPr>
      </w:pPr>
    </w:p>
    <w:p>
      <w:pPr>
        <w:ind w:right="380" w:firstLine="644"/>
        <w:spacing w:after="0" w:line="260" w:lineRule="auto"/>
        <w:rPr>
          <w:sz w:val="20"/>
          <w:szCs w:val="20"/>
          <w:color w:val="auto"/>
        </w:rPr>
      </w:pPr>
      <w:r>
        <w:rPr>
          <w:rFonts w:ascii="Times New Roman" w:cs="Times New Roman" w:eastAsia="Times New Roman" w:hAnsi="Times New Roman"/>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82"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2"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Review and Approval Process</w:t>
      </w:r>
    </w:p>
    <w:p>
      <w:pPr>
        <w:spacing w:after="0" w:line="121"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6"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89" w:lineRule="exact"/>
        <w:rPr>
          <w:sz w:val="20"/>
          <w:szCs w:val="20"/>
          <w:color w:val="auto"/>
        </w:rPr>
      </w:pPr>
    </w:p>
    <w:p>
      <w:pPr>
        <w:jc w:val="both"/>
        <w:ind w:right="100" w:firstLine="644"/>
        <w:spacing w:after="0" w:line="260"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2" w:lineRule="exact"/>
        <w:rPr>
          <w:sz w:val="20"/>
          <w:szCs w:val="20"/>
          <w:color w:val="auto"/>
        </w:rPr>
      </w:pPr>
    </w:p>
    <w:p>
      <w:pPr>
        <w:ind w:right="20" w:firstLine="644"/>
        <w:spacing w:after="0" w:line="274" w:lineRule="auto"/>
        <w:rPr>
          <w:sz w:val="20"/>
          <w:szCs w:val="20"/>
          <w:color w:val="auto"/>
        </w:rPr>
      </w:pPr>
      <w:r>
        <w:rPr>
          <w:rFonts w:ascii="Times New Roman" w:cs="Times New Roman" w:eastAsia="Times New Roman" w:hAnsi="Times New Roman"/>
          <w:sz w:val="17"/>
          <w:szCs w:val="17"/>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9"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82"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89" w:lineRule="exact"/>
        <w:rPr>
          <w:sz w:val="20"/>
          <w:szCs w:val="20"/>
          <w:color w:val="auto"/>
        </w:rPr>
      </w:pPr>
    </w:p>
    <w:p>
      <w:pPr>
        <w:ind w:right="160" w:firstLine="644"/>
        <w:spacing w:after="0" w:line="260"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9"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4" w:lineRule="exact"/>
        <w:rPr>
          <w:sz w:val="20"/>
          <w:szCs w:val="20"/>
          <w:color w:val="auto"/>
        </w:rPr>
      </w:pPr>
    </w:p>
    <w:p>
      <w:pPr>
        <w:ind w:left="940" w:hanging="28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4" w:lineRule="exact"/>
        <w:rPr>
          <w:sz w:val="20"/>
          <w:szCs w:val="20"/>
          <w:color w:val="auto"/>
        </w:rPr>
      </w:pPr>
    </w:p>
    <w:p>
      <w:pPr>
        <w:ind w:left="940" w:right="180" w:hanging="288"/>
        <w:spacing w:after="0" w:line="281"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940" w:right="220" w:hanging="288"/>
        <w:spacing w:after="0" w:line="281"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9"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8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 w:name="page22"/>
    <w:bookmarkEnd w:id="21"/>
    <w:p>
      <w:pPr>
        <w:spacing w:after="0" w:line="192"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FDA intends to continue to apply its longstanding interpretation of the regulations to matters outside of the scope of the</w:t>
      </w:r>
      <w:r>
        <w:rPr>
          <w:rFonts w:ascii="Times New Roman" w:cs="Times New Roman" w:eastAsia="Times New Roman" w:hAnsi="Times New Roman"/>
          <w:sz w:val="18"/>
          <w:szCs w:val="18"/>
          <w:i w:val="1"/>
          <w:iCs w:val="1"/>
          <w:color w:val="auto"/>
        </w:rPr>
        <w:t xml:space="preserve"> Catalyst </w:t>
      </w:r>
      <w:r>
        <w:rPr>
          <w:rFonts w:ascii="Times New Roman" w:cs="Times New Roman" w:eastAsia="Times New Roman" w:hAnsi="Times New Roman"/>
          <w:sz w:val="18"/>
          <w:szCs w:val="18"/>
          <w:color w:val="auto"/>
        </w:rPr>
        <w:t>order –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right="60" w:firstLine="644"/>
        <w:spacing w:after="0" w:line="269" w:lineRule="auto"/>
        <w:rPr>
          <w:sz w:val="20"/>
          <w:szCs w:val="20"/>
          <w:color w:val="auto"/>
        </w:rPr>
      </w:pPr>
      <w:r>
        <w:rPr>
          <w:rFonts w:ascii="Times New Roman" w:cs="Times New Roman" w:eastAsia="Times New Roman" w:hAnsi="Times New Roman"/>
          <w:sz w:val="17"/>
          <w:szCs w:val="17"/>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w:t>
      </w:r>
    </w:p>
    <w:p>
      <w:pPr>
        <w:spacing w:after="0" w:line="2" w:lineRule="exact"/>
        <w:rPr>
          <w:sz w:val="20"/>
          <w:szCs w:val="20"/>
          <w:color w:val="auto"/>
        </w:rPr>
      </w:pPr>
    </w:p>
    <w:p>
      <w:pPr>
        <w:jc w:val="both"/>
        <w:ind w:right="140" w:firstLine="8"/>
        <w:spacing w:after="0" w:line="253"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7"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95"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risk of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92" w:lineRule="exact"/>
        <w:rPr>
          <w:sz w:val="20"/>
          <w:szCs w:val="20"/>
          <w:color w:val="auto"/>
        </w:rPr>
      </w:pPr>
    </w:p>
    <w:p>
      <w:pPr>
        <w:ind w:right="40" w:firstLine="644"/>
        <w:spacing w:after="0" w:line="270" w:lineRule="auto"/>
        <w:rPr>
          <w:sz w:val="20"/>
          <w:szCs w:val="20"/>
          <w:color w:val="auto"/>
        </w:rPr>
      </w:pPr>
      <w:r>
        <w:rPr>
          <w:rFonts w:ascii="Times New Roman" w:cs="Times New Roman" w:eastAsia="Times New Roman" w:hAnsi="Times New Roman"/>
          <w:sz w:val="17"/>
          <w:szCs w:val="17"/>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9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186"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effective April 1, 2013, which will remain in effect through 2032, unless additional Congressional action is taken.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2"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Specifically, there have been several recent U.S. Presidential executive orders,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Inflation Reduction Act are unconstitutional. The impact of these judicial challenges and future government reform measures on us and the pharmaceutical industry as a whole is unclear.</w:t>
      </w:r>
    </w:p>
    <w:p>
      <w:pPr>
        <w:spacing w:after="0" w:line="189"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21"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 xml:space="preserve">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(or decision to grant a De Novo classification request if there is no predicate device), and premarket approval, or PMA approval. In January 2024, FDA announced its plans to reclassify certain high-risk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s, including companion diagnostics, as Class II devices. As such, to the extent we or our collaborators develop a companion diagnostic, it may be regulated as a Class II or Class III medical device, depending on its intended use and technical characteristics, among other factors.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process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86"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91"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process</w:t>
      </w:r>
    </w:p>
    <w:p>
      <w:pPr>
        <w:spacing w:after="0" w:line="121"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92"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93"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500" w:firstLine="644"/>
        <w:spacing w:after="0" w:line="281" w:lineRule="auto"/>
        <w:rPr>
          <w:sz w:val="20"/>
          <w:szCs w:val="20"/>
          <w:color w:val="auto"/>
        </w:rPr>
      </w:pPr>
      <w:r>
        <w:rPr>
          <w:rFonts w:ascii="Times New Roman" w:cs="Times New Roman" w:eastAsia="Times New Roman" w:hAnsi="Times New Roman"/>
          <w:sz w:val="18"/>
          <w:szCs w:val="18"/>
          <w:color w:val="auto"/>
        </w:rPr>
        <w:t>As of February 29, 2024, we had 63 full-time employees, including 24 employees with Ph.D., M.D. or Pharm.D. degrees. Of these full-time employees, 50 employees are engaged in research and development activities.</w:t>
      </w:r>
    </w:p>
    <w:p>
      <w:pPr>
        <w:spacing w:after="0" w:line="163"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consider our relationship with our employees to be good.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though the granting of stock-based and cash-based compensation awards, to increase stockholder value and our success by motivating such individuals to perform to the best of their abilities and achieve our objectives.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22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that meets periodically, with oversight by the nominating and corporate governance committee of our board of directors. Our ESG Work Group oversees our sustainability efforts, and we have documented our initiatives in our inaugural 2022 ESG Highlights Report, which is available on our website at ir.pmvpharma.com. The content provided in our 2022 ESG Highlights Report or accessible through our website is not incorporated by reference as part of this Annual Report on Form 10-K.</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20" w:firstLine="644"/>
        <w:spacing w:after="0" w:line="260" w:lineRule="auto"/>
        <w:rPr>
          <w:sz w:val="20"/>
          <w:szCs w:val="20"/>
          <w:color w:val="auto"/>
        </w:rPr>
      </w:pPr>
      <w:r>
        <w:rPr>
          <w:rFonts w:ascii="Times New Roman" w:cs="Times New Roman" w:eastAsia="Times New Roman" w:hAnsi="Times New Roman"/>
          <w:sz w:val="18"/>
          <w:szCs w:val="18"/>
          <w:color w:val="auto"/>
        </w:rPr>
        <w:t>We were incorporated in Delaware in March 2013 under the name “PJ Pharmaceuticals, Inc.” In July 2013, we changed our name to “PMV Pharmaceuticals, Inc.” Our principal executive offices are located at 1 Research Way, Princeton, New Jersey 08540. Our telephone number is (609) 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659"/>
        <w:spacing w:after="0" w:line="253" w:lineRule="auto"/>
        <w:rPr>
          <w:sz w:val="20"/>
          <w:szCs w:val="20"/>
          <w:color w:val="auto"/>
        </w:rPr>
      </w:pPr>
      <w:r>
        <w:rPr>
          <w:rFonts w:ascii="Times New Roman" w:cs="Times New Roman" w:eastAsia="Times New Roman" w:hAnsi="Times New Roman"/>
          <w:sz w:val="18"/>
          <w:szCs w:val="18"/>
          <w:color w:val="auto"/>
        </w:rPr>
        <w:t>Our Internet address is www.pmvpharma.com.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with the Securities and Exchange Commission, or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ir.pmvpharma.com as soon as reasonably practicable after we electronically file or furnish such information with the SEC.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appearing elsewhere in this Annual Report on Form 10-K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50" w:lineRule="exact"/>
        <w:rPr>
          <w:sz w:val="20"/>
          <w:szCs w:val="20"/>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w:t>
      </w:r>
    </w:p>
    <w:p>
      <w:pPr>
        <w:spacing w:after="0" w:line="116" w:lineRule="exact"/>
        <w:rPr>
          <w:rFonts w:ascii="Times New Roman" w:cs="Times New Roman" w:eastAsia="Times New Roman" w:hAnsi="Times New Roman"/>
          <w:sz w:val="18"/>
          <w:szCs w:val="18"/>
          <w:color w:val="auto"/>
        </w:rPr>
      </w:pPr>
    </w:p>
    <w:p>
      <w:pPr>
        <w:ind w:left="940" w:right="120" w:hanging="288"/>
        <w:spacing w:after="0" w:line="281"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4" w:lineRule="exact"/>
        <w:rPr>
          <w:rFonts w:ascii="Times New Roman" w:cs="Times New Roman" w:eastAsia="Times New Roman" w:hAnsi="Times New Roman"/>
          <w:sz w:val="18"/>
          <w:szCs w:val="18"/>
          <w:color w:val="auto"/>
        </w:rPr>
      </w:pPr>
    </w:p>
    <w:p>
      <w:pPr>
        <w:ind w:left="940" w:right="140" w:hanging="288"/>
        <w:spacing w:after="0" w:line="265"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69" w:lineRule="exact"/>
        <w:rPr>
          <w:rFonts w:ascii="Times New Roman" w:cs="Times New Roman" w:eastAsia="Times New Roman" w:hAnsi="Times New Roman"/>
          <w:sz w:val="18"/>
          <w:szCs w:val="18"/>
          <w:color w:val="auto"/>
        </w:rPr>
      </w:pPr>
    </w:p>
    <w:p>
      <w:pPr>
        <w:ind w:left="940" w:right="440" w:hanging="288"/>
        <w:spacing w:after="0" w:line="281"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w:t>
      </w:r>
    </w:p>
    <w:p>
      <w:pPr>
        <w:spacing w:after="0" w:line="116" w:lineRule="exact"/>
        <w:rPr>
          <w:rFonts w:ascii="Times New Roman" w:cs="Times New Roman" w:eastAsia="Times New Roman" w:hAnsi="Times New Roman"/>
          <w:sz w:val="18"/>
          <w:szCs w:val="18"/>
          <w:color w:val="auto"/>
        </w:rPr>
      </w:pPr>
    </w:p>
    <w:p>
      <w:pPr>
        <w:ind w:left="940" w:right="20" w:hanging="288"/>
        <w:spacing w:after="0" w:line="260"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preclinical and clinical development is focused on the development of precision medicines for patients with genetically defined cancers, which is a rapidly evolving area of science, and the approach we are taking to discover and develop drugs targeting p53 hotspot mutations and other p53-related cancers is novel, may never lead to marketable products and may not ultimately represent a significant market;</w:t>
      </w:r>
    </w:p>
    <w:p>
      <w:pPr>
        <w:spacing w:after="0" w:line="73" w:lineRule="exact"/>
        <w:rPr>
          <w:rFonts w:ascii="Times New Roman" w:cs="Times New Roman" w:eastAsia="Times New Roman" w:hAnsi="Times New Roman"/>
          <w:sz w:val="18"/>
          <w:szCs w:val="18"/>
          <w:color w:val="auto"/>
        </w:rPr>
      </w:pPr>
    </w:p>
    <w:p>
      <w:pPr>
        <w:ind w:left="940" w:right="100" w:hanging="288"/>
        <w:spacing w:after="0" w:line="265"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continue to expand our development efforts, we are substantially dependent on our lead product candidate, PC14586 (rezatapopt). If we are unable to advance, obtain regulatory approval for and commercialize PC14586, our business, financial condition and results of operations will be materially adversely affected;</w:t>
      </w:r>
    </w:p>
    <w:p>
      <w:pPr>
        <w:spacing w:after="0" w:line="69" w:lineRule="exact"/>
        <w:rPr>
          <w:rFonts w:ascii="Times New Roman" w:cs="Times New Roman" w:eastAsia="Times New Roman" w:hAnsi="Times New Roman"/>
          <w:sz w:val="18"/>
          <w:szCs w:val="18"/>
          <w:color w:val="auto"/>
        </w:rPr>
      </w:pPr>
    </w:p>
    <w:p>
      <w:pPr>
        <w:ind w:left="940" w:right="160" w:hanging="288"/>
        <w:spacing w:after="0" w:line="260"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73" w:lineRule="exact"/>
        <w:rPr>
          <w:rFonts w:ascii="Times New Roman" w:cs="Times New Roman" w:eastAsia="Times New Roman" w:hAnsi="Times New Roman"/>
          <w:sz w:val="18"/>
          <w:szCs w:val="18"/>
          <w:color w:val="auto"/>
        </w:rPr>
      </w:pPr>
    </w:p>
    <w:p>
      <w:pPr>
        <w:ind w:left="940" w:right="260" w:hanging="288"/>
        <w:spacing w:after="0" w:line="312"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31" w:lineRule="exact"/>
        <w:rPr>
          <w:rFonts w:ascii="Times New Roman" w:cs="Times New Roman" w:eastAsia="Times New Roman" w:hAnsi="Times New Roman"/>
          <w:sz w:val="17"/>
          <w:szCs w:val="17"/>
          <w:color w:val="auto"/>
        </w:rPr>
      </w:pPr>
    </w:p>
    <w:p>
      <w:pPr>
        <w:ind w:left="940" w:hanging="288"/>
        <w:spacing w:after="0" w:line="265"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9" w:name="page30"/>
    <w:bookmarkEnd w:id="29"/>
    <w:p>
      <w:pPr>
        <w:spacing w:after="0" w:line="84" w:lineRule="exact"/>
        <w:rPr>
          <w:sz w:val="20"/>
          <w:szCs w:val="20"/>
          <w:color w:val="auto"/>
        </w:rPr>
      </w:pPr>
    </w:p>
    <w:p>
      <w:pPr>
        <w:ind w:left="940" w:right="280" w:hanging="288"/>
        <w:spacing w:after="0" w:line="28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preclinical and clinical development, and these third parties may not meet expectations;</w:t>
      </w:r>
    </w:p>
    <w:p>
      <w:pPr>
        <w:spacing w:after="0" w:line="54" w:lineRule="exact"/>
        <w:rPr>
          <w:rFonts w:ascii="Times New Roman" w:cs="Times New Roman" w:eastAsia="Times New Roman" w:hAnsi="Times New Roman"/>
          <w:sz w:val="18"/>
          <w:szCs w:val="18"/>
          <w:color w:val="auto"/>
        </w:rPr>
      </w:pPr>
    </w:p>
    <w:p>
      <w:pPr>
        <w:ind w:left="940" w:right="180" w:hanging="288"/>
        <w:spacing w:after="0" w:line="28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and</w:t>
      </w:r>
    </w:p>
    <w:p>
      <w:pPr>
        <w:spacing w:after="0" w:line="116" w:lineRule="exact"/>
        <w:rPr>
          <w:rFonts w:ascii="Times New Roman" w:cs="Times New Roman" w:eastAsia="Times New Roman" w:hAnsi="Times New Roman"/>
          <w:sz w:val="18"/>
          <w:szCs w:val="18"/>
          <w:color w:val="auto"/>
        </w:rPr>
      </w:pPr>
    </w:p>
    <w:p>
      <w:pPr>
        <w:ind w:left="940" w:right="80" w:hanging="288"/>
        <w:spacing w:after="0" w:line="28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companion diagnostics with third party collaborators, which must also separately be approved as medical devices by the FDA.</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Business, Financial Condition, Results of Operations and Need for Additional Capital</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5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Our lead product candidate, PC14586, received authorization to proceed under an investigational new drug application, or IND, with the FDA in September 2020 and then received Fast Track designation in October 2020. In the fourth quarter of 2020, we initiated patient dosing in our Phase 1/2 clinical trial of PC14586. We announced preliminary results from the Phase 1/2 clinical trial of PC14586 in June 2022, and entered into a clinical trial collaboration with Merck to evaluate PC14586 in combination with Merck’s anti-PD-1 therapy, KEYTRUDA, in patients with advanced solid tumors harboring a p53 Y220C mutation. In October 2023, we announced updated Phase 1 results from the Phase 1/2 clinical trial of PC14586. We have not demonstrated an ability to successfully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6" w:lineRule="exact"/>
        <w:rPr>
          <w:sz w:val="20"/>
          <w:szCs w:val="20"/>
          <w:color w:val="auto"/>
        </w:rPr>
      </w:pPr>
    </w:p>
    <w:p>
      <w:pPr>
        <w:ind w:right="280" w:firstLine="644"/>
        <w:spacing w:after="0" w:line="265" w:lineRule="auto"/>
        <w:rPr>
          <w:sz w:val="20"/>
          <w:szCs w:val="20"/>
          <w:color w:val="auto"/>
        </w:rPr>
      </w:pPr>
      <w:r>
        <w:rPr>
          <w:rFonts w:ascii="Times New Roman" w:cs="Times New Roman" w:eastAsia="Times New Roman" w:hAnsi="Times New Roman"/>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2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50"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process of developing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 our initial public offering and our at-the-market equity offering program.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incurred significant net losses in each period since we commenced operations in March 2013. Our net losses were $69.0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$73.3 million for the years ended December 31, 2023 and 2022, respectively. As of December 31, 2023, we had an accumulated deficit of $310.0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losses have resulted from expenses incurred in connection with our research and development programs and from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costs associated with our operations. Additionally, the net losses we incur may fluctuate significantly from quarter to quarter such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period-to-period comparison of our results of operations may not be a good indicator of our future performance.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17" w:lineRule="exact"/>
        <w:rPr>
          <w:sz w:val="20"/>
          <w:szCs w:val="20"/>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investigational new drug, or IND, applications for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demonstrate adequate efficacy or an acceptable safety profile in our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rFonts w:ascii="Times New Roman" w:cs="Times New Roman" w:eastAsia="Times New Roman" w:hAnsi="Times New Roman"/>
          <w:sz w:val="18"/>
          <w:szCs w:val="18"/>
          <w:color w:val="auto"/>
        </w:rPr>
      </w:pPr>
    </w:p>
    <w:p>
      <w:pPr>
        <w:ind w:left="940" w:right="420" w:hanging="288"/>
        <w:spacing w:after="0" w:line="28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29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6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announced preliminary results for our Phase 1/2 clinical trial of our lead product candidate, PC14586 (rezatapopt), in June 2022, and announced updated Phase 1 results in October 2023. We are continuing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8" w:lineRule="exact"/>
        <w:rPr>
          <w:sz w:val="20"/>
          <w:szCs w:val="20"/>
          <w:color w:val="auto"/>
        </w:rPr>
      </w:pPr>
    </w:p>
    <w:p>
      <w:pPr>
        <w:ind w:left="940" w:right="400" w:hanging="288"/>
        <w:spacing w:after="0" w:line="265"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our clinical trials for our lead product candidate, PC14586,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69" w:lineRule="exact"/>
        <w:rPr>
          <w:rFonts w:ascii="Times New Roman" w:cs="Times New Roman" w:eastAsia="Times New Roman" w:hAnsi="Times New Roman"/>
          <w:sz w:val="18"/>
          <w:szCs w:val="18"/>
          <w:color w:val="auto"/>
        </w:rPr>
      </w:pPr>
    </w:p>
    <w:p>
      <w:pPr>
        <w:ind w:left="940" w:right="32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PC14586 and our future product candidates;</w:t>
      </w:r>
    </w:p>
    <w:p>
      <w:pPr>
        <w:spacing w:after="0" w:line="54" w:lineRule="exact"/>
        <w:rPr>
          <w:rFonts w:ascii="Times New Roman" w:cs="Times New Roman" w:eastAsia="Times New Roman" w:hAnsi="Times New Roman"/>
          <w:sz w:val="18"/>
          <w:szCs w:val="18"/>
          <w:color w:val="auto"/>
        </w:rPr>
      </w:pPr>
    </w:p>
    <w:p>
      <w:pPr>
        <w:ind w:left="940" w:right="66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and receive authorization to proceed under INDs or comparable applications;</w:t>
      </w:r>
    </w:p>
    <w:p>
      <w:pPr>
        <w:spacing w:after="0" w:line="54" w:lineRule="exact"/>
        <w:rPr>
          <w:rFonts w:ascii="Times New Roman" w:cs="Times New Roman" w:eastAsia="Times New Roman" w:hAnsi="Times New Roman"/>
          <w:sz w:val="18"/>
          <w:szCs w:val="18"/>
          <w:color w:val="auto"/>
        </w:rPr>
      </w:pPr>
    </w:p>
    <w:p>
      <w:pPr>
        <w:ind w:left="940" w:right="30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54" w:lineRule="exact"/>
        <w:rPr>
          <w:rFonts w:ascii="Times New Roman" w:cs="Times New Roman" w:eastAsia="Times New Roman" w:hAnsi="Times New Roman"/>
          <w:sz w:val="18"/>
          <w:szCs w:val="18"/>
          <w:color w:val="auto"/>
        </w:rPr>
      </w:pPr>
    </w:p>
    <w:p>
      <w:pPr>
        <w:ind w:left="940" w:right="60" w:hanging="288"/>
        <w:spacing w:after="0" w:line="265"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Times New Roman" w:cs="Times New Roman" w:eastAsia="Times New Roman" w:hAnsi="Times New Roman"/>
          <w:sz w:val="18"/>
          <w:szCs w:val="18"/>
          <w:color w:val="auto"/>
        </w:rPr>
      </w:pPr>
    </w:p>
    <w:p>
      <w:pPr>
        <w:ind w:left="940" w:right="12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comparable foreign regulatory authorities;</w:t>
      </w:r>
    </w:p>
    <w:p>
      <w:pPr>
        <w:spacing w:after="0" w:line="116" w:lineRule="exact"/>
        <w:rPr>
          <w:rFonts w:ascii="Times New Roman" w:cs="Times New Roman" w:eastAsia="Times New Roman" w:hAnsi="Times New Roman"/>
          <w:sz w:val="18"/>
          <w:szCs w:val="18"/>
          <w:color w:val="auto"/>
        </w:rPr>
      </w:pPr>
    </w:p>
    <w:p>
      <w:pPr>
        <w:ind w:left="940" w:right="24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4" w:lineRule="exact"/>
        <w:rPr>
          <w:rFonts w:ascii="Times New Roman" w:cs="Times New Roman" w:eastAsia="Times New Roman" w:hAnsi="Times New Roman"/>
          <w:sz w:val="18"/>
          <w:szCs w:val="18"/>
          <w:color w:val="auto"/>
        </w:rPr>
      </w:pPr>
    </w:p>
    <w:p>
      <w:pPr>
        <w:ind w:left="940" w:right="12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4" w:lineRule="exact"/>
        <w:rPr>
          <w:rFonts w:ascii="Times New Roman" w:cs="Times New Roman" w:eastAsia="Times New Roman" w:hAnsi="Times New Roman"/>
          <w:sz w:val="18"/>
          <w:szCs w:val="18"/>
          <w:color w:val="auto"/>
        </w:rPr>
      </w:pPr>
    </w:p>
    <w:p>
      <w:pPr>
        <w:ind w:left="940" w:right="320" w:hanging="288"/>
        <w:spacing w:after="0" w:line="265"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requirements;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4" w:lineRule="exact"/>
        <w:rPr>
          <w:sz w:val="20"/>
          <w:szCs w:val="20"/>
          <w:color w:val="auto"/>
        </w:rPr>
      </w:pPr>
    </w:p>
    <w:p>
      <w:pPr>
        <w:ind w:left="940" w:hanging="288"/>
        <w:spacing w:after="0" w:line="265"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to our product candidates or any future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90"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6"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As of December 31, 2023, we had $228.6 million in cash, cash equivalents, and marketable securities. Although we believe that our available cash and cash equivalents will be sufficient to fund our planned operations at least to the second half of 2026,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This belief also does not reflect the possibility that we may not be able to access a portion of our existing cash and cash equivalents due to market conditions.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United States, or that any bank or financial institution with which we do business will be able to obtain needed liquidity from other banks, government institutions or by acquisition in the event of a failure or liquidity crisis.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940" w:right="2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product candidates or any future product candidates we choose to pursue, and conducting preclinical studies and clinical trials, including our clinical trials of PC14586;</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or any future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 candidates we develop or acquire;</w:t>
      </w:r>
    </w:p>
    <w:p>
      <w:pPr>
        <w:spacing w:after="0" w:line="116"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and/or other payments we are required to make pursuant to any future license or collaboration agreements;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or any future product candidates and any products we successfully commercialize;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our product candidates, if approved for sale, including marketing, sales and distribution costs;</w:t>
      </w:r>
    </w:p>
    <w:p>
      <w:pPr>
        <w:spacing w:after="0" w:line="116" w:lineRule="exact"/>
        <w:rPr>
          <w:rFonts w:ascii="Times New Roman" w:cs="Times New Roman" w:eastAsia="Times New Roman" w:hAnsi="Times New Roman"/>
          <w:sz w:val="18"/>
          <w:szCs w:val="18"/>
          <w:color w:val="auto"/>
        </w:rPr>
      </w:pPr>
    </w:p>
    <w:p>
      <w:pPr>
        <w:ind w:left="940" w:right="32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our intellectual property portfolio;</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 and</w:t>
      </w:r>
    </w:p>
    <w:p>
      <w:pPr>
        <w:spacing w:after="0" w:line="116"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global pandemic or other public health emergencies on our operations, which may exacerbate the magnitude of the factors discussed above.</w:t>
      </w:r>
    </w:p>
    <w:p>
      <w:pPr>
        <w:spacing w:after="0" w:line="163"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inflation expectations, rising interest rates and the disruptions to and volatility in the credit and financial markets in the United States and worldwide resulting from a global pandemic or other public health emergencies, geopolitical tensions (such as the Ukraine-Russia war, the ongoing conflict between Israel and Hamas and trade restrictions between the U.S. and China) among other global conditions affecting financial markets.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discovery and product development is focused on the development of precision medicines for patients with genetically defined cancers, which is a rapidly evolving area of science, and the approach we are taking to discover and develop drugs targeting p53 is novel, may never lead to marketable products and may not ultimately represent a significant market.</w:t>
      </w:r>
    </w:p>
    <w:p>
      <w:pPr>
        <w:spacing w:after="0" w:line="66" w:lineRule="exact"/>
        <w:rPr>
          <w:sz w:val="20"/>
          <w:szCs w:val="20"/>
          <w:color w:val="auto"/>
        </w:rPr>
      </w:pPr>
    </w:p>
    <w:p>
      <w:pPr>
        <w:ind w:right="580" w:firstLine="644"/>
        <w:spacing w:after="0" w:line="265" w:lineRule="auto"/>
        <w:rPr>
          <w:sz w:val="20"/>
          <w:szCs w:val="20"/>
          <w:color w:val="auto"/>
        </w:rPr>
      </w:pPr>
      <w:r>
        <w:rPr>
          <w:rFonts w:ascii="Times New Roman" w:cs="Times New Roman" w:eastAsia="Times New Roman" w:hAnsi="Times New Roman"/>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82"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p53 through our platform. Therefore, we do not know if our approach of treating patients with genetically defined cancers will be successful, and if our approach is unsuccessful, our business will be materially adversely affected.</w:t>
      </w:r>
    </w:p>
    <w:p>
      <w:pPr>
        <w:spacing w:after="0" w:line="182"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In addition, because our approach targets genetically defined cancer patients and not specific tumors based on tumor or cancer types, we are initially pursuing a tumor-agnostic development strategy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Phase 1/2 trial for PC14586 does not support a tumor-agnostic indication, but we observe clinical benefit in certain tumor or cancer types, we may decide to pursue a tumor- or cancer-specific indication which may require additional clinical trials. Further, even if our Phase 1/2 trial for PC14586 is successful, the FDA may not agree that such study can serve as a pivotal study, which would require us to conduct additional clinical trials prior to approval.</w:t>
      </w:r>
    </w:p>
    <w:p>
      <w:pPr>
        <w:spacing w:after="0" w:line="29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66"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We allocate the majority of our efforts and financial resources to the development of our lead product candidate, PC14586. Our future success is dependent on our ability to timely and successfully complete clinical trials, obtain marketing approval for and successfully commercialize PC14586.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78" w:lineRule="exact"/>
        <w:rPr>
          <w:sz w:val="20"/>
          <w:szCs w:val="20"/>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our ongoing clinical trials;</w:t>
      </w:r>
    </w:p>
    <w:p>
      <w:pPr>
        <w:spacing w:after="0" w:line="116" w:lineRule="exact"/>
        <w:rPr>
          <w:rFonts w:ascii="Times New Roman" w:cs="Times New Roman" w:eastAsia="Times New Roman" w:hAnsi="Times New Roman"/>
          <w:sz w:val="18"/>
          <w:szCs w:val="18"/>
          <w:color w:val="auto"/>
        </w:rPr>
      </w:pPr>
    </w:p>
    <w:p>
      <w:pPr>
        <w:ind w:left="940" w:right="300" w:hanging="288"/>
        <w:spacing w:after="0" w:line="265"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our business operations and product candidate research and development, and adapt to any changes in the regulatory approval process, manufacturing supply or clinical trial requirements and timing stemming from a global pandemic or other public health emergencies;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authorization to proceed under INDs for our planned clinical trials or future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of our tumor-agnostic development strategy;</w:t>
      </w:r>
    </w:p>
    <w:p>
      <w:pPr>
        <w:spacing w:after="0" w:line="116" w:lineRule="exact"/>
        <w:rPr>
          <w:rFonts w:ascii="Times New Roman" w:cs="Times New Roman" w:eastAsia="Times New Roman" w:hAnsi="Times New Roman"/>
          <w:sz w:val="18"/>
          <w:szCs w:val="18"/>
          <w:color w:val="auto"/>
        </w:rPr>
      </w:pPr>
    </w:p>
    <w:p>
      <w:pPr>
        <w:ind w:left="940" w:right="340" w:hanging="288"/>
        <w:spacing w:after="0" w:line="281"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patient enrollment in and completion of additional preclinical and clinical trials of our product candidates on a timely basis;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with third party collaborators of companion diagnostics for use with our product candidates;</w:t>
      </w:r>
    </w:p>
    <w:p>
      <w:pPr>
        <w:spacing w:after="0" w:line="116" w:lineRule="exact"/>
        <w:rPr>
          <w:rFonts w:ascii="Times New Roman" w:cs="Times New Roman" w:eastAsia="Times New Roman" w:hAnsi="Times New Roman"/>
          <w:sz w:val="18"/>
          <w:szCs w:val="18"/>
          <w:color w:val="auto"/>
        </w:rPr>
      </w:pPr>
    </w:p>
    <w:p>
      <w:pPr>
        <w:ind w:left="940" w:right="460" w:hanging="288"/>
        <w:spacing w:after="0" w:line="281"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for our product candidates that are satisfactory to the FDA or any foreign regulatory authority for marketing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4" w:lineRule="exact"/>
        <w:rPr>
          <w:sz w:val="20"/>
          <w:szCs w:val="20"/>
          <w:color w:val="auto"/>
        </w:rPr>
      </w:pPr>
    </w:p>
    <w:p>
      <w:pPr>
        <w:ind w:left="940" w:right="180" w:hanging="288"/>
        <w:spacing w:after="0" w:line="281"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our product candidates and any companion diagnostics from applicable regulatory authorities, which must be approved contemporaneously;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940" w:right="140" w:hanging="288"/>
        <w:spacing w:after="0" w:line="281"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4"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225"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8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50"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8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testing and earlier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66"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its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94" w:lineRule="exact"/>
        <w:rPr>
          <w:sz w:val="20"/>
          <w:szCs w:val="20"/>
          <w:color w:val="auto"/>
        </w:rPr>
      </w:pPr>
    </w:p>
    <w:p>
      <w:pPr>
        <w:ind w:right="600" w:firstLine="644"/>
        <w:spacing w:after="0" w:line="281"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of our product candidates.</w:t>
      </w:r>
    </w:p>
    <w:p>
      <w:pPr>
        <w:spacing w:after="0" w:line="163"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Even if we succeed in developing and commercializing our product candidates, we may never generate sufficient or sustainable revenue to enable us to be profitable.</w:t>
      </w:r>
    </w:p>
    <w:p>
      <w:pPr>
        <w:spacing w:after="0" w:line="26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71" w:lineRule="exact"/>
        <w:rPr>
          <w:sz w:val="20"/>
          <w:szCs w:val="20"/>
          <w:color w:val="auto"/>
        </w:rPr>
      </w:pPr>
    </w:p>
    <w:p>
      <w:pPr>
        <w:jc w:val="both"/>
        <w:ind w:right="40" w:firstLine="644"/>
        <w:spacing w:after="0" w:line="260" w:lineRule="auto"/>
        <w:rPr>
          <w:sz w:val="20"/>
          <w:szCs w:val="20"/>
          <w:color w:val="auto"/>
        </w:rPr>
      </w:pPr>
      <w:r>
        <w:rPr>
          <w:rFonts w:ascii="Times New Roman" w:cs="Times New Roman" w:eastAsia="Times New Roman" w:hAnsi="Times New Roman"/>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2" w:lineRule="exact"/>
        <w:rPr>
          <w:sz w:val="20"/>
          <w:szCs w:val="20"/>
          <w:color w:val="auto"/>
        </w:rPr>
      </w:pPr>
    </w:p>
    <w:p>
      <w:pPr>
        <w:ind w:right="300" w:firstLine="644"/>
        <w:spacing w:after="0" w:line="260" w:lineRule="auto"/>
        <w:rPr>
          <w:sz w:val="20"/>
          <w:szCs w:val="20"/>
          <w:color w:val="auto"/>
        </w:rPr>
      </w:pPr>
      <w:r>
        <w:rPr>
          <w:rFonts w:ascii="Times New Roman" w:cs="Times New Roman" w:eastAsia="Times New Roman" w:hAnsi="Times New Roman"/>
          <w:sz w:val="18"/>
          <w:szCs w:val="18"/>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8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86"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 xml:space="preserve">Companion diagnostics are subject to regulation by the FDA and comparable foreign regulatory authorities outside the United States as medical devices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and require separate regulatory approval or clearance prior to commercialization. Moreover, the FDA generally requires the contemporaneous approval of companion diagnostics and the associated therapeutic.</w:t>
      </w:r>
    </w:p>
    <w:p>
      <w:pPr>
        <w:spacing w:after="0" w:line="17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74" w:lineRule="exact"/>
        <w:rPr>
          <w:sz w:val="20"/>
          <w:szCs w:val="20"/>
          <w:color w:val="auto"/>
        </w:rPr>
      </w:pPr>
    </w:p>
    <w:p>
      <w:pPr>
        <w:ind w:left="940" w:right="880" w:hanging="288"/>
        <w:spacing w:after="0" w:line="281"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4"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approval of our current product candidates and any future product candidates that require companion diagnostics on a timely basis or at all.</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adversely impacted.</w:t>
      </w:r>
    </w:p>
    <w:p>
      <w:pPr>
        <w:spacing w:after="0" w:line="328"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Global pandemics or other public health concerns and/or emergencies in the United States and the rest of the world that disrupt normal operations could materially adversely impact our business, results of operations and financial condition, including our preclinical studies and clinical trials.</w:t>
      </w:r>
    </w:p>
    <w:p>
      <w:pPr>
        <w:spacing w:after="0" w:line="27"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We may experience disruptions that could severely impact our business and clinical trials due to global pandemics, public health concerns or other public emergencies, including:</w:t>
      </w:r>
    </w:p>
    <w:p>
      <w:pPr>
        <w:spacing w:after="0" w:line="55" w:lineRule="exact"/>
        <w:rPr>
          <w:sz w:val="20"/>
          <w:szCs w:val="20"/>
          <w:color w:val="auto"/>
        </w:rPr>
      </w:pPr>
    </w:p>
    <w:p>
      <w:pPr>
        <w:ind w:left="940" w:hanging="288"/>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4" w:lineRule="exact"/>
        <w:rPr>
          <w:rFonts w:ascii="Times New Roman" w:cs="Times New Roman" w:eastAsia="Times New Roman" w:hAnsi="Times New Roman"/>
          <w:sz w:val="18"/>
          <w:szCs w:val="18"/>
          <w:color w:val="auto"/>
        </w:rPr>
      </w:pPr>
    </w:p>
    <w:p>
      <w:pPr>
        <w:ind w:left="940" w:hanging="288"/>
        <w:spacing w:after="0" w:line="265"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4" w:lineRule="exact"/>
        <w:rPr>
          <w:sz w:val="20"/>
          <w:szCs w:val="20"/>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6" w:lineRule="exact"/>
        <w:rPr>
          <w:rFonts w:ascii="Times New Roman" w:cs="Times New Roman" w:eastAsia="Times New Roman" w:hAnsi="Times New Roman"/>
          <w:sz w:val="18"/>
          <w:szCs w:val="18"/>
          <w:color w:val="auto"/>
        </w:rPr>
      </w:pPr>
    </w:p>
    <w:p>
      <w:pPr>
        <w:ind w:left="940" w:right="560" w:hanging="288"/>
        <w:spacing w:after="0" w:line="281"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6" w:lineRule="exact"/>
        <w:rPr>
          <w:rFonts w:ascii="Times New Roman" w:cs="Times New Roman" w:eastAsia="Times New Roman" w:hAnsi="Times New Roman"/>
          <w:sz w:val="18"/>
          <w:szCs w:val="18"/>
          <w:color w:val="auto"/>
        </w:rPr>
      </w:pPr>
    </w:p>
    <w:p>
      <w:pPr>
        <w:ind w:left="940" w:right="480" w:hanging="288"/>
        <w:spacing w:after="0" w:line="281"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site procedures and requirements as well as regulatory requirements for conducting clinical trials during the pandemic.</w:t>
      </w:r>
    </w:p>
    <w:p>
      <w:pPr>
        <w:spacing w:after="0" w:line="265"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ultimate impact of a global pandemic or other public health emergency on our business operations is difficult to forecast and highly uncertain, and there can be no assurance that we will be able to avoid a material impact on our business from such global pandemic or other public health emergency or their consequences, including disruption to our business and downturns in business sentiment generally or in our industry. To the extent a global pandemic or other public health emergency adversely affects our business, financial condition and results of operations, it may also have the effect of heightening many of the risks described in this “Risk factors” section.</w:t>
      </w:r>
    </w:p>
    <w:p>
      <w:pPr>
        <w:spacing w:after="0" w:line="28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50"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82"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Enrollment of patients in our clinical trials may be delayed or limited if our clinical trial sites limit their onsite staff or temporarily close in the event of a global pandemic or other public health emergencies.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Further, the drop-out rates in our clinical trials may be effected, which could complicate the clinical trial data, procedures and analysis. These factors could delay the anticipated readouts from our PC14586 clinical trials and our regulatory submissions, and increase the costs associated of the clinical trials.</w:t>
      </w:r>
    </w:p>
    <w:p>
      <w:pPr>
        <w:spacing w:after="0" w:line="212" w:lineRule="exact"/>
        <w:rPr>
          <w:sz w:val="20"/>
          <w:szCs w:val="20"/>
          <w:color w:val="auto"/>
        </w:rPr>
      </w:pPr>
    </w:p>
    <w:p>
      <w:pPr>
        <w:ind w:right="80" w:firstLine="644"/>
        <w:spacing w:after="0" w:line="265"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9" w:lineRule="exact"/>
        <w:rPr>
          <w:sz w:val="20"/>
          <w:szCs w:val="20"/>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4" w:lineRule="exact"/>
        <w:rPr>
          <w:sz w:val="20"/>
          <w:szCs w:val="20"/>
          <w:color w:val="auto"/>
        </w:rPr>
      </w:pPr>
    </w:p>
    <w:p>
      <w:pPr>
        <w:jc w:val="both"/>
        <w:ind w:left="940" w:right="660" w:hanging="288"/>
        <w:spacing w:after="0" w:line="265"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116" w:lineRule="exact"/>
        <w:rPr>
          <w:rFonts w:ascii="Times New Roman" w:cs="Times New Roman" w:eastAsia="Times New Roman" w:hAnsi="Times New Roman"/>
          <w:sz w:val="18"/>
          <w:szCs w:val="18"/>
          <w:color w:val="auto"/>
        </w:rPr>
      </w:pPr>
    </w:p>
    <w:p>
      <w:pPr>
        <w:ind w:left="940" w:right="860" w:hanging="288"/>
        <w:spacing w:after="0" w:line="281"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clinical trials due to a global pandemic or other public health emergencies;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6" w:lineRule="exact"/>
        <w:rPr>
          <w:rFonts w:ascii="Times New Roman" w:cs="Times New Roman" w:eastAsia="Times New Roman" w:hAnsi="Times New Roman"/>
          <w:sz w:val="18"/>
          <w:szCs w:val="18"/>
          <w:color w:val="auto"/>
        </w:rPr>
      </w:pPr>
    </w:p>
    <w:p>
      <w:pPr>
        <w:ind w:left="940" w:right="140" w:hanging="288"/>
        <w:spacing w:after="0" w:line="281"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other health conditions, or, because they may be late-stage cancer patients, will not survive the full terms of the clinical trials.</w:t>
      </w:r>
    </w:p>
    <w:p>
      <w:pPr>
        <w:spacing w:after="0" w:line="163"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9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9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 directly or indirectly. A variety of risks associated with marketing our product candidates, if approved, internationally may materially adversely affect our business.</w:t>
      </w:r>
    </w:p>
    <w:p>
      <w:pPr>
        <w:spacing w:after="0" w:line="50"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Our business is subject to risks associated with business operations we conduct internationally, as well as indirect impacts from our relationships with collaborators, partners, or contractors who conduct business internationally. To the extent we seek regulatory approval of any of our product candidates outside of the United States, we expect that we will be subject to additional risks related to our operations in foreign countries. Accordingly, our future results could be harmed directly or indirectly by a variety of factors, including:</w:t>
      </w:r>
    </w:p>
    <w:p>
      <w:pPr>
        <w:spacing w:after="0" w:line="74" w:lineRule="exact"/>
        <w:rPr>
          <w:sz w:val="20"/>
          <w:szCs w:val="20"/>
          <w:color w:val="auto"/>
        </w:rPr>
      </w:pPr>
    </w:p>
    <w:p>
      <w:pPr>
        <w:ind w:left="940" w:right="440" w:hanging="288"/>
        <w:spacing w:after="0" w:line="281"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changes in existing regulatory requirements, or implementation of new regulatory requirements or policies that impact our clinical development and business operations in foreign countries;</w:t>
      </w:r>
    </w:p>
    <w:p>
      <w:pPr>
        <w:spacing w:after="0" w:line="54" w:lineRule="exact"/>
        <w:rPr>
          <w:rFonts w:ascii="Times New Roman" w:cs="Times New Roman" w:eastAsia="Times New Roman" w:hAnsi="Times New Roman"/>
          <w:sz w:val="18"/>
          <w:szCs w:val="18"/>
          <w:color w:val="auto"/>
        </w:rPr>
      </w:pPr>
    </w:p>
    <w:p>
      <w:pPr>
        <w:ind w:left="940" w:right="180" w:hanging="288"/>
        <w:spacing w:after="0" w:line="281"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our clinical trials or our interpretation of data from preclinical studies or clinical trials;</w:t>
      </w:r>
    </w:p>
    <w:p>
      <w:pPr>
        <w:spacing w:after="0" w:line="54" w:lineRule="exact"/>
        <w:rPr>
          <w:rFonts w:ascii="Times New Roman" w:cs="Times New Roman" w:eastAsia="Times New Roman" w:hAnsi="Times New Roman"/>
          <w:sz w:val="18"/>
          <w:szCs w:val="18"/>
          <w:color w:val="auto"/>
        </w:rPr>
      </w:pPr>
    </w:p>
    <w:p>
      <w:pPr>
        <w:ind w:left="940" w:right="80" w:hanging="288"/>
        <w:spacing w:after="0" w:line="281"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our clinical data insufficient for approval;</w:t>
      </w:r>
    </w:p>
    <w:p>
      <w:pPr>
        <w:spacing w:after="0" w:line="54" w:lineRule="exact"/>
        <w:rPr>
          <w:rFonts w:ascii="Times New Roman" w:cs="Times New Roman" w:eastAsia="Times New Roman" w:hAnsi="Times New Roman"/>
          <w:sz w:val="18"/>
          <w:szCs w:val="18"/>
          <w:color w:val="auto"/>
        </w:rPr>
      </w:pPr>
    </w:p>
    <w:p>
      <w:pPr>
        <w:ind w:left="940" w:right="80" w:hanging="288"/>
        <w:spacing w:after="0" w:line="281"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 global pandemic or other public health emergencies on our ability to produce our product candidates and conduct clinical trials in foreign countries;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940" w:right="340" w:hanging="288"/>
        <w:spacing w:after="0" w:line="265"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other measures that restrict business, trade, or use of government fundings for any product or service rendered by certain companies based in China due to national security concerns or geopolitical issues, and our reliance on such Chinese companies, including CROs, CMOs, suppliers, and other vendors or contractors based in China;</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940" w:right="420" w:hanging="288"/>
        <w:spacing w:after="0" w:line="281"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obligations incident to doing business in another country;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940" w:right="460" w:hanging="288"/>
        <w:spacing w:after="0" w:line="281"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4" w:lineRule="exact"/>
        <w:rPr>
          <w:rFonts w:ascii="Times New Roman" w:cs="Times New Roman" w:eastAsia="Times New Roman" w:hAnsi="Times New Roman"/>
          <w:sz w:val="18"/>
          <w:szCs w:val="18"/>
          <w:color w:val="auto"/>
        </w:rPr>
      </w:pPr>
    </w:p>
    <w:p>
      <w:pPr>
        <w:ind w:left="940" w:hanging="288"/>
        <w:spacing w:after="0" w:line="258"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 production or supply shortages resulting directly or indirectly from any events affecting raw material supply or manufacturing capabilities abroad, including, but not limited to, impacts due to the ongoing Ukraine-Russia war or the ongoing conflict between Israel and Hamas, addition of certain suppliers or companies to the Unverified List under the Export Administration Regulations, implementation of other export controls, restrictions or sanctions that can impact the supply chain, our business, or business operations of our suppliers, contractors or partners;</w:t>
      </w:r>
    </w:p>
    <w:p>
      <w:pPr>
        <w:spacing w:after="0" w:line="74" w:lineRule="exact"/>
        <w:rPr>
          <w:rFonts w:ascii="Times New Roman" w:cs="Times New Roman" w:eastAsia="Times New Roman" w:hAnsi="Times New Roman"/>
          <w:sz w:val="18"/>
          <w:szCs w:val="18"/>
          <w:color w:val="auto"/>
        </w:rPr>
      </w:pPr>
    </w:p>
    <w:p>
      <w:pPr>
        <w:ind w:left="940" w:right="140" w:hanging="288"/>
        <w:spacing w:after="0" w:line="288"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directly or indirectly from geo-political actions, including the ongoing Ukraine-Russia war, other regional or geo-political conflicts, including the conflict between Israel and Hamas, and terrorism; and supply and other disruptions resulting from the impact of public health epidemics on our strategic partners, third-party manufacturers, suppliers and other third parties upon which we rely.</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92" w:lineRule="exact"/>
        <w:rPr>
          <w:sz w:val="20"/>
          <w:szCs w:val="20"/>
          <w:color w:val="auto"/>
        </w:rPr>
      </w:pPr>
    </w:p>
    <w:p>
      <w:pPr>
        <w:ind w:right="420" w:firstLine="644"/>
        <w:spacing w:after="0" w:line="281"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business, financial condition, and results of operations.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0" w:lineRule="exact"/>
        <w:rPr>
          <w:sz w:val="20"/>
          <w:szCs w:val="20"/>
          <w:color w:val="auto"/>
        </w:rPr>
      </w:pPr>
    </w:p>
    <w:p>
      <w:pPr>
        <w:ind w:right="24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6"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particular, we are aware of molecules in development that also are being explored for p53 upregulation/activation in various stages of preclinical or clinical development being tested by Jacobio Pharmaceuticals,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Kymera Therapeutics, Otsuka Pharmaceutical, Novartis and Roche, including testing MDM2 inhibitors in combination with a variety of other anti-cancer agents.</w:t>
      </w:r>
    </w:p>
    <w:p>
      <w:pPr>
        <w:spacing w:after="0" w:line="186" w:lineRule="exact"/>
        <w:rPr>
          <w:sz w:val="20"/>
          <w:szCs w:val="20"/>
          <w:color w:val="auto"/>
        </w:rPr>
      </w:pPr>
    </w:p>
    <w:p>
      <w:pPr>
        <w:ind w:right="380" w:firstLine="644"/>
        <w:spacing w:after="0" w:line="260"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82"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2"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2"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281"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50" w:lineRule="exact"/>
        <w:rPr>
          <w:sz w:val="20"/>
          <w:szCs w:val="20"/>
          <w:color w:val="auto"/>
        </w:rPr>
      </w:pPr>
    </w:p>
    <w:p>
      <w:pPr>
        <w:ind w:right="420" w:firstLine="644"/>
        <w:spacing w:after="0" w:line="276" w:lineRule="auto"/>
        <w:rPr>
          <w:sz w:val="20"/>
          <w:szCs w:val="20"/>
          <w:color w:val="auto"/>
        </w:rPr>
      </w:pPr>
      <w:r>
        <w:rPr>
          <w:rFonts w:ascii="Times New Roman" w:cs="Times New Roman" w:eastAsia="Times New Roman" w:hAnsi="Times New Roman"/>
          <w:sz w:val="17"/>
          <w:szCs w:val="17"/>
          <w:color w:val="auto"/>
        </w:rPr>
        <w:t>Our future operating results are dependent on our ability to successfully discover, develop, obtain regulatory approval for and commercialize product candidates beyond our lead product candidate, PC14586,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70"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5" w:lineRule="exact"/>
        <w:rPr>
          <w:sz w:val="20"/>
          <w:szCs w:val="20"/>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w:t>
      </w:r>
    </w:p>
    <w:p>
      <w:pPr>
        <w:spacing w:after="0" w:line="225" w:lineRule="exact"/>
        <w:rPr>
          <w:sz w:val="20"/>
          <w:szCs w:val="20"/>
          <w:color w:val="auto"/>
        </w:rPr>
      </w:pPr>
    </w:p>
    <w:p>
      <w:pPr>
        <w:ind w:firstLine="644"/>
        <w:spacing w:after="0" w:line="312"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39" w:lineRule="exact"/>
        <w:rPr>
          <w:sz w:val="20"/>
          <w:szCs w:val="20"/>
          <w:color w:val="auto"/>
        </w:rPr>
      </w:pPr>
    </w:p>
    <w:p>
      <w:pPr>
        <w:jc w:val="both"/>
        <w:ind w:right="580" w:firstLine="644"/>
        <w:spacing w:after="0" w:line="265" w:lineRule="auto"/>
        <w:rPr>
          <w:sz w:val="20"/>
          <w:szCs w:val="20"/>
          <w:color w:val="auto"/>
        </w:rPr>
      </w:pPr>
      <w:r>
        <w:rPr>
          <w:rFonts w:ascii="Times New Roman" w:cs="Times New Roman" w:eastAsia="Times New Roman" w:hAnsi="Times New Roman"/>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8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6"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86"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While our lead product candidate, PC14586, is still in clinical development and although it has been generally well-tolerated per our preliminary and updated data releases, as is the case with all oncology drugs, it is likely that there may be significant side effects associated with its use. PC14586 or future product candidates may be used in populations for which safety concerns may be reviewed by regulatory agencies. In addition, we are conducting a separate arm within the existing Phase 1/2 clinical trial to evaluate the combination of PC14586 with</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Merck’s anti-PD1 therapy, KEYTRUDA, and we may study PC14586 in combination with other additional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89"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PC14586 in a combination study, and expect to develop our current or future product candidates in combination with other therapies, which exposes us to additional risks.</w:t>
      </w:r>
    </w:p>
    <w:p>
      <w:pPr>
        <w:spacing w:after="0" w:line="50"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are conducting a separate arm within the existing Phase 1/2 clinical trial to evaluate the combination of PC14586 with Merck’s anti-PD1 therapy, KEYTRUDA, in patients with advanced solid tumors harboring a p53 Y220C mutation. We also intend to develop our current or future product candidates in combination with one or more other approved cancer therapies or therapies in development.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91" w:lineRule="exact"/>
        <w:rPr>
          <w:sz w:val="20"/>
          <w:szCs w:val="20"/>
          <w:color w:val="auto"/>
        </w:rPr>
      </w:pPr>
    </w:p>
    <w:p>
      <w:pPr>
        <w:ind w:right="460" w:firstLine="644"/>
        <w:spacing w:after="0" w:line="265" w:lineRule="auto"/>
        <w:rPr>
          <w:sz w:val="20"/>
          <w:szCs w:val="20"/>
          <w:color w:val="auto"/>
        </w:rPr>
      </w:pPr>
      <w:r>
        <w:rPr>
          <w:rFonts w:ascii="Times New Roman" w:cs="Times New Roman" w:eastAsia="Times New Roman" w:hAnsi="Times New Roman"/>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77" w:lineRule="exact"/>
        <w:rPr>
          <w:sz w:val="20"/>
          <w:szCs w:val="20"/>
          <w:color w:val="auto"/>
        </w:rPr>
      </w:pPr>
    </w:p>
    <w:p>
      <w:pPr>
        <w:ind w:right="220" w:firstLine="644"/>
        <w:spacing w:after="0" w:line="288" w:lineRule="auto"/>
        <w:rPr>
          <w:sz w:val="20"/>
          <w:szCs w:val="20"/>
          <w:color w:val="auto"/>
        </w:rPr>
      </w:pPr>
      <w:r>
        <w:rPr>
          <w:rFonts w:ascii="Times New Roman" w:cs="Times New Roman" w:eastAsia="Times New Roman" w:hAnsi="Times New Roman"/>
          <w:sz w:val="17"/>
          <w:szCs w:val="17"/>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7"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18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50" w:lineRule="exact"/>
        <w:rPr>
          <w:sz w:val="20"/>
          <w:szCs w:val="20"/>
          <w:color w:val="auto"/>
        </w:rPr>
      </w:pPr>
    </w:p>
    <w:p>
      <w:pPr>
        <w:ind w:right="500" w:firstLine="644"/>
        <w:spacing w:after="0" w:line="265" w:lineRule="auto"/>
        <w:rPr>
          <w:sz w:val="20"/>
          <w:szCs w:val="20"/>
          <w:color w:val="auto"/>
        </w:rPr>
      </w:pPr>
      <w:r>
        <w:rPr>
          <w:rFonts w:ascii="Times New Roman" w:cs="Times New Roman" w:eastAsia="Times New Roman" w:hAnsi="Times New Roman"/>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69" w:lineRule="exact"/>
        <w:rPr>
          <w:sz w:val="20"/>
          <w:szCs w:val="20"/>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cancer medicines;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4" w:lineRule="exact"/>
        <w:rPr>
          <w:sz w:val="20"/>
          <w:szCs w:val="20"/>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8"/>
          <w:szCs w:val="18"/>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63"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182"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6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7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9" w:lineRule="exact"/>
        <w:rPr>
          <w:sz w:val="20"/>
          <w:szCs w:val="20"/>
          <w:color w:val="auto"/>
        </w:rPr>
      </w:pPr>
    </w:p>
    <w:p>
      <w:pPr>
        <w:jc w:val="both"/>
        <w:ind w:right="240" w:firstLine="644"/>
        <w:spacing w:after="0" w:line="260"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66" w:lineRule="exact"/>
        <w:rPr>
          <w:sz w:val="20"/>
          <w:szCs w:val="20"/>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7"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82" w:lineRule="exact"/>
        <w:rPr>
          <w:sz w:val="20"/>
          <w:szCs w:val="20"/>
          <w:color w:val="auto"/>
        </w:rPr>
      </w:pPr>
    </w:p>
    <w:p>
      <w:pPr>
        <w:ind w:right="20" w:firstLine="644"/>
        <w:spacing w:after="0" w:line="271" w:lineRule="auto"/>
        <w:rPr>
          <w:sz w:val="20"/>
          <w:szCs w:val="20"/>
          <w:color w:val="auto"/>
        </w:rPr>
      </w:pPr>
      <w:r>
        <w:rPr>
          <w:rFonts w:ascii="Times New Roman" w:cs="Times New Roman" w:eastAsia="Times New Roman" w:hAnsi="Times New Roman"/>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0"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9" w:lineRule="exact"/>
        <w:rPr>
          <w:sz w:val="20"/>
          <w:szCs w:val="20"/>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8" w:name="page49"/>
    <w:bookmarkEnd w:id="48"/>
    <w:p>
      <w:pPr>
        <w:spacing w:after="0" w:line="84" w:lineRule="exact"/>
        <w:rPr>
          <w:sz w:val="20"/>
          <w:szCs w:val="20"/>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0"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6"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7"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92"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Regulatory Process and Other Legal Compliance Matters</w:t>
      </w:r>
    </w:p>
    <w:p>
      <w:pPr>
        <w:spacing w:after="0" w:line="22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8"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82"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7" w:lineRule="exact"/>
        <w:rPr>
          <w:sz w:val="20"/>
          <w:szCs w:val="20"/>
          <w:color w:val="auto"/>
        </w:rPr>
      </w:pPr>
    </w:p>
    <w:p>
      <w:pPr>
        <w:ind w:right="260" w:firstLine="644"/>
        <w:spacing w:after="0" w:line="274" w:lineRule="auto"/>
        <w:rPr>
          <w:sz w:val="20"/>
          <w:szCs w:val="20"/>
          <w:color w:val="auto"/>
        </w:rPr>
      </w:pPr>
      <w:r>
        <w:rPr>
          <w:rFonts w:ascii="Times New Roman" w:cs="Times New Roman" w:eastAsia="Times New Roman" w:hAnsi="Times New Roman"/>
          <w:sz w:val="17"/>
          <w:szCs w:val="17"/>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issued various COVID-19 related guidance documents for trial sponsors and manufacturers during the COVID-19 national and public health emergencies, and may do so in response to other public health concerns in the future.</w:t>
      </w:r>
    </w:p>
    <w:p>
      <w:pPr>
        <w:spacing w:after="0" w:line="17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78" w:lineRule="exact"/>
        <w:rPr>
          <w:sz w:val="20"/>
          <w:szCs w:val="20"/>
          <w:color w:val="auto"/>
        </w:rPr>
      </w:pPr>
    </w:p>
    <w:p>
      <w:pPr>
        <w:ind w:left="940" w:right="440" w:hanging="288"/>
        <w:spacing w:after="0" w:line="288" w:lineRule="auto"/>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the design or implementation of our clinical trials, including our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51" w:lineRule="exact"/>
        <w:rPr>
          <w:rFonts w:ascii="Times New Roman" w:cs="Times New Roman" w:eastAsia="Times New Roman" w:hAnsi="Times New Roman"/>
          <w:sz w:val="17"/>
          <w:szCs w:val="17"/>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tumor-agnostic development strategy;</w:t>
      </w:r>
    </w:p>
    <w:p>
      <w:pPr>
        <w:spacing w:after="0" w:line="116"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940" w:right="140" w:hanging="288"/>
        <w:spacing w:after="0" w:line="281" w:lineRule="auto"/>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54" w:lineRule="exact"/>
        <w:rPr>
          <w:rFonts w:ascii="Times New Roman" w:cs="Times New Roman" w:eastAsia="Times New Roman" w:hAnsi="Times New Roman"/>
          <w:sz w:val="18"/>
          <w:szCs w:val="18"/>
          <w:color w:val="auto"/>
        </w:rPr>
      </w:pPr>
    </w:p>
    <w:p>
      <w:pPr>
        <w:ind w:left="940" w:right="500" w:hanging="288"/>
        <w:spacing w:after="0" w:line="281" w:lineRule="auto"/>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fail to approve companion diagnostic tests that may be required for our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4" w:lineRule="exact"/>
        <w:rPr>
          <w:sz w:val="20"/>
          <w:szCs w:val="20"/>
          <w:color w:val="auto"/>
        </w:rPr>
      </w:pPr>
    </w:p>
    <w:p>
      <w:pPr>
        <w:ind w:left="940" w:right="12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4"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940" w:right="4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4" w:lineRule="exact"/>
        <w:rPr>
          <w:rFonts w:ascii="Times New Roman" w:cs="Times New Roman" w:eastAsia="Times New Roman" w:hAnsi="Times New Roman"/>
          <w:sz w:val="18"/>
          <w:szCs w:val="18"/>
          <w:color w:val="auto"/>
        </w:rPr>
      </w:pPr>
    </w:p>
    <w:p>
      <w:pPr>
        <w:ind w:left="940" w:right="46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54" w:lineRule="exact"/>
        <w:rPr>
          <w:rFonts w:ascii="Times New Roman" w:cs="Times New Roman" w:eastAsia="Times New Roman" w:hAnsi="Times New Roman"/>
          <w:sz w:val="18"/>
          <w:szCs w:val="18"/>
          <w:color w:val="auto"/>
        </w:rPr>
      </w:pPr>
    </w:p>
    <w:p>
      <w:pPr>
        <w:ind w:left="940" w:right="70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4" w:lineRule="exact"/>
        <w:rPr>
          <w:rFonts w:ascii="Times New Roman" w:cs="Times New Roman" w:eastAsia="Times New Roman" w:hAnsi="Times New Roman"/>
          <w:sz w:val="18"/>
          <w:szCs w:val="18"/>
          <w:color w:val="auto"/>
        </w:rPr>
      </w:pPr>
    </w:p>
    <w:p>
      <w:pPr>
        <w:ind w:left="940" w:right="20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3"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7"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8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66"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2"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87"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 xml:space="preserve">Further,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or maintain breakthrough therapy or Fast Track designations for our current 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71"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PC14586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PC14586,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2"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6"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 In addition, the Food and Drug Omnibus Reform Act made several changes to the FDA’s authorities and its regulatory framework, including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9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9"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2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lead product candidate, PC14586, is in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186"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18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Additionally, our PC14586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1"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We may experience delays in obtaining the FDA’s authorization to initiate clinical trials, completing ongoing clinical trials of PC14586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4" w:lineRule="exact"/>
        <w:rPr>
          <w:sz w:val="20"/>
          <w:szCs w:val="20"/>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our tumor-agnostic development strategy;</w:t>
      </w:r>
    </w:p>
    <w:p>
      <w:pPr>
        <w:spacing w:after="0" w:line="116" w:lineRule="exact"/>
        <w:rPr>
          <w:rFonts w:ascii="Times New Roman" w:cs="Times New Roman" w:eastAsia="Times New Roman" w:hAnsi="Times New Roman"/>
          <w:sz w:val="18"/>
          <w:szCs w:val="18"/>
          <w:color w:val="auto"/>
        </w:rPr>
      </w:pPr>
    </w:p>
    <w:p>
      <w:pPr>
        <w:ind w:left="940" w:right="740" w:hanging="288"/>
        <w:spacing w:after="0" w:line="28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or authorization to commence a clinical trial, including delays or issues relating to any future companion diagnostics which we may develop;</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84" w:lineRule="exact"/>
        <w:rPr>
          <w:sz w:val="20"/>
          <w:szCs w:val="20"/>
          <w:color w:val="auto"/>
        </w:rPr>
      </w:pPr>
    </w:p>
    <w:p>
      <w:pPr>
        <w:ind w:left="940" w:right="720" w:hanging="288"/>
        <w:spacing w:after="0" w:line="281"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clinical trial site;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w:t>
      </w:r>
    </w:p>
    <w:p>
      <w:pPr>
        <w:spacing w:after="0" w:line="116" w:lineRule="exact"/>
        <w:rPr>
          <w:rFonts w:ascii="Times New Roman" w:cs="Times New Roman" w:eastAsia="Times New Roman" w:hAnsi="Times New Roman"/>
          <w:sz w:val="18"/>
          <w:szCs w:val="18"/>
          <w:color w:val="auto"/>
        </w:rPr>
      </w:pPr>
    </w:p>
    <w:p>
      <w:pPr>
        <w:ind w:left="940" w:right="140" w:hanging="288"/>
        <w:spacing w:after="0" w:line="265"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940" w:right="960" w:hanging="288"/>
        <w:spacing w:after="0" w:line="281"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third-party contractors fail to complete their obligations in a timely manner or failing to comply with applicable regulatory requirements;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product supply of product candidate for use in preclinical studies or clinical trials from third-party suppliers.</w:t>
      </w:r>
    </w:p>
    <w:p>
      <w:pPr>
        <w:spacing w:after="0" w:line="22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6"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8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In addition, the FDA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Additionally, if the Supreme Court reverses or curtails the Chevron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spacing w:after="0" w:line="2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1"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2"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If a prolonged government shutdown, furlough or other disruption occurs, including delays or disruptions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289"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6"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9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 evaluation and mitigation strategy, or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8" w:lineRule="exact"/>
        <w:rPr>
          <w:sz w:val="20"/>
          <w:szCs w:val="20"/>
          <w:color w:val="auto"/>
        </w:rPr>
      </w:pPr>
    </w:p>
    <w:p>
      <w:pPr>
        <w:ind w:left="940" w:right="800" w:hanging="288"/>
        <w:spacing w:after="0" w:line="28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6" w:lineRule="exact"/>
        <w:rPr>
          <w:rFonts w:ascii="Times New Roman" w:cs="Times New Roman" w:eastAsia="Times New Roman" w:hAnsi="Times New Roman"/>
          <w:sz w:val="18"/>
          <w:szCs w:val="18"/>
          <w:color w:val="auto"/>
        </w:rPr>
      </w:pPr>
    </w:p>
    <w:p>
      <w:pPr>
        <w:ind w:left="940" w:right="620" w:hanging="288"/>
        <w:spacing w:after="0" w:line="28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6" w:lineRule="exact"/>
        <w:rPr>
          <w:rFonts w:ascii="Times New Roman" w:cs="Times New Roman" w:eastAsia="Times New Roman" w:hAnsi="Times New Roman"/>
          <w:sz w:val="18"/>
          <w:szCs w:val="18"/>
          <w:color w:val="auto"/>
        </w:rPr>
      </w:pPr>
    </w:p>
    <w:p>
      <w:pPr>
        <w:ind w:left="940" w:right="600" w:hanging="288"/>
        <w:spacing w:after="0" w:line="28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If the Supreme Court reverses or curtails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if approved, and generate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9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2032, unless additional Congressional action is taken.</w:t>
      </w:r>
    </w:p>
    <w:p>
      <w:pPr>
        <w:spacing w:after="0" w:line="182" w:lineRule="exact"/>
        <w:rPr>
          <w:sz w:val="20"/>
          <w:szCs w:val="20"/>
          <w:color w:val="auto"/>
        </w:rPr>
      </w:pPr>
    </w:p>
    <w:p>
      <w:pPr>
        <w:ind w:right="260" w:firstLine="644"/>
        <w:spacing w:after="0" w:line="254"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Inflation Reduction Act of 2022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86"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1" w:lineRule="exact"/>
        <w:rPr>
          <w:sz w:val="20"/>
          <w:szCs w:val="20"/>
          <w:color w:val="auto"/>
        </w:rPr>
      </w:pPr>
    </w:p>
    <w:p>
      <w:pPr>
        <w:ind w:right="320" w:firstLine="644"/>
        <w:spacing w:after="0" w:line="260"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2"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4" w:lineRule="exact"/>
        <w:rPr>
          <w:sz w:val="20"/>
          <w:szCs w:val="20"/>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80" w:firstLine="644"/>
        <w:spacing w:after="0" w:line="281"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0"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0"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74" w:lineRule="exact"/>
        <w:rPr>
          <w:sz w:val="20"/>
          <w:szCs w:val="20"/>
          <w:color w:val="auto"/>
        </w:rPr>
      </w:pPr>
    </w:p>
    <w:p>
      <w:pPr>
        <w:ind w:left="940" w:right="40" w:hanging="288"/>
        <w:spacing w:after="0" w:line="258"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4" w:lineRule="exact"/>
        <w:rPr>
          <w:sz w:val="20"/>
          <w:szCs w:val="20"/>
          <w:color w:val="auto"/>
        </w:rPr>
      </w:pPr>
    </w:p>
    <w:p>
      <w:pPr>
        <w:ind w:left="288"/>
        <w:spacing w:after="0" w:line="265" w:lineRule="auto"/>
        <w:rPr>
          <w:sz w:val="20"/>
          <w:szCs w:val="20"/>
          <w:color w:val="auto"/>
        </w:rPr>
      </w:pPr>
      <w:r>
        <w:rPr>
          <w:rFonts w:ascii="Times New Roman" w:cs="Times New Roman" w:eastAsia="Times New Roman" w:hAnsi="Times New Roman"/>
          <w:sz w:val="18"/>
          <w:szCs w:val="18"/>
          <w:color w:val="auto"/>
        </w:rPr>
        <w:t>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69" w:lineRule="exact"/>
        <w:rPr>
          <w:sz w:val="20"/>
          <w:szCs w:val="20"/>
          <w:color w:val="auto"/>
        </w:rPr>
      </w:pPr>
    </w:p>
    <w:p>
      <w:pPr>
        <w:ind w:left="288" w:right="40" w:hanging="288"/>
        <w:spacing w:after="0" w:line="253" w:lineRule="auto"/>
        <w:tabs>
          <w:tab w:leader="none" w:pos="2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8" w:lineRule="exact"/>
        <w:rPr>
          <w:rFonts w:ascii="Times New Roman" w:cs="Times New Roman" w:eastAsia="Times New Roman" w:hAnsi="Times New Roman"/>
          <w:sz w:val="18"/>
          <w:szCs w:val="18"/>
          <w:color w:val="auto"/>
        </w:rPr>
      </w:pPr>
    </w:p>
    <w:p>
      <w:pPr>
        <w:ind w:left="288" w:right="20" w:hanging="288"/>
        <w:spacing w:after="0" w:line="255" w:lineRule="auto"/>
        <w:tabs>
          <w:tab w:leader="none" w:pos="2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78" w:lineRule="exact"/>
        <w:rPr>
          <w:rFonts w:ascii="Times New Roman" w:cs="Times New Roman" w:eastAsia="Times New Roman" w:hAnsi="Times New Roman"/>
          <w:sz w:val="18"/>
          <w:szCs w:val="18"/>
          <w:color w:val="auto"/>
        </w:rPr>
      </w:pPr>
    </w:p>
    <w:p>
      <w:pPr>
        <w:ind w:left="288" w:right="20" w:hanging="288"/>
        <w:spacing w:after="0" w:line="256" w:lineRule="auto"/>
        <w:tabs>
          <w:tab w:leader="none" w:pos="2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other non-physician healthcare providers (such as physician assistants and nurse practitioners, among others), and teaching hospitals, as well as ownership and investment interests held by physicians, as defined by law, and their immediate family members;</w:t>
      </w:r>
    </w:p>
    <w:p>
      <w:pPr>
        <w:spacing w:after="0" w:line="77" w:lineRule="exact"/>
        <w:rPr>
          <w:rFonts w:ascii="Times New Roman" w:cs="Times New Roman" w:eastAsia="Times New Roman" w:hAnsi="Times New Roman"/>
          <w:sz w:val="18"/>
          <w:szCs w:val="18"/>
          <w:color w:val="auto"/>
        </w:rPr>
      </w:pPr>
    </w:p>
    <w:p>
      <w:pPr>
        <w:ind w:left="288" w:right="320" w:hanging="288"/>
        <w:spacing w:after="0" w:line="281" w:lineRule="auto"/>
        <w:tabs>
          <w:tab w:leader="none" w:pos="2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4" w:lineRule="exact"/>
        <w:rPr>
          <w:rFonts w:ascii="Times New Roman" w:cs="Times New Roman" w:eastAsia="Times New Roman" w:hAnsi="Times New Roman"/>
          <w:sz w:val="18"/>
          <w:szCs w:val="18"/>
          <w:color w:val="auto"/>
        </w:rPr>
      </w:pPr>
    </w:p>
    <w:p>
      <w:pPr>
        <w:ind w:left="288" w:hanging="288"/>
        <w:spacing w:after="0" w:line="254" w:lineRule="auto"/>
        <w:tabs>
          <w:tab w:leader="none" w:pos="2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200" w:lineRule="exact"/>
        <w:rPr>
          <w:sz w:val="20"/>
          <w:szCs w:val="20"/>
          <w:color w:val="auto"/>
        </w:rPr>
      </w:pPr>
    </w:p>
    <w:p>
      <w:pPr>
        <w:spacing w:after="0" w:line="205" w:lineRule="exact"/>
        <w:rPr>
          <w:sz w:val="20"/>
          <w:szCs w:val="20"/>
          <w:color w:val="auto"/>
        </w:rPr>
      </w:pPr>
    </w:p>
    <w:p>
      <w:pPr>
        <w:ind w:left="4888"/>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972" w:top="1440" w:right="339" w:bottom="1440" w:gutter="0" w:footer="0" w:header="0"/>
        </w:sectPr>
      </w:pPr>
    </w:p>
    <w:bookmarkStart w:id="61" w:name="page62"/>
    <w:bookmarkEnd w:id="61"/>
    <w:p>
      <w:pPr>
        <w:spacing w:after="0" w:line="192"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121"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In connection with our clinical trials or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89" w:lineRule="exact"/>
        <w:rPr>
          <w:sz w:val="20"/>
          <w:szCs w:val="20"/>
          <w:color w:val="auto"/>
        </w:rPr>
      </w:pPr>
    </w:p>
    <w:p>
      <w:pPr>
        <w:ind w:right="160"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2"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 exemplifies the vulnerability of our business to the evolving regulatory environment related to personal data and protected health information.</w:t>
      </w:r>
    </w:p>
    <w:p>
      <w:pPr>
        <w:spacing w:after="0" w:line="19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0"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6"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3" w:name="page64"/>
    <w:bookmarkEnd w:id="63"/>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0" w:lineRule="exact"/>
        <w:rPr>
          <w:sz w:val="20"/>
          <w:szCs w:val="20"/>
          <w:color w:val="auto"/>
        </w:rPr>
      </w:pPr>
    </w:p>
    <w:p>
      <w:pPr>
        <w:ind w:right="180" w:firstLine="644"/>
        <w:spacing w:after="0" w:line="270"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Financial Officer, our Chief Development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8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that we are taking to restructure our business to align our cost structure with our strategic priorities may not have the anticipated effects.</w:t>
      </w:r>
    </w:p>
    <w:p>
      <w:pPr>
        <w:spacing w:after="0" w:line="121"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In January 2024, we announced a restructuring plan involving approximately 30 percent of our workforce. If we are unable to realize the expected operational efficiencies and cost savings from the restructuring plan, our operating results and financial condition would be adversely affected.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4" w:name="page65"/>
    <w:bookmarkEnd w:id="64"/>
    <w:p>
      <w:pPr>
        <w:spacing w:after="0" w:line="19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addition, as a result of the reduction in force, we have incurred and may continue to incur some additional costs in the near term, including cash expenditures related to severance payments and benefit costs associated with the restructuring. Further, the restructuring plan may result in other unintended consequences, including employee attrition beyond our intended reduction in force, damage to our corporate culture and decreased employee morale among our remaining employees, diversion of management attention, adverse effects to our reputation as an employer (which could make it more difficult for us to hire new employees in the future), loss of institutional knowledge and expertise of departing employees, as well as our ability to effectively run our business as needed. If we experience any of these adverse consequences, the restructuring plan and other strategic initiatives may not achieve or sustain their intended benefits, or the benefits, even if achieved, may not be adequate to meet our long-term expectations, which could adversely affect our business, results of operations and financial condition.</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0" w:lineRule="exact"/>
        <w:rPr>
          <w:sz w:val="20"/>
          <w:szCs w:val="20"/>
          <w:color w:val="auto"/>
        </w:rPr>
      </w:pPr>
    </w:p>
    <w:p>
      <w:pPr>
        <w:ind w:right="320" w:firstLine="644"/>
        <w:spacing w:after="0" w:line="260" w:lineRule="auto"/>
        <w:rPr>
          <w:sz w:val="20"/>
          <w:szCs w:val="20"/>
          <w:color w:val="auto"/>
        </w:rPr>
      </w:pPr>
      <w:r>
        <w:rPr>
          <w:rFonts w:ascii="Times New Roman" w:cs="Times New Roman" w:eastAsia="Times New Roman" w:hAnsi="Times New Roman"/>
          <w:sz w:val="18"/>
          <w:szCs w:val="18"/>
          <w:color w:val="auto"/>
        </w:rPr>
        <w:t>As of February 29, 2024, we had 63 full-time employees, including 50 employees engaged in research and development activities. In order to successfully implement our development and commercialization plans and strategies, and as we are a relatively new public company, we expect to need additional managerial, operational, sales, marketing, financial and other personnel. Future growth would impose significant added responsibilities on members of management, including:</w:t>
      </w:r>
    </w:p>
    <w:p>
      <w:pPr>
        <w:spacing w:after="0" w:line="74" w:lineRule="exact"/>
        <w:rPr>
          <w:sz w:val="20"/>
          <w:szCs w:val="20"/>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6" w:lineRule="exact"/>
        <w:rPr>
          <w:rFonts w:ascii="Times New Roman" w:cs="Times New Roman" w:eastAsia="Times New Roman" w:hAnsi="Times New Roman"/>
          <w:sz w:val="18"/>
          <w:szCs w:val="18"/>
          <w:color w:val="auto"/>
        </w:rPr>
      </w:pPr>
    </w:p>
    <w:p>
      <w:pPr>
        <w:ind w:left="940" w:hanging="288"/>
        <w:spacing w:after="0" w:line="265"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7"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7" w:lineRule="exact"/>
        <w:rPr>
          <w:sz w:val="20"/>
          <w:szCs w:val="20"/>
          <w:color w:val="auto"/>
        </w:rPr>
      </w:pPr>
    </w:p>
    <w:p>
      <w:pPr>
        <w:ind w:right="320" w:firstLine="644"/>
        <w:spacing w:after="0" w:line="265"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1"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2" w:lineRule="exact"/>
        <w:rPr>
          <w:sz w:val="20"/>
          <w:szCs w:val="20"/>
          <w:color w:val="auto"/>
        </w:rPr>
      </w:pPr>
    </w:p>
    <w:p>
      <w:pPr>
        <w:ind w:right="240" w:firstLine="644"/>
        <w:spacing w:after="0" w:line="280" w:lineRule="auto"/>
        <w:rPr>
          <w:sz w:val="20"/>
          <w:szCs w:val="20"/>
          <w:color w:val="auto"/>
        </w:rPr>
      </w:pPr>
      <w:r>
        <w:rPr>
          <w:rFonts w:ascii="Times New Roman" w:cs="Times New Roman" w:eastAsia="Times New Roman" w:hAnsi="Times New Roman"/>
          <w:sz w:val="17"/>
          <w:szCs w:val="17"/>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materially adversely affect our future revenue and financial condition and increase our costs and expenses.</w:t>
      </w:r>
    </w:p>
    <w:p>
      <w:pPr>
        <w:spacing w:after="0" w:line="121"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consultants and third parties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limited.</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or NOL, carryforwards of $195.7 million and $220.2 million, respectively, and federal and state research and development credit carryforwards of approximately $9.3 million and $3.4 million, respectively. Our federal NOLs generated in tax years ending on or prior to December 31, 2017 are only permitted to be carried forward for 20 taxable years, and therefore could expire unused. Under the Tax Cuts and Jobs Act of 2017, or TCJA, as modified by the Coronavirus Aid, Relief, and Economic Stability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 Our federal NOL carryforwards will begin to expire in 2033, and our federal research and development credit carryforwards will begin to expire in 2034, if not fully utilized. Some of our state NOL carryforwards and state credit carryforwards may also expire unused.</w:t>
      </w:r>
    </w:p>
    <w:p>
      <w:pPr>
        <w:spacing w:after="0" w:line="189" w:lineRule="exact"/>
        <w:rPr>
          <w:sz w:val="20"/>
          <w:szCs w:val="20"/>
          <w:color w:val="auto"/>
        </w:rPr>
      </w:pPr>
    </w:p>
    <w:p>
      <w:pPr>
        <w:jc w:val="both"/>
        <w:ind w:right="40" w:firstLine="644"/>
        <w:spacing w:after="0" w:line="272" w:lineRule="auto"/>
        <w:rPr>
          <w:sz w:val="20"/>
          <w:szCs w:val="20"/>
          <w:color w:val="auto"/>
        </w:rPr>
      </w:pPr>
      <w:r>
        <w:rPr>
          <w:rFonts w:ascii="Times New Roman" w:cs="Times New Roman" w:eastAsia="Times New Roman" w:hAnsi="Times New Roman"/>
          <w:sz w:val="17"/>
          <w:szCs w:val="17"/>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Similar rules may apply under state tax laws. We have experienced such ownership changes in the past, and we may experience ownership changes in the future as a result of shifts in our stock ownership, some of which are outside our control. At this time, we have not conducted any studies to determine the annual limitations, that resulted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 federal or state regulatory changes, such as suspensions on the use of NOLs, our existing NOLs could expire or otherwise be unavailable to offset future income tax liabilities.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could have a material adverse effect on our business, financial condition and results of operations.</w:t>
      </w:r>
    </w:p>
    <w:p>
      <w:pPr>
        <w:spacing w:after="0" w:line="50" w:lineRule="exact"/>
        <w:rPr>
          <w:sz w:val="20"/>
          <w:szCs w:val="20"/>
          <w:color w:val="auto"/>
        </w:rPr>
      </w:pPr>
    </w:p>
    <w:p>
      <w:pPr>
        <w:ind w:firstLine="644"/>
        <w:spacing w:after="0" w:line="270" w:lineRule="auto"/>
        <w:rPr>
          <w:sz w:val="20"/>
          <w:szCs w:val="20"/>
          <w:color w:val="auto"/>
        </w:rPr>
      </w:pPr>
      <w:r>
        <w:rPr>
          <w:rFonts w:ascii="Times New Roman" w:cs="Times New Roman" w:eastAsia="Times New Roman" w:hAnsi="Times New Roman"/>
          <w:sz w:val="17"/>
          <w:szCs w:val="17"/>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TCJA eliminated the option to deduct research and development expenditures currently and requires taxpayers to capitalize and amortize such expenditures over five or 15 years pursuant to Section 174 of the Code, beginning in 2022. When and if we achieve profitability, these changes may cause us to pay federal income taxes earlier than under prior law and may increase our total federal tax liability attributable to orphan drug programs and other research and development activities. However, recently proposed tax legislation, if enacted, would restore the ability to deduct currently domestic research and development expenditures through 2025 and would retroactively restore this benefit for 2022 and 2023. Further, the Inflation Reduction Act of 2022, among other changes, imposes a one-percent excise tax on stock repurchases made on or after January 1, 2023. Any further changes in tax laws or regulations that are applied adversely to us could have a material adverse effect on our business, financial condition and results of operations.</w:t>
      </w:r>
    </w:p>
    <w:p>
      <w:pPr>
        <w:spacing w:after="0" w:line="28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6"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6" w:lineRule="exact"/>
        <w:rPr>
          <w:sz w:val="20"/>
          <w:szCs w:val="20"/>
          <w:color w:val="auto"/>
        </w:rPr>
      </w:pPr>
    </w:p>
    <w:p>
      <w:pPr>
        <w:ind w:right="40" w:firstLine="644"/>
        <w:spacing w:after="0" w:line="280" w:lineRule="auto"/>
        <w:rPr>
          <w:sz w:val="20"/>
          <w:szCs w:val="20"/>
          <w:color w:val="auto"/>
        </w:rPr>
      </w:pPr>
      <w:r>
        <w:rPr>
          <w:rFonts w:ascii="Times New Roman" w:cs="Times New Roman" w:eastAsia="Times New Roman" w:hAnsi="Times New Roman"/>
          <w:sz w:val="17"/>
          <w:szCs w:val="17"/>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2"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6"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8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7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line="19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adversely affected.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940" w:right="34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16" w:lineRule="exact"/>
        <w:rPr>
          <w:rFonts w:ascii="Times New Roman" w:cs="Times New Roman" w:eastAsia="Times New Roman" w:hAnsi="Times New Roman"/>
          <w:sz w:val="18"/>
          <w:szCs w:val="18"/>
          <w:color w:val="auto"/>
        </w:rPr>
      </w:pPr>
    </w:p>
    <w:p>
      <w:pPr>
        <w:ind w:left="940" w:right="22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16" w:lineRule="exact"/>
        <w:rPr>
          <w:rFonts w:ascii="Times New Roman" w:cs="Times New Roman" w:eastAsia="Times New Roman" w:hAnsi="Times New Roman"/>
          <w:sz w:val="18"/>
          <w:szCs w:val="18"/>
          <w:color w:val="auto"/>
        </w:rPr>
      </w:pPr>
    </w:p>
    <w:p>
      <w:pPr>
        <w:ind w:left="940" w:hanging="288"/>
        <w:spacing w:after="0" w:line="265"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Times New Roman" w:cs="Times New Roman" w:eastAsia="Times New Roman" w:hAnsi="Times New Roman"/>
          <w:sz w:val="18"/>
          <w:szCs w:val="18"/>
          <w:color w:val="auto"/>
        </w:rPr>
      </w:pPr>
    </w:p>
    <w:p>
      <w:pPr>
        <w:ind w:left="940" w:right="520" w:hanging="288"/>
        <w:spacing w:after="0" w:line="265"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116" w:lineRule="exact"/>
        <w:rPr>
          <w:rFonts w:ascii="Times New Roman" w:cs="Times New Roman" w:eastAsia="Times New Roman" w:hAnsi="Times New Roman"/>
          <w:sz w:val="18"/>
          <w:szCs w:val="18"/>
          <w:color w:val="auto"/>
        </w:rPr>
      </w:pPr>
    </w:p>
    <w:p>
      <w:pPr>
        <w:ind w:left="94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reagent suppliers may be subject to inclement weather, as well as natural or man-made disasters; and</w:t>
      </w:r>
    </w:p>
    <w:p>
      <w:pPr>
        <w:spacing w:after="0" w:line="116" w:lineRule="exact"/>
        <w:rPr>
          <w:rFonts w:ascii="Times New Roman" w:cs="Times New Roman" w:eastAsia="Times New Roman" w:hAnsi="Times New Roman"/>
          <w:sz w:val="18"/>
          <w:szCs w:val="18"/>
          <w:color w:val="auto"/>
        </w:rPr>
      </w:pPr>
    </w:p>
    <w:p>
      <w:pPr>
        <w:ind w:left="940" w:right="4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92"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8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50"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9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5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9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6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50"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2"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940" w:hanging="288"/>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ind w:left="940" w:right="200" w:hanging="288"/>
        <w:spacing w:after="0" w:line="260"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3"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ind w:left="940" w:right="680" w:hanging="288"/>
        <w:spacing w:after="0" w:line="281"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4" w:lineRule="exact"/>
        <w:rPr>
          <w:rFonts w:ascii="Times New Roman" w:cs="Times New Roman" w:eastAsia="Times New Roman" w:hAnsi="Times New Roman"/>
          <w:sz w:val="18"/>
          <w:szCs w:val="18"/>
          <w:color w:val="auto"/>
        </w:rPr>
      </w:pPr>
    </w:p>
    <w:p>
      <w:pPr>
        <w:ind w:left="940" w:right="480" w:hanging="288"/>
        <w:spacing w:after="0" w:line="281"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4" w:lineRule="exact"/>
        <w:rPr>
          <w:sz w:val="20"/>
          <w:szCs w:val="20"/>
          <w:color w:val="auto"/>
        </w:rPr>
      </w:pPr>
    </w:p>
    <w:p>
      <w:pPr>
        <w:ind w:left="940" w:right="80" w:hanging="288"/>
        <w:spacing w:after="0" w:line="265"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940" w:right="108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4"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50" w:lineRule="exact"/>
        <w:rPr>
          <w:sz w:val="20"/>
          <w:szCs w:val="20"/>
          <w:color w:val="auto"/>
        </w:rPr>
      </w:pPr>
    </w:p>
    <w:p>
      <w:pPr>
        <w:ind w:right="80" w:firstLine="644"/>
        <w:spacing w:after="0" w:line="272" w:lineRule="auto"/>
        <w:rPr>
          <w:sz w:val="20"/>
          <w:szCs w:val="20"/>
          <w:color w:val="auto"/>
        </w:rPr>
      </w:pPr>
      <w:r>
        <w:rPr>
          <w:rFonts w:ascii="Times New Roman" w:cs="Times New Roman" w:eastAsia="Times New Roman" w:hAnsi="Times New Roman"/>
          <w:sz w:val="17"/>
          <w:szCs w:val="17"/>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0" w:lineRule="exact"/>
        <w:rPr>
          <w:sz w:val="20"/>
          <w:szCs w:val="20"/>
          <w:color w:val="auto"/>
        </w:rPr>
      </w:pPr>
    </w:p>
    <w:p>
      <w:pPr>
        <w:ind w:right="240" w:firstLine="644"/>
        <w:spacing w:after="0" w:line="312" w:lineRule="auto"/>
        <w:rPr>
          <w:sz w:val="20"/>
          <w:szCs w:val="20"/>
          <w:color w:val="auto"/>
        </w:rPr>
      </w:pPr>
      <w:r>
        <w:rPr>
          <w:rFonts w:ascii="Times New Roman" w:cs="Times New Roman" w:eastAsia="Times New Roman" w:hAnsi="Times New Roman"/>
          <w:sz w:val="17"/>
          <w:szCs w:val="17"/>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31" w:lineRule="exact"/>
        <w:rPr>
          <w:sz w:val="20"/>
          <w:szCs w:val="20"/>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940" w:right="240" w:hanging="288"/>
        <w:spacing w:after="0" w:line="281"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4" w:lineRule="exact"/>
        <w:rPr>
          <w:sz w:val="20"/>
          <w:szCs w:val="20"/>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4" w:lineRule="exact"/>
        <w:rPr>
          <w:rFonts w:ascii="Times New Roman" w:cs="Times New Roman" w:eastAsia="Times New Roman" w:hAnsi="Times New Roman"/>
          <w:sz w:val="18"/>
          <w:szCs w:val="18"/>
          <w:color w:val="auto"/>
        </w:rPr>
      </w:pPr>
    </w:p>
    <w:p>
      <w:pPr>
        <w:ind w:left="940" w:right="120" w:hanging="288"/>
        <w:spacing w:after="0" w:line="281"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3"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66"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86"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4" w:name="page75"/>
    <w:bookmarkEnd w:id="74"/>
    <w:p>
      <w:pPr>
        <w:spacing w:after="0" w:line="192"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50"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82" w:lineRule="exact"/>
        <w:rPr>
          <w:sz w:val="20"/>
          <w:szCs w:val="20"/>
          <w:color w:val="auto"/>
        </w:rPr>
      </w:pPr>
    </w:p>
    <w:p>
      <w:pPr>
        <w:ind w:firstLine="644"/>
        <w:spacing w:after="0" w:line="276" w:lineRule="auto"/>
        <w:rPr>
          <w:sz w:val="20"/>
          <w:szCs w:val="20"/>
          <w:color w:val="auto"/>
        </w:rPr>
      </w:pPr>
      <w:r>
        <w:rPr>
          <w:rFonts w:ascii="Times New Roman" w:cs="Times New Roman" w:eastAsia="Times New Roman" w:hAnsi="Times New Roman"/>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7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92"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86"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6"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6" w:lineRule="exact"/>
        <w:rPr>
          <w:sz w:val="20"/>
          <w:szCs w:val="20"/>
          <w:color w:val="auto"/>
        </w:rPr>
      </w:pPr>
    </w:p>
    <w:p>
      <w:pPr>
        <w:jc w:val="both"/>
        <w:ind w:right="20" w:firstLine="644"/>
        <w:spacing w:after="0" w:line="288" w:lineRule="auto"/>
        <w:rPr>
          <w:sz w:val="20"/>
          <w:szCs w:val="20"/>
          <w:color w:val="auto"/>
        </w:rPr>
      </w:pPr>
      <w:r>
        <w:rPr>
          <w:rFonts w:ascii="Times New Roman" w:cs="Times New Roman" w:eastAsia="Times New Roman" w:hAnsi="Times New Roman"/>
          <w:sz w:val="17"/>
          <w:szCs w:val="17"/>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8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189"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87"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293"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50"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6" w:lineRule="exact"/>
        <w:rPr>
          <w:sz w:val="20"/>
          <w:szCs w:val="20"/>
          <w:color w:val="auto"/>
        </w:rPr>
      </w:pPr>
    </w:p>
    <w:p>
      <w:pPr>
        <w:ind w:right="140" w:firstLine="644"/>
        <w:spacing w:after="0" w:line="270" w:lineRule="auto"/>
        <w:rPr>
          <w:sz w:val="20"/>
          <w:szCs w:val="20"/>
          <w:color w:val="auto"/>
        </w:rPr>
      </w:pPr>
      <w:r>
        <w:rPr>
          <w:rFonts w:ascii="Times New Roman" w:cs="Times New Roman" w:eastAsia="Times New Roman" w:hAnsi="Times New Roman"/>
          <w:sz w:val="17"/>
          <w:szCs w:val="17"/>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5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6" w:lineRule="exact"/>
        <w:rPr>
          <w:sz w:val="20"/>
          <w:szCs w:val="20"/>
          <w:color w:val="auto"/>
        </w:rPr>
      </w:pPr>
    </w:p>
    <w:p>
      <w:pPr>
        <w:ind w:right="160" w:firstLine="644"/>
        <w:spacing w:after="0" w:line="260"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92"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6" w:lineRule="exact"/>
        <w:rPr>
          <w:sz w:val="20"/>
          <w:szCs w:val="20"/>
          <w:color w:val="auto"/>
        </w:rPr>
      </w:pPr>
    </w:p>
    <w:p>
      <w:pPr>
        <w:jc w:val="both"/>
        <w:ind w:right="100" w:firstLine="644"/>
        <w:spacing w:after="0" w:line="26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7" w:lineRule="exact"/>
        <w:rPr>
          <w:sz w:val="20"/>
          <w:szCs w:val="20"/>
          <w:color w:val="auto"/>
        </w:rPr>
      </w:pPr>
    </w:p>
    <w:p>
      <w:pPr>
        <w:ind w:right="20" w:firstLine="644"/>
        <w:spacing w:after="0" w:line="271" w:lineRule="auto"/>
        <w:rPr>
          <w:sz w:val="20"/>
          <w:szCs w:val="20"/>
          <w:color w:val="auto"/>
        </w:rPr>
      </w:pPr>
      <w:r>
        <w:rPr>
          <w:rFonts w:ascii="Times New Roman" w:cs="Times New Roman" w:eastAsia="Times New Roman" w:hAnsi="Times New Roman"/>
          <w:sz w:val="17"/>
          <w:szCs w:val="17"/>
          <w:color w:val="auto"/>
        </w:rPr>
        <w:t xml:space="preserve">We may be required to protect our patents through procedures created to attack the validity of a patent at the USPTO. The USPTO hears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possibility of post-grant proceedings could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7"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2"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2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0"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40" w:firstLine="644"/>
        <w:spacing w:after="0" w:line="269"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1" w:name="page82"/>
    <w:bookmarkEnd w:id="81"/>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9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66"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7"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86"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92"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86"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6"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296"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7"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8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2"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78" w:lineRule="exact"/>
        <w:rPr>
          <w:sz w:val="20"/>
          <w:szCs w:val="20"/>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940" w:right="640" w:hanging="288"/>
        <w:spacing w:after="0" w:line="28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940" w:right="500" w:hanging="288"/>
        <w:spacing w:after="0" w:line="28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16" w:lineRule="exact"/>
        <w:rPr>
          <w:rFonts w:ascii="Times New Roman" w:cs="Times New Roman" w:eastAsia="Times New Roman" w:hAnsi="Times New Roman"/>
          <w:sz w:val="18"/>
          <w:szCs w:val="18"/>
          <w:color w:val="auto"/>
        </w:rPr>
      </w:pPr>
    </w:p>
    <w:p>
      <w:pPr>
        <w:ind w:left="940" w:right="360" w:hanging="288"/>
        <w:spacing w:after="0" w:line="28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3" w:lineRule="exact"/>
        <w:rPr>
          <w:sz w:val="20"/>
          <w:szCs w:val="20"/>
          <w:color w:val="auto"/>
        </w:rPr>
      </w:pPr>
    </w:p>
    <w:p>
      <w:pPr>
        <w:ind w:right="340" w:firstLine="644"/>
        <w:spacing w:after="0" w:line="265"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77"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29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jc w:val="both"/>
        <w:ind w:right="320" w:firstLine="644"/>
        <w:spacing w:after="0" w:line="265"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69" w:lineRule="exact"/>
        <w:rPr>
          <w:sz w:val="20"/>
          <w:szCs w:val="20"/>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planned or any future preclinical studies, clinical trials or clinical development programs;</w:t>
      </w:r>
    </w:p>
    <w:p>
      <w:pPr>
        <w:spacing w:after="0" w:line="116" w:lineRule="exact"/>
        <w:rPr>
          <w:rFonts w:ascii="Times New Roman" w:cs="Times New Roman" w:eastAsia="Times New Roman" w:hAnsi="Times New Roman"/>
          <w:sz w:val="18"/>
          <w:szCs w:val="18"/>
          <w:color w:val="auto"/>
        </w:rPr>
      </w:pPr>
    </w:p>
    <w:p>
      <w:pPr>
        <w:ind w:left="940" w:hanging="288"/>
        <w:spacing w:after="0" w:line="281"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w:t>
      </w:r>
    </w:p>
    <w:p>
      <w:pPr>
        <w:spacing w:after="0" w:line="116"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4" w:lineRule="exact"/>
        <w:rPr>
          <w:rFonts w:ascii="Times New Roman" w:cs="Times New Roman" w:eastAsia="Times New Roman" w:hAnsi="Times New Roman"/>
          <w:sz w:val="18"/>
          <w:szCs w:val="18"/>
          <w:color w:val="auto"/>
        </w:rPr>
      </w:pPr>
    </w:p>
    <w:p>
      <w:pPr>
        <w:ind w:left="940" w:right="700" w:hanging="288"/>
        <w:spacing w:after="0" w:line="281"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regulatory approval of our product candidates;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cancer target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treat additional types of cancers or at different stages;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6" w:lineRule="exact"/>
        <w:rPr>
          <w:rFonts w:ascii="Times New Roman" w:cs="Times New Roman" w:eastAsia="Times New Roman" w:hAnsi="Times New Roman"/>
          <w:sz w:val="18"/>
          <w:szCs w:val="18"/>
          <w:color w:val="auto"/>
        </w:rPr>
      </w:pPr>
    </w:p>
    <w:p>
      <w:pPr>
        <w:ind w:left="940" w:right="800" w:hanging="288"/>
        <w:spacing w:after="0" w:line="281"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4" w:lineRule="exact"/>
        <w:rPr>
          <w:sz w:val="20"/>
          <w:szCs w:val="20"/>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6"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116" w:lineRule="exact"/>
        <w:rPr>
          <w:rFonts w:ascii="Times New Roman" w:cs="Times New Roman" w:eastAsia="Times New Roman" w:hAnsi="Times New Roman"/>
          <w:sz w:val="18"/>
          <w:szCs w:val="18"/>
          <w:color w:val="auto"/>
        </w:rPr>
      </w:pPr>
    </w:p>
    <w:p>
      <w:pPr>
        <w:ind w:left="940" w:right="400" w:hanging="288"/>
        <w:spacing w:after="0" w:line="281" w:lineRule="auto"/>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rising rate of inflation, the Ukraine-Russia war and the ongoing conflict between Israel and Hamas; and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Prior to the closing of our initial public offering in September 2020, there was no public trading market for our common stock. Although our common stock is listed on the Nasdaq Global Select Market, the market for our shares has demonstrated varying levels of trading activity. Furthermore, an active trading market for our common stock may not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28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0"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We do not have any control over these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3"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28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50"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2023, our executive officers, directors, holders of 5% or more of our capital stock and their respective affiliates beneficially owned approximately 21% of our voting stock. As a result, this group of stockholders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capital stock, so any returns will be limited to the value of our stock.</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0"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55" w:lineRule="exact"/>
        <w:rPr>
          <w:sz w:val="20"/>
          <w:szCs w:val="20"/>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6" w:lineRule="exact"/>
        <w:rPr>
          <w:rFonts w:ascii="Times New Roman" w:cs="Times New Roman" w:eastAsia="Times New Roman" w:hAnsi="Times New Roman"/>
          <w:sz w:val="18"/>
          <w:szCs w:val="18"/>
          <w:color w:val="auto"/>
        </w:rPr>
      </w:pPr>
    </w:p>
    <w:p>
      <w:pPr>
        <w:ind w:left="940" w:right="480" w:hanging="288"/>
        <w:spacing w:after="0" w:line="281"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16" w:lineRule="exact"/>
        <w:rPr>
          <w:rFonts w:ascii="Times New Roman" w:cs="Times New Roman" w:eastAsia="Times New Roman" w:hAnsi="Times New Roman"/>
          <w:sz w:val="18"/>
          <w:szCs w:val="18"/>
          <w:color w:val="auto"/>
        </w:rPr>
      </w:pPr>
    </w:p>
    <w:p>
      <w:pPr>
        <w:ind w:left="940" w:right="940" w:hanging="288"/>
        <w:spacing w:after="0" w:line="281"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25"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2" w:lineRule="exact"/>
        <w:rPr>
          <w:sz w:val="20"/>
          <w:szCs w:val="20"/>
          <w:color w:val="auto"/>
        </w:rPr>
      </w:pPr>
    </w:p>
    <w:p>
      <w:pPr>
        <w:ind w:right="300" w:firstLine="644"/>
        <w:spacing w:after="0" w:line="265"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9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4" w:lineRule="exact"/>
        <w:rPr>
          <w:sz w:val="20"/>
          <w:szCs w:val="20"/>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6" w:lineRule="exact"/>
        <w:rPr>
          <w:rFonts w:ascii="Times New Roman" w:cs="Times New Roman" w:eastAsia="Times New Roman" w:hAnsi="Times New Roman"/>
          <w:sz w:val="18"/>
          <w:szCs w:val="18"/>
          <w:color w:val="auto"/>
        </w:rPr>
      </w:pPr>
    </w:p>
    <w:p>
      <w:pPr>
        <w:ind w:left="940" w:right="280" w:hanging="288"/>
        <w:spacing w:after="0" w:line="281"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63"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7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29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66"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We are subject to Section 404 of the Sarbanes-Oxley Act and the related rules of the SEC and Nasdaq, which, among other things, require that we maintain effective internal control over financial reporting. In addition, Section 404 requires our management to report on the effectiveness of our internal control over financial reporting. We are also required to disclose changes made in our internal controls and procedures on a quarterly basis.</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9" w:name="page90"/>
    <w:bookmarkEnd w:id="89"/>
    <w:p>
      <w:pPr>
        <w:spacing w:after="0" w:line="19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requirements of these rules and regulations are difficult, time-consuming and costly, and place significant strain on our personnel, systems and resources. Effective internal controls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Select Market.</w:t>
      </w:r>
    </w:p>
    <w:p>
      <w:pPr>
        <w:spacing w:after="0" w:line="187"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Any testing by us conducted in connection with Section 404, or any subsequent testing,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w:t>
      </w:r>
    </w:p>
    <w:p>
      <w:pPr>
        <w:spacing w:after="0" w:line="182"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2"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risk of securities class action litigation, which is expensive and could divert management attention.</w:t>
      </w:r>
    </w:p>
    <w:p>
      <w:pPr>
        <w:spacing w:after="0" w:line="121"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0"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92"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182"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5" w:lineRule="exact"/>
        <w:rPr>
          <w:sz w:val="20"/>
          <w:szCs w:val="20"/>
          <w:color w:val="auto"/>
        </w:rPr>
      </w:pPr>
    </w:p>
    <w:p>
      <w:pPr>
        <w:ind w:left="940" w:hanging="288"/>
        <w:spacing w:after="0" w:line="281"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6" w:lineRule="exact"/>
        <w:rPr>
          <w:rFonts w:ascii="Times New Roman" w:cs="Times New Roman" w:eastAsia="Times New Roman" w:hAnsi="Times New Roman"/>
          <w:sz w:val="18"/>
          <w:szCs w:val="18"/>
          <w:color w:val="auto"/>
        </w:rPr>
      </w:pPr>
    </w:p>
    <w:p>
      <w:pPr>
        <w:ind w:left="940" w:right="440" w:hanging="288"/>
        <w:spacing w:after="0" w:line="265"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future product candidates, or competing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6" w:lineRule="exact"/>
        <w:rPr>
          <w:rFonts w:ascii="Times New Roman" w:cs="Times New Roman" w:eastAsia="Times New Roman" w:hAnsi="Times New Roman"/>
          <w:sz w:val="18"/>
          <w:szCs w:val="18"/>
          <w:color w:val="auto"/>
        </w:rPr>
      </w:pPr>
    </w:p>
    <w:p>
      <w:pPr>
        <w:ind w:left="940" w:right="280" w:hanging="288"/>
        <w:spacing w:after="0" w:line="281"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future product candidates, if approved, which may fluctuate significantly and be difficult to predict;</w:t>
      </w:r>
    </w:p>
    <w:p>
      <w:pPr>
        <w:spacing w:after="0" w:line="116" w:lineRule="exact"/>
        <w:rPr>
          <w:rFonts w:ascii="Times New Roman" w:cs="Times New Roman" w:eastAsia="Times New Roman" w:hAnsi="Times New Roman"/>
          <w:sz w:val="18"/>
          <w:szCs w:val="18"/>
          <w:color w:val="auto"/>
        </w:rPr>
      </w:pPr>
    </w:p>
    <w:p>
      <w:pPr>
        <w:ind w:left="940" w:right="160" w:hanging="288"/>
        <w:spacing w:after="0" w:line="281"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our product candidates;</w:t>
      </w:r>
    </w:p>
    <w:p>
      <w:pPr>
        <w:spacing w:after="0" w:line="54" w:lineRule="exact"/>
        <w:rPr>
          <w:rFonts w:ascii="Times New Roman" w:cs="Times New Roman" w:eastAsia="Times New Roman" w:hAnsi="Times New Roman"/>
          <w:sz w:val="18"/>
          <w:szCs w:val="18"/>
          <w:color w:val="auto"/>
        </w:rPr>
      </w:pPr>
    </w:p>
    <w:p>
      <w:pPr>
        <w:ind w:left="940" w:right="40" w:hanging="288"/>
        <w:spacing w:after="0" w:line="281"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 inside and outside of the United States, either independently or working with third parties;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future collaborations, licensing or other arrangements;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225"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82"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and assessments in the event of a material change in our business practices that may affect information systems that are vulnerable to such cybersecurity threats.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2" w:lineRule="exact"/>
        <w:rPr>
          <w:sz w:val="20"/>
          <w:szCs w:val="20"/>
          <w:color w:val="auto"/>
        </w:rPr>
      </w:pPr>
    </w:p>
    <w:p>
      <w:pPr>
        <w:ind w:right="140" w:firstLine="644"/>
        <w:spacing w:after="0" w:line="260"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VP of Information Technology, who reports to our General Counsel &amp; Head of Operations, to manage the risk assessment and mitigation process.</w:t>
      </w:r>
    </w:p>
    <w:p>
      <w:pPr>
        <w:spacing w:after="0" w:line="182" w:lineRule="exact"/>
        <w:rPr>
          <w:sz w:val="20"/>
          <w:szCs w:val="20"/>
          <w:color w:val="auto"/>
        </w:rPr>
      </w:pPr>
    </w:p>
    <w:p>
      <w:pPr>
        <w:ind w:right="160" w:firstLine="644"/>
        <w:spacing w:after="0" w:line="260"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management. Personnel at all levels and departments know our cybersecurity policies through training. Random attack simulations are conducted monthly to familiarize all personnel with various phishing methods with positive reinforcement on identifying and reporting suspicious content to the IT Department.</w:t>
      </w:r>
    </w:p>
    <w:p>
      <w:pPr>
        <w:spacing w:after="0" w:line="182"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We engage third parties like a penetration testing firm and our managed service provider (MSP) in connection with our risk assessment processes. These service providers assist us in identifying vulnerabilities to design and implement, suggesting remediation of our cybersecurity policies and procedures, as well as monitor and test our safeguards. We require each third-party service provider to implement and maintain reasonable security measures in connection with their work with us, and to promptly report any suspected breach of its security measures that may affect our company.</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300" w:firstLine="644"/>
        <w:spacing w:after="0" w:line="265" w:lineRule="auto"/>
        <w:rPr>
          <w:sz w:val="20"/>
          <w:szCs w:val="20"/>
          <w:color w:val="auto"/>
        </w:rPr>
      </w:pPr>
      <w:r>
        <w:rPr>
          <w:rFonts w:ascii="Times New Roman" w:cs="Times New Roman" w:eastAsia="Times New Roman" w:hAnsi="Times New Roman"/>
          <w:sz w:val="18"/>
          <w:szCs w:val="18"/>
          <w:color w:val="auto"/>
        </w:rPr>
        <w:t>One of the key functions of our board of directors is oversight of our risk management process, including risks from cybersecurity threats. Our board of directors is responsible for monitoring and assessing strategic risk exposure, and our executive officers manage the material risks we face. Our board of directors administers its cybersecurity risk oversight function directly as a whole and through the audit committee.</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192"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Our VP of Information Technology, and our management committee on cybersecurity, which includes the Company's audit committee, are primarily responsible for assessing and managing our material risks from cybersecurity threats. The VP of Information Technology has twenty years of experience in IT on-premise and cloud infrastructure, enterprise applications, and operations across large and mid size life science companies with a focus on IT controls for compliance an security.</w:t>
      </w:r>
    </w:p>
    <w:p>
      <w:pPr>
        <w:spacing w:after="0" w:line="182" w:lineRule="exact"/>
        <w:rPr>
          <w:sz w:val="20"/>
          <w:szCs w:val="20"/>
          <w:color w:val="auto"/>
        </w:rPr>
      </w:pPr>
    </w:p>
    <w:p>
      <w:pPr>
        <w:jc w:val="both"/>
        <w:ind w:right="380" w:firstLine="644"/>
        <w:spacing w:after="0" w:line="260" w:lineRule="auto"/>
        <w:rPr>
          <w:sz w:val="20"/>
          <w:szCs w:val="20"/>
          <w:color w:val="auto"/>
        </w:rPr>
      </w:pPr>
      <w:r>
        <w:rPr>
          <w:rFonts w:ascii="Times New Roman" w:cs="Times New Roman" w:eastAsia="Times New Roman" w:hAnsi="Times New Roman"/>
          <w:sz w:val="18"/>
          <w:szCs w:val="18"/>
          <w:color w:val="auto"/>
        </w:rPr>
        <w:t>Our VP of Information Technology oversees our cybersecurity policies and processes, including those described in “Risk Management and Strategy” above. The processes by which our VP of Information Technology or department designee are informed about and monitor the prevention, detection, mitigation and remediation of cybersecurity incidents include weekly assessments for all endpoints and real-time notifications from security solutions, which include a combination of cloud and client-based applications.</w:t>
      </w:r>
    </w:p>
    <w:p>
      <w:pPr>
        <w:spacing w:after="0" w:line="182"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Our VP of Information Technology provides annual briefings to the audit committee regarding the Company’s cybersecurity risks and activities, including any recent cybersecurity incidents and related responses, cybersecurity systems testing, activities of third parties, and the like. Our audit committee provides regular updates to the board of directors on such reports. In addition, our VP of Information Technology or department designee provides annual briefings to the board of directors on cybersecurity risks and activities.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Our corporate headquarters is located at 1 Research Way, Princeton, New Jersey 08540, where we lease a facility containing 50,581 square feet of office and laboratory space. The lease term extends through 2032, and has a five-year extension option.</w:t>
      </w:r>
    </w:p>
    <w:p>
      <w:pPr>
        <w:spacing w:after="0" w:line="163" w:lineRule="exact"/>
        <w:rPr>
          <w:sz w:val="20"/>
          <w:szCs w:val="20"/>
          <w:color w:val="auto"/>
        </w:rPr>
      </w:pPr>
    </w:p>
    <w:p>
      <w:pPr>
        <w:ind w:right="400" w:firstLine="644"/>
        <w:spacing w:after="0" w:line="312" w:lineRule="auto"/>
        <w:rPr>
          <w:sz w:val="20"/>
          <w:szCs w:val="20"/>
          <w:color w:val="auto"/>
        </w:rPr>
      </w:pPr>
      <w:r>
        <w:rPr>
          <w:rFonts w:ascii="Times New Roman" w:cs="Times New Roman" w:eastAsia="Times New Roman" w:hAnsi="Times New Roman"/>
          <w:sz w:val="17"/>
          <w:szCs w:val="17"/>
          <w:color w:val="auto"/>
        </w:rPr>
        <w:t>We believe that our current facility is suitable and adequate for our current and near term conduct of our business operations and that suitable additional or substitute space at commercially reasonable terms will be available as needed to accommodate any future expansion of our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As of February 29, 2024, we were not a party to any legal matters or claims that, in the opinion of management, are likely to have a material effect on our business. In the future, we may become party to legal matters and claims in the ordinary course of business, the resolution of which we do not anticipate would have a material adverse impact on our financial position, results of operations or cash flows. Regardless of outcome, litigation, or other legal proceedings can have an adverse impact on us because of legal fees and settlement costs, diversion of management resources, and other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76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“PMVP” since September 25, 2020.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As of February 29, 2024, there were approximately 7 holders of record of our common stock. We believe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fiscal year ended December 31,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On September 24, 2020, our registration statement on Form S-1 (File No. 333-248627) relating to our IPO of common stock was declared effective by the SEC. The IPO closed on September 25, 2020 at which time we issued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None of the expenses associated with the IPO were paid to directors, officers, persons owning 10% or more of any class of equity securities, or to our affiliates. Goldman Sachs &amp; Co. LLC, BofA Securities, Cowen, and Evercore IS acted as joint book-running managers for the offering.</w:t>
      </w:r>
    </w:p>
    <w:p>
      <w:pPr>
        <w:spacing w:after="0" w:line="187" w:lineRule="exact"/>
        <w:rPr>
          <w:sz w:val="20"/>
          <w:szCs w:val="20"/>
          <w:color w:val="auto"/>
        </w:rPr>
      </w:pPr>
    </w:p>
    <w:p>
      <w:pPr>
        <w:ind w:right="80" w:firstLine="644"/>
        <w:spacing w:after="0" w:line="28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163"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We have a shelf registration statement on Form S-3 (File No. 333-260012), which was declared effective by the SEC on April 28, 2022, pursuant to which we may offer and sell, from time to time, up to $200 million of common stock, preferred stock, various series of debt securities and warrants to purchase any of such securities in one or more registered offerings, and up to $150 million of common stock pursuant to our at-the-market equity offering program, dated October 4, 2021, or the ATM Program. During the year ended December 31, 2023, we sold 5,149,446 shares of common stock under the ATM Program at a weighted average price of $6.97 per share for $35.1 million in proceeds, net of fees. As of December 31, 2023, we have approximately $113.8 million remaining in gross proceeds available for future issuances of common stock under the ATM Program. There has been no material change in the planned use of proceeds as described in the shelf registration statement. None of the expenses associated with the follow-on offering were paid to directors, officers, persons owning 10% or more of any class of equity securities, or to our affiliates.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94" w:name="page95"/>
    <w:bookmarkEnd w:id="94"/>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184"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 xml:space="preserve">A discussion of our financial performance for the year ended December 31, 2023 as compared to the year ended December 31, 2022 appears below under the captions “Results of Operations” and “Liquidity and Capital Resources.” A discussion of our financial performance for the year ended December 31, 2022 compared to the year ended December 31, 2021 can be found in our Annual Report filed on Form 10-K, in the “Part II, Item 7, Management’s Discussion and Analysis of Financial Condition and Results of Operations”, under the same captions, filed with the SEC on March 1, 2023, which is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our Investor Relations website at </w:t>
      </w:r>
      <w:r>
        <w:rPr>
          <w:rFonts w:ascii="Times New Roman" w:cs="Times New Roman" w:eastAsia="Times New Roman" w:hAnsi="Times New Roman"/>
          <w:sz w:val="18"/>
          <w:szCs w:val="18"/>
          <w:i w:val="1"/>
          <w:iCs w:val="1"/>
          <w:color w:val="auto"/>
        </w:rPr>
        <w:t>ir.pmvpharma.com/financial-information/sec-filings</w:t>
      </w:r>
      <w:r>
        <w:rPr>
          <w:rFonts w:ascii="Times New Roman" w:cs="Times New Roman" w:eastAsia="Times New Roman" w:hAnsi="Times New Roman"/>
          <w:sz w:val="18"/>
          <w:szCs w:val="18"/>
          <w:color w:val="auto"/>
        </w:rPr>
        <w:t>. These website addresses are intended to be inactive, textual references only. None of the materials on, or accessible through, these websites are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report or are incorporated by reference herein.</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2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$69.0 million, $73.3 million, and $57.8 million for the years ended December 31, 2023, 2022, and 2021, respectively. As of December 31, 2023, we had an accumulated deficit of $310.0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PC14586 (rezatapopt). In October 2020, we were granted FDA Fast Track Designation of PC14586 for the treatment of patients with locally advanced or metastatic solid tumors that have a p53 Y220C mutation. We dosed our first patient in this clinical trial in the fourth quarter of 2020.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The pivotal Phase 2 monotherapy portion of our PYNNACLE trial is planned to be initiated in 1Q of 2024. In addition, in December 2022, we opened a separate Phase 1b arm within the existing Phase 1/2 PYNNACLE trial combining PC14586 with KEYTRUDA® (pembrolizumab) in collaboration with Merck and Co.</w:t>
      </w:r>
    </w:p>
    <w:p>
      <w:pPr>
        <w:spacing w:after="0" w:line="213"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96" w:name="page97"/>
    <w:bookmarkEnd w:id="96"/>
    <w:p>
      <w:pPr>
        <w:spacing w:after="0" w:line="17"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209" w:lineRule="exact"/>
        <w:rPr>
          <w:sz w:val="20"/>
          <w:szCs w:val="20"/>
          <w:color w:val="auto"/>
        </w:rPr>
      </w:pPr>
    </w:p>
    <w:p>
      <w:pPr>
        <w:ind w:right="800" w:firstLine="644"/>
        <w:spacing w:after="0" w:line="265"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40" w:firstLine="644"/>
        <w:spacing w:after="0" w:line="260"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40" w:firstLine="644"/>
        <w:spacing w:after="0" w:line="26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222"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(rezatapopt). We initiated a Phase 1/2 clinical trial, PYNNACLE,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October 2023, we presented our updated Phase 1 clinical data for PC14586 at the 2023 AACR-NCI-EORTC International Conference on Molecular Targets and Cancer Therapeutics Meeting. In addition, in December 2022, we opened a separate Phase 1b arm within the existing Phase 1/2 clinical trial combining PC14586 with KEYTRUDA® (pembrolizumab) in collaboration with Merck and Co.</w:t>
      </w:r>
    </w:p>
    <w:p>
      <w:pPr>
        <w:spacing w:after="0" w:line="22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260" w:firstLine="644"/>
        <w:spacing w:after="0" w:line="28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of premiums and amortization of discounts on marketable securities.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2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(805 )</w:t>
            </w:r>
          </w:p>
        </w:tc>
      </w:tr>
      <w:tr>
        <w:trPr>
          <w:trHeight w:val="236"/>
        </w:trPr>
        <w:tc>
          <w:tcPr>
            <w:tcW w:w="576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24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top w:val="single" w:sz="8" w:color="CFF0FC"/>
            </w:tcBorders>
          </w:tcPr>
          <w:p>
            <w:pPr>
              <w:spacing w:after="0"/>
              <w:rPr>
                <w:sz w:val="20"/>
                <w:szCs w:val="20"/>
                <w:color w:val="auto"/>
              </w:rPr>
            </w:pPr>
          </w:p>
        </w:tc>
      </w:tr>
      <w:tr>
        <w:trPr>
          <w:trHeight w:val="236"/>
        </w:trPr>
        <w:tc>
          <w:tcPr>
            <w:tcW w:w="5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(80,132 )</w:t>
            </w:r>
          </w:p>
        </w:tc>
        <w:tc>
          <w:tcPr>
            <w:tcW w:w="4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(77,040 )</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(3,092 )</w:t>
            </w: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shd w:val="clear" w:color="auto" w:fill="CFF0FC"/>
          </w:tcPr>
          <w:p>
            <w:pPr>
              <w:spacing w:after="0"/>
              <w:rPr>
                <w:sz w:val="21"/>
                <w:szCs w:val="21"/>
                <w:color w:val="auto"/>
              </w:rPr>
            </w:pPr>
          </w:p>
        </w:tc>
      </w:tr>
      <w:tr>
        <w:trPr>
          <w:trHeight w:val="243"/>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r>
        <w:trPr>
          <w:trHeight w:val="236"/>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3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(68,958 )</w:t>
            </w:r>
          </w:p>
        </w:tc>
        <w:tc>
          <w:tcPr>
            <w:tcW w:w="4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(73,326 )</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(68,960 )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(73,317 )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-1454785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-1454785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-504825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-504825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-187960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4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7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(1,405 )</w:t>
            </w: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(730 )</w:t>
            </w: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1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1"/>
                <w:szCs w:val="21"/>
                <w:color w:val="auto"/>
              </w:rPr>
            </w:pPr>
          </w:p>
        </w:tc>
      </w:tr>
      <w:tr>
        <w:trPr>
          <w:trHeight w:val="27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7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23"/>
                <w:szCs w:val="23"/>
                <w:color w:val="auto"/>
              </w:rPr>
            </w:pPr>
          </w:p>
        </w:tc>
      </w:tr>
      <w:tr>
        <w:trPr>
          <w:trHeight w:val="848"/>
        </w:trPr>
        <w:tc>
          <w:tcPr>
            <w:tcW w:w="3740" w:type="dxa"/>
            <w:vAlign w:val="bottom"/>
            <w:tcBorders>
              <w:top w:val="single" w:sz="8" w:color="CFF0FC"/>
            </w:tcBorders>
          </w:tcPr>
          <w:p>
            <w:pPr>
              <w:spacing w:after="0"/>
              <w:rPr>
                <w:sz w:val="24"/>
                <w:szCs w:val="24"/>
                <w:color w:val="auto"/>
              </w:rPr>
            </w:pPr>
          </w:p>
        </w:tc>
        <w:tc>
          <w:tcPr>
            <w:tcW w:w="202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-1069975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-1052830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-1069975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-1052830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were $55.9 million for the year ended December 31, 2023, compared to $52.0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increase of $3.9 million was primarily due to the following:</w:t>
      </w:r>
    </w:p>
    <w:p>
      <w:pPr>
        <w:spacing w:after="0" w:line="98" w:lineRule="exact"/>
        <w:rPr>
          <w:sz w:val="20"/>
          <w:szCs w:val="20"/>
          <w:color w:val="auto"/>
        </w:rPr>
      </w:pPr>
    </w:p>
    <w:p>
      <w:pPr>
        <w:ind w:left="940" w:hanging="288"/>
        <w:spacing w:after="0"/>
        <w:tabs>
          <w:tab w:leader="none" w:pos="9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million increase in expenses for personnel related costs and stock-based compensation, primarily driven by increased headcount; offset by</w:t>
      </w:r>
    </w:p>
    <w:p>
      <w:pPr>
        <w:spacing w:after="0" w:line="128" w:lineRule="exact"/>
        <w:rPr>
          <w:rFonts w:ascii="Times New Roman" w:cs="Times New Roman" w:eastAsia="Times New Roman" w:hAnsi="Times New Roman"/>
          <w:sz w:val="17"/>
          <w:szCs w:val="17"/>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decrease in research and development expenses largely driven by decreased contractual research organization costs.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were $24.2 million for the year ended December 31, 2023, compared to $25.1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decrease of $0.9 million was primarily due to the following:</w:t>
      </w:r>
    </w:p>
    <w:p>
      <w:pPr>
        <w:spacing w:after="0" w:line="98" w:lineRule="exact"/>
        <w:rPr>
          <w:sz w:val="20"/>
          <w:szCs w:val="20"/>
          <w:color w:val="auto"/>
        </w:rPr>
      </w:pPr>
    </w:p>
    <w:p>
      <w:pPr>
        <w:ind w:left="940" w:right="260" w:hanging="288"/>
        <w:spacing w:after="0" w:line="281" w:lineRule="auto"/>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director and officer insurance fees and a $0.8 million decrease in facility related costs due to the expiration of three leases; offset by</w:t>
      </w:r>
    </w:p>
    <w:p>
      <w:pPr>
        <w:spacing w:after="0" w:line="54"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increase in personnel costs driven by an increase in stock compensation and a $0.6 million increase in general and administrative consulting costs.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jc w:val="both"/>
        <w:ind w:right="120" w:firstLine="644"/>
        <w:spacing w:after="0" w:line="260"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$11.2 million for the year ended December 31, 2023, compared to $3.7 million for the year ended December 31, 2022. The increase of $7.5 million in 2023 is driven by increased interest rates from cash investments in marketable securities and U.S. treasuries.</w:t>
      </w:r>
    </w:p>
    <w:p>
      <w:pPr>
        <w:spacing w:after="0" w:line="28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8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(70,591 )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2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266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228,562</w:t>
            </w: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243,549</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(14,987 )</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(39,597 )</w:t>
            </w:r>
          </w:p>
        </w:tc>
        <w:tc>
          <w:tcPr>
            <w:tcW w:w="0" w:type="dxa"/>
            <w:vAlign w:val="bottom"/>
          </w:tcPr>
          <w:p>
            <w:pPr>
              <w:spacing w:after="0"/>
              <w:rPr>
                <w:sz w:val="1"/>
                <w:szCs w:val="1"/>
                <w:color w:val="auto"/>
              </w:rPr>
            </w:pPr>
          </w:p>
        </w:tc>
      </w:tr>
      <w:tr>
        <w:trPr>
          <w:trHeight w:val="247"/>
        </w:trPr>
        <w:tc>
          <w:tcPr>
            <w:tcW w:w="4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26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193,380</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236,174</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(42,794 )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0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0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-1874520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-1857375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-1874520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-1857375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-1857375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-1232535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-1232535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9" w:name="page100"/>
    <w:bookmarkEnd w:id="99"/>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Since our inception, we have not generated any revenue from any product sales or any other sources and have incurred significant operating losses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negative cash flows from our operations. We have not yet commercialized any of our product candidates and we do not expect to generate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sales of any product candidates for several years, if at all. As of December 31, 2023, we had cash, cash equivalents, and marketable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$228.6 million and an accumulated deficit of $310.0 million. We have financed our operations primarily through issuances of our convertible preferred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July 2020, we sold an aggregate of 5,321,864 shares of our Series D convertible preferred stock to accredited investors, generating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$70.0 million. In September 2020, we completed an IPO of 13,529,750 shares of our common stock, which includes the exercise in full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of their option to purchase 1,764,750 additional shares of common stock, at a public offering price of $18.00 per share for aggregate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$243.5 million. We received $223.2 million in net proceeds after deducting underwriting discounts and commissions and other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payable by us.</w:t>
      </w:r>
    </w:p>
    <w:p>
      <w:pPr>
        <w:spacing w:after="0" w:line="247"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have a shelf registration statement on Form S-3 on file with the SEC, which registers the offering, issuance, and sale of up to $200 million of various equity and debt securities and up to $150 million of common stock pursuant to our ATM Program. During the year ended December 31, 2023, we sold 5,149,446 shares of common stock under the ATM Program at a weighted average price of $6.97 per share for $35.1 million in proceeds, net of fees. As of December 31, 2023, we have approximately $113.8 million remaining in gross proceeds available for future issuances of common stock under the ATM Program.</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04" w:lineRule="exact"/>
        <w:rPr>
          <w:sz w:val="20"/>
          <w:szCs w:val="20"/>
          <w:color w:val="auto"/>
        </w:rPr>
      </w:pPr>
    </w:p>
    <w:p>
      <w:pPr>
        <w:ind w:right="200" w:firstLine="644"/>
        <w:spacing w:after="0" w:line="260"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1 Research Way in Princeton, New Jersey. That lease term extends through 2032, has a five-year extension option. Payments under this lease will total $19.9 million through May 2032. Amounts related to future lease payments under the 1 Research Way lease as of December 31, 2023, totaled $15.5 million, with $1.6 million to be paid within the next 12 months.</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On January 18, 2024, we announced a restructuring plan involving the reduction of our workforce by approximately 30% of our employees. We expect the reduction in workforce to be substantially completed by June 30, 2024, and fully completed by the end of the third quarter of 2024. As announced, we are taking these steps in order to streamline operations, reduce costs and preserve capital as we advance our lead candidate, PC14586, into late-stage development.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1"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$310.0 million through December 31, 2023. We expect to incur substantial additional losses in the future as we expand our research and development activities.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192"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Our cash operating expenditures were $55.7 million in 2023 and $63.8 million in 2022. Based on our research and development plans, we expect that our cash balances as of December 31, 2023 will be sufficient to fund our operations at least into the second half of 2026.</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6" w:lineRule="exact"/>
        <w:rPr>
          <w:rFonts w:ascii="Times New Roman" w:cs="Times New Roman" w:eastAsia="Times New Roman" w:hAnsi="Times New Roman"/>
          <w:sz w:val="18"/>
          <w:szCs w:val="18"/>
          <w:color w:val="auto"/>
        </w:rPr>
      </w:pPr>
    </w:p>
    <w:p>
      <w:pPr>
        <w:ind w:left="940" w:right="760" w:hanging="288"/>
        <w:spacing w:after="0" w:line="281" w:lineRule="auto"/>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implementing our announced reduction in force and related reorganization; and</w:t>
      </w:r>
    </w:p>
    <w:p>
      <w:pPr>
        <w:spacing w:after="0" w:line="116" w:lineRule="exact"/>
        <w:rPr>
          <w:rFonts w:ascii="Times New Roman" w:cs="Times New Roman" w:eastAsia="Times New Roman" w:hAnsi="Times New Roman"/>
          <w:sz w:val="18"/>
          <w:szCs w:val="18"/>
          <w:color w:val="auto"/>
        </w:rPr>
      </w:pPr>
    </w:p>
    <w:p>
      <w:pPr>
        <w:ind w:left="940" w:right="920" w:hanging="288"/>
        <w:spacing w:after="0" w:line="281" w:lineRule="auto"/>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163"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(55,657 )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(63,760 )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(46,571 )</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(50,545 )</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(1,368 )</w:t>
            </w: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(143,584 )</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FF0FC"/>
          </w:tcPr>
          <w:p>
            <w:pPr>
              <w:spacing w:after="0"/>
              <w:rPr>
                <w:sz w:val="21"/>
                <w:szCs w:val="2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(70,591 )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(64,170 )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(188,133 )</w:t>
            </w:r>
          </w:p>
        </w:tc>
      </w:tr>
      <w:tr>
        <w:trPr>
          <w:trHeight w:val="848"/>
        </w:trPr>
        <w:tc>
          <w:tcPr>
            <w:tcW w:w="532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jc w:val="right"/>
              <w:ind w:right="117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5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-1069975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-1052830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-1069975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-1052830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$55.7 million, which consisted primarily of net loss of $69.0 million decreased by non-cash charges of $7.9 million and a net change of $5.4 million in our net operating assets and liabilities. The non-cash charges primarily consisted of stock-based compensation of $12.4 million and depreciation of $1.3 million, partially offset by non-cash lease income of $0.4 million and accretion of premiums on marketable securities of $5.4 million. The change in our net operating assets and liabilities was primarily due to an increase in operating lease liabilities and other assets and an increase in accrued expenses.</w:t>
      </w:r>
    </w:p>
    <w:p>
      <w:pPr>
        <w:spacing w:after="0" w:line="222" w:lineRule="exact"/>
        <w:rPr>
          <w:sz w:val="20"/>
          <w:szCs w:val="20"/>
          <w:color w:val="auto"/>
        </w:rPr>
      </w:pPr>
    </w:p>
    <w:p>
      <w:pPr>
        <w:ind w:right="380" w:firstLine="64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$63.8 million, which consisted primarily of net loss of $73.3 million decreased by non-cash charges of $10.1 million and a net change of $0.6 million in our net operating assets. The non-cash charges primarily consisted of stock-based compensation of $10.2 million, depreciation of $0.3 million, and non-cash lease expense of $0.3 million, partially offset by changes in premiums on marketable securities of $0.6 million. The change in our net operating assets and liabilities was primarily due to an increase in prepaid expenses and other assets, an decrease in accrued expenses, and a decrease in outstanding payables.</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40" w:firstLine="644"/>
        <w:spacing w:after="0" w:line="265" w:lineRule="auto"/>
        <w:rPr>
          <w:sz w:val="20"/>
          <w:szCs w:val="20"/>
          <w:color w:val="auto"/>
        </w:rPr>
      </w:pPr>
      <w:r>
        <w:rPr>
          <w:rFonts w:ascii="Times New Roman" w:cs="Times New Roman" w:eastAsia="Times New Roman" w:hAnsi="Times New Roman"/>
          <w:sz w:val="18"/>
          <w:szCs w:val="18"/>
          <w:color w:val="auto"/>
        </w:rPr>
        <w:t>Our investing activities used $50.5 million of cash during the year ended December 31, 2023, which consisted primarily of purchases of marketable securities of $220.5 million, along with purchase of property and equipment of $1.0 million, partially offset by maturities of marketable securities of $171.0 million.</w:t>
      </w:r>
    </w:p>
    <w:p>
      <w:pPr>
        <w:spacing w:after="0" w:line="204" w:lineRule="exact"/>
        <w:rPr>
          <w:sz w:val="20"/>
          <w:szCs w:val="20"/>
          <w:color w:val="auto"/>
        </w:rPr>
      </w:pPr>
    </w:p>
    <w:p>
      <w:pPr>
        <w:jc w:val="both"/>
        <w:ind w:right="20" w:firstLine="644"/>
        <w:spacing w:after="0" w:line="265" w:lineRule="auto"/>
        <w:rPr>
          <w:sz w:val="20"/>
          <w:szCs w:val="20"/>
          <w:color w:val="auto"/>
        </w:rPr>
      </w:pPr>
      <w:r>
        <w:rPr>
          <w:rFonts w:ascii="Times New Roman" w:cs="Times New Roman" w:eastAsia="Times New Roman" w:hAnsi="Times New Roman"/>
          <w:sz w:val="18"/>
          <w:szCs w:val="18"/>
          <w:color w:val="auto"/>
        </w:rPr>
        <w:t>Our investing activities used $1.4 million of cash during the year ended December 31, 2022, which consisted primarily of purchases of marketable securities of $229.2 million, along with purchase of property and equipment of $8.0 million, partially offset by maturities of marketable securities of $235.8 million.</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34" w:lineRule="exact"/>
        <w:rPr>
          <w:sz w:val="20"/>
          <w:szCs w:val="20"/>
          <w:color w:val="auto"/>
        </w:rPr>
      </w:pPr>
    </w:p>
    <w:p>
      <w:pPr>
        <w:ind w:right="80" w:firstLine="644"/>
        <w:spacing w:after="0" w:line="265" w:lineRule="auto"/>
        <w:rPr>
          <w:sz w:val="20"/>
          <w:szCs w:val="20"/>
          <w:color w:val="auto"/>
        </w:rPr>
      </w:pPr>
      <w:r>
        <w:rPr>
          <w:rFonts w:ascii="Times New Roman" w:cs="Times New Roman" w:eastAsia="Times New Roman" w:hAnsi="Times New Roman"/>
          <w:sz w:val="18"/>
          <w:szCs w:val="18"/>
          <w:color w:val="auto"/>
        </w:rPr>
        <w:t>Our financing activities provided $35.6 million of cash during the year ended December 31, 2023. This consisted of $35.1 million of common stock issued under our ATM Program, net of issuance costs, and $0.5 million of proceeds from the exercise of stock options and issuance of common stock under the 2020 ESPP.</w:t>
      </w:r>
    </w:p>
    <w:p>
      <w:pPr>
        <w:spacing w:after="0" w:line="218" w:lineRule="exact"/>
        <w:rPr>
          <w:sz w:val="20"/>
          <w:szCs w:val="20"/>
          <w:color w:val="auto"/>
        </w:rPr>
      </w:pPr>
    </w:p>
    <w:p>
      <w:pPr>
        <w:ind w:right="420" w:firstLine="644"/>
        <w:spacing w:after="0" w:line="281" w:lineRule="auto"/>
        <w:rPr>
          <w:sz w:val="20"/>
          <w:szCs w:val="20"/>
          <w:color w:val="auto"/>
        </w:rPr>
      </w:pPr>
      <w:r>
        <w:rPr>
          <w:rFonts w:ascii="Times New Roman" w:cs="Times New Roman" w:eastAsia="Times New Roman" w:hAnsi="Times New Roman"/>
          <w:sz w:val="18"/>
          <w:szCs w:val="18"/>
          <w:color w:val="auto"/>
        </w:rPr>
        <w:t>Our financing activities provided $1.0 million of cash during the year ended December 31, 2022, which consisted primarily of common stock issued under the employee stock purchase plan and proceeds from the exercise of stock options.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requires us to make estimates and judgments that affect the amounts reported in those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2"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The following summary should be read in conjunction with Note 2 of the notes to our audited consolidated financial statements for the year ended December 31, 2023 included elsewhere in this Annual Report on Form 10-K.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18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1" w:lineRule="exact"/>
        <w:rPr>
          <w:sz w:val="20"/>
          <w:szCs w:val="20"/>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audited consolidated financial statements for the year ended December 31, 2023 included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Reserved.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Ernst &amp; Young LLP, Independent Registered Public Accounting Firm </w:t>
            </w:r>
            <w:r>
              <w:rPr>
                <w:rFonts w:ascii="Times New Roman" w:cs="Times New Roman" w:eastAsia="Times New Roman" w:hAnsi="Times New Roman"/>
                <w:sz w:val="18"/>
                <w:szCs w:val="18"/>
                <w:color w:val="000000"/>
              </w:rPr>
              <w:t>(PCAOB ID: 42)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31"/>
        </w:trPr>
        <w:tc>
          <w:tcPr>
            <w:tcW w:w="20" w:type="dxa"/>
            <w:vAlign w:val="bottom"/>
          </w:tcPr>
          <w:p>
            <w:pPr>
              <w:spacing w:after="0"/>
              <w:rPr>
                <w:sz w:val="24"/>
                <w:szCs w:val="24"/>
                <w:color w:val="auto"/>
              </w:rPr>
            </w:pPr>
          </w:p>
        </w:tc>
        <w:tc>
          <w:tcPr>
            <w:tcW w:w="5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414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2022, and 2021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31"/>
        </w:trPr>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 for the Years Ended December 31, 2023, 2022, and 2021</w:t>
            </w:r>
          </w:p>
        </w:tc>
        <w:tc>
          <w:tcPr>
            <w:tcW w:w="4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31"/>
        </w:trPr>
        <w:tc>
          <w:tcPr>
            <w:tcW w:w="20" w:type="dxa"/>
            <w:vAlign w:val="bottom"/>
          </w:tcPr>
          <w:p>
            <w:pPr>
              <w:spacing w:after="0"/>
              <w:rPr>
                <w:sz w:val="24"/>
                <w:szCs w:val="24"/>
                <w:color w:val="auto"/>
              </w:rPr>
            </w:pPr>
          </w:p>
        </w:tc>
        <w:tc>
          <w:tcPr>
            <w:tcW w:w="7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286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31"/>
        </w:trPr>
        <w:tc>
          <w:tcPr>
            <w:tcW w:w="20" w:type="dxa"/>
            <w:vAlign w:val="bottom"/>
          </w:tcPr>
          <w:p>
            <w:pPr>
              <w:spacing w:after="0"/>
              <w:rPr>
                <w:sz w:val="24"/>
                <w:szCs w:val="24"/>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897"/>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86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4" w:name="page105"/>
    <w:bookmarkEnd w:id="10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PMV Pharmaceuticals, Inc.</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PMV Pharmaceuticals, Inc. (the Company) as of December 31, 2023 and 2022, the related consolidated statements of operations and comprehensive loss,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Research and Development Expenses</w:t>
      </w:r>
    </w:p>
    <w:p>
      <w:pPr>
        <w:sectPr>
          <w:pgSz w:w="11900" w:h="16838" w:orient="portrait"/>
          <w:cols w:equalWidth="0" w:num="1">
            <w:col w:w="11200"/>
          </w:cols>
          <w:pgMar w:left="320" w:top="1412" w:right="379" w:bottom="1440" w:gutter="0" w:footer="0" w:header="0"/>
        </w:sectPr>
      </w:pPr>
    </w:p>
    <w:p>
      <w:pPr>
        <w:spacing w:after="0" w:line="38"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As disclosed in Note 2 to the consolidated financial statements, the Company is required to estimate research and development expenses from its obligations under contracts and purchase orders with vendors, clinical research organizations, clinical manufacturing organizations and others and for clinical site agreements at each balance sheet date. The Company recorded accrued expenses for the research and development expenses, which are included in accrued expenses on the December 31, 2023 consolidated balance sheet, and prepaid research and development expenses, which are included in prepaid expenses and other current assets on the December 31, 2023 consolidated balance sheet. The amounts recorded for accrued research and</w:t>
      </w:r>
    </w:p>
    <w:p>
      <w:pPr>
        <w:spacing w:after="0" w:line="200" w:lineRule="exact"/>
        <w:rPr>
          <w:sz w:val="20"/>
          <w:szCs w:val="20"/>
          <w:color w:val="auto"/>
        </w:rPr>
      </w:pPr>
    </w:p>
    <w:p>
      <w:pPr>
        <w:sectPr>
          <w:pgSz w:w="11900" w:h="16838" w:orient="portrait"/>
          <w:cols w:equalWidth="0" w:num="2">
            <w:col w:w="1320" w:space="720"/>
            <w:col w:w="9160"/>
          </w:cols>
          <w:pgMar w:left="320" w:top="141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type w:val="continuous"/>
        </w:sectPr>
      </w:pPr>
    </w:p>
    <w:bookmarkStart w:id="105" w:name="page106"/>
    <w:bookmarkEnd w:id="105"/>
    <w:p>
      <w:pPr>
        <w:jc w:val="both"/>
        <w:ind w:left="2040" w:right="200"/>
        <w:spacing w:after="0" w:line="265" w:lineRule="auto"/>
        <w:rPr>
          <w:sz w:val="20"/>
          <w:szCs w:val="20"/>
          <w:color w:val="auto"/>
        </w:rPr>
      </w:pPr>
      <w:r>
        <w:rPr>
          <w:rFonts w:ascii="Times New Roman" w:cs="Times New Roman" w:eastAsia="Times New Roman" w:hAnsi="Times New Roman"/>
          <w:sz w:val="18"/>
          <w:szCs w:val="18"/>
          <w:color w:val="auto"/>
        </w:rPr>
        <w:t>development expenses and for the related prepaid expenses, within the aforementioned balance sheet captions, represent the Company’s estimate of the unpaid and prepaid research and development expenses based on the progress of the research and development services compared to the amounts paid for those services through December 31, 2023.</w:t>
      </w:r>
    </w:p>
    <w:p>
      <w:pPr>
        <w:spacing w:after="0" w:line="177" w:lineRule="exact"/>
        <w:rPr>
          <w:sz w:val="20"/>
          <w:szCs w:val="20"/>
          <w:color w:val="auto"/>
        </w:rPr>
      </w:pPr>
    </w:p>
    <w:p>
      <w:pPr>
        <w:ind w:left="2040"/>
        <w:spacing w:after="0" w:line="260" w:lineRule="auto"/>
        <w:rPr>
          <w:sz w:val="20"/>
          <w:szCs w:val="20"/>
          <w:color w:val="auto"/>
        </w:rPr>
      </w:pPr>
      <w:r>
        <w:rPr>
          <w:rFonts w:ascii="Times New Roman" w:cs="Times New Roman" w:eastAsia="Times New Roman" w:hAnsi="Times New Roman"/>
          <w:sz w:val="18"/>
          <w:szCs w:val="18"/>
          <w:color w:val="auto"/>
        </w:rPr>
        <w:t>Auditing the Company’s accrued research and development expenses and related prepaid expenses involved a high degree of subjectivity due to the estimation required by management in determining the progress to completion of services that have been performed that will be invoiced by the vendors, clinical research organizations and consultants and under clinical site agreements subsequent to the date that the consolidated financial statements are issued.</w:t>
      </w:r>
    </w:p>
    <w:p>
      <w:pPr>
        <w:spacing w:after="0" w:line="234" w:lineRule="exact"/>
        <w:rPr>
          <w:sz w:val="20"/>
          <w:szCs w:val="20"/>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research and development accruals and prepaid expenses, our audit procedures included, among others, reviewing a</w:t>
      </w:r>
    </w:p>
    <w:p>
      <w:pPr>
        <w:spacing w:after="0" w:line="29" w:lineRule="exact"/>
        <w:rPr>
          <w:sz w:val="20"/>
          <w:szCs w:val="20"/>
          <w:color w:val="auto"/>
        </w:rPr>
      </w:pPr>
    </w:p>
    <w:p>
      <w:pPr>
        <w:ind w:left="2040" w:right="80" w:hanging="2008"/>
        <w:spacing w:after="0" w:line="251" w:lineRule="auto"/>
        <w:tabs>
          <w:tab w:leader="none" w:pos="20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sample of agreements with the service providers to corroborate key financial and contractual terms, and testing the accuracy and completeness of the underlying data used in the accrual and prepaid expense computations. We also evaluated management’s estimates of the progress of a sample of research and development activities by making inquiries of the Company’s operations personnel that oversee the external research and development activities and obtaining information directly from a sample of service providers.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9" w:right="37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20"/>
                <w:szCs w:val="20"/>
                <w:color w:val="auto"/>
              </w:rPr>
            </w:pPr>
          </w:p>
        </w:tc>
      </w:tr>
      <w:tr>
        <w:trPr>
          <w:trHeight w:val="240"/>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100" w:type="dxa"/>
            <w:vAlign w:val="bottom"/>
            <w:shd w:val="clear" w:color="auto" w:fill="CFF0FC"/>
          </w:tcPr>
          <w:p>
            <w:pPr>
              <w:spacing w:after="0"/>
              <w:rPr>
                <w:sz w:val="20"/>
                <w:szCs w:val="20"/>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20"/>
                <w:szCs w:val="20"/>
                <w:color w:val="auto"/>
              </w:rPr>
            </w:pPr>
          </w:p>
        </w:tc>
      </w:tr>
      <w:tr>
        <w:trPr>
          <w:trHeight w:val="243"/>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20"/>
                <w:szCs w:val="20"/>
                <w:color w:val="auto"/>
              </w:rPr>
            </w:pPr>
          </w:p>
        </w:tc>
      </w:tr>
      <w:tr>
        <w:trPr>
          <w:trHeight w:val="243"/>
        </w:trPr>
        <w:tc>
          <w:tcPr>
            <w:tcW w:w="7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Pr>
          <w:p>
            <w:pPr>
              <w:spacing w:after="0"/>
              <w:rPr>
                <w:sz w:val="20"/>
                <w:szCs w:val="20"/>
                <w:color w:val="auto"/>
              </w:rPr>
            </w:pPr>
          </w:p>
        </w:tc>
      </w:tr>
      <w:tr>
        <w:trPr>
          <w:trHeight w:val="243"/>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100" w:type="dxa"/>
            <w:vAlign w:val="bottom"/>
          </w:tcPr>
          <w:p>
            <w:pPr>
              <w:spacing w:after="0"/>
              <w:rPr>
                <w:sz w:val="20"/>
                <w:szCs w:val="20"/>
                <w:color w:val="auto"/>
              </w:rPr>
            </w:pPr>
          </w:p>
        </w:tc>
      </w:tr>
      <w:tr>
        <w:trPr>
          <w:trHeight w:val="240"/>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and December 31, 2022. No shares issued or</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December 31, 2022.</w:t>
            </w:r>
          </w:p>
        </w:tc>
        <w:tc>
          <w:tcPr>
            <w:tcW w:w="2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$0.00001 par value, 1,000,000,000 shares authorized;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51,445,862 and 45,771,332 shares issued and outstanding at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2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535,468</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487,516</w:t>
            </w:r>
          </w:p>
        </w:tc>
        <w:tc>
          <w:tcPr>
            <w:tcW w:w="100" w:type="dxa"/>
            <w:vAlign w:val="bottom"/>
            <w:shd w:val="clear" w:color="auto" w:fill="CFF0FC"/>
          </w:tcPr>
          <w:p>
            <w:pPr>
              <w:spacing w:after="0"/>
              <w:rPr>
                <w:sz w:val="21"/>
                <w:szCs w:val="21"/>
                <w:color w:val="auto"/>
              </w:rPr>
            </w:pPr>
          </w:p>
        </w:tc>
      </w:tr>
      <w:tr>
        <w:trPr>
          <w:trHeight w:val="238"/>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(310,003 )</w:t>
            </w:r>
          </w:p>
        </w:tc>
        <w:tc>
          <w:tcPr>
            <w:tcW w:w="2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(241,043 )</w:t>
            </w:r>
          </w:p>
        </w:tc>
      </w:tr>
      <w:tr>
        <w:trPr>
          <w:trHeight w:val="243"/>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r>
      <w:tr>
        <w:trPr>
          <w:trHeight w:val="236"/>
        </w:trPr>
        <w:tc>
          <w:tcPr>
            <w:tcW w:w="79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246,028</w:t>
            </w:r>
          </w:p>
        </w:tc>
        <w:tc>
          <w:tcPr>
            <w:tcW w:w="100" w:type="dxa"/>
            <w:vAlign w:val="bottom"/>
            <w:tcBorders>
              <w:top w:val="single" w:sz="8" w:color="CFF0FC"/>
            </w:tcBorders>
          </w:tcPr>
          <w:p>
            <w:pPr>
              <w:spacing w:after="0"/>
              <w:rPr>
                <w:sz w:val="20"/>
                <w:szCs w:val="20"/>
                <w:color w:val="auto"/>
              </w:rPr>
            </w:pPr>
          </w:p>
        </w:tc>
      </w:tr>
      <w:tr>
        <w:trPr>
          <w:trHeight w:val="276"/>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-3424555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-2465070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-2148840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-350520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13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106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100" w:type="dxa"/>
            <w:vAlign w:val="bottom"/>
          </w:tcPr>
          <w:p>
            <w:pPr>
              <w:spacing w:after="0"/>
              <w:rPr>
                <w:sz w:val="20"/>
                <w:szCs w:val="20"/>
                <w:color w:val="auto"/>
              </w:rPr>
            </w:pPr>
          </w:p>
        </w:tc>
      </w:tr>
      <w:tr>
        <w:trPr>
          <w:trHeight w:val="243"/>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100" w:type="dxa"/>
            <w:vAlign w:val="bottom"/>
          </w:tcPr>
          <w:p>
            <w:pPr>
              <w:spacing w:after="0"/>
              <w:rPr>
                <w:sz w:val="20"/>
                <w:szCs w:val="20"/>
                <w:color w:val="auto"/>
              </w:rPr>
            </w:pPr>
          </w:p>
        </w:tc>
      </w:tr>
      <w:tr>
        <w:trPr>
          <w:trHeight w:val="240"/>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(80,132 )</w:t>
            </w: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(77,040 )</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(58,293 )</w:t>
            </w:r>
          </w:p>
        </w:tc>
      </w:t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21"/>
                <w:szCs w:val="21"/>
                <w:color w:val="auto"/>
              </w:rPr>
            </w:pPr>
          </w:p>
        </w:tc>
      </w:tr>
      <w:tr>
        <w:trPr>
          <w:trHeight w:val="238"/>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36"/>
        </w:trPr>
        <w:tc>
          <w:tcPr>
            <w:tcW w:w="69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(68,958 )</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(73,326 )</w:t>
            </w:r>
          </w:p>
        </w:tc>
        <w:tc>
          <w:tcPr>
            <w:tcW w:w="1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(57,823 )</w:t>
            </w:r>
          </w:p>
        </w:tc>
      </w:tr>
      <w:tr>
        <w:trPr>
          <w:trHeight w:val="24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(68,960 )</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(73,317 )</w:t>
            </w:r>
          </w:p>
        </w:tc>
        <w:tc>
          <w:tcPr>
            <w:tcW w:w="1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(57,846 )</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 for sale investments, net of tax</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(367 )</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41"/>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r>
      <w:tr>
        <w:trPr>
          <w:trHeight w:val="23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(367 )</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0"/>
        </w:trPr>
        <w:tc>
          <w:tcPr>
            <w:tcW w:w="69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(68,291 )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(73,684 )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(57,924 )</w:t>
            </w:r>
          </w:p>
        </w:tc>
      </w:tr>
      <w:tr>
        <w:trPr>
          <w:trHeight w:val="20"/>
        </w:trPr>
        <w:tc>
          <w:tcPr>
            <w:tcW w:w="6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34"/>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48,014,645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45,594,824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45,137,656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-2391410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-2391410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-1440815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-1440815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-1123950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-1123950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-1123950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-490855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-490855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1"/>
        </w:trPr>
        <w:tc>
          <w:tcPr>
            <w:tcW w:w="3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338"/>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10"/>
                <w:szCs w:val="10"/>
                <w:color w:val="auto"/>
              </w:rPr>
            </w:pPr>
          </w:p>
        </w:tc>
        <w:tc>
          <w:tcPr>
            <w:tcW w:w="1180" w:type="dxa"/>
            <w:vAlign w:val="bottom"/>
            <w:gridSpan w:val="3"/>
          </w:tcPr>
          <w:p>
            <w:pPr>
              <w:jc w:val="center"/>
              <w:ind w:right="3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46"/>
        </w:trPr>
        <w:tc>
          <w:tcPr>
            <w:tcW w:w="3140" w:type="dxa"/>
            <w:vAlign w:val="bottom"/>
          </w:tcPr>
          <w:p>
            <w:pPr>
              <w:spacing w:after="0"/>
              <w:rPr>
                <w:sz w:val="12"/>
                <w:szCs w:val="12"/>
                <w:color w:val="auto"/>
              </w:rPr>
            </w:pPr>
          </w:p>
        </w:tc>
        <w:tc>
          <w:tcPr>
            <w:tcW w:w="174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60" w:type="dxa"/>
            <w:vAlign w:val="bottom"/>
          </w:tcPr>
          <w:p>
            <w:pPr>
              <w:spacing w:after="0"/>
              <w:rPr>
                <w:sz w:val="12"/>
                <w:szCs w:val="12"/>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r>
      <w:tr>
        <w:trPr>
          <w:trHeight w:val="163"/>
        </w:trPr>
        <w:tc>
          <w:tcPr>
            <w:tcW w:w="314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3140" w:type="dxa"/>
            <w:vAlign w:val="bottom"/>
            <w:tcBorders>
              <w:top w:val="single" w:sz="8" w:color="CFF0FC"/>
            </w:tcBorders>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at December 31, 2020</w:t>
            </w:r>
          </w:p>
        </w:tc>
        <w:tc>
          <w:tcPr>
            <w:tcW w:w="12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44,777,818</w:t>
            </w:r>
          </w:p>
        </w:tc>
        <w:tc>
          <w:tcPr>
            <w:tcW w:w="540" w:type="dxa"/>
            <w:vAlign w:val="bottom"/>
            <w:tcBorders>
              <w:top w:val="single" w:sz="8" w:color="CFF0FC"/>
            </w:tcBorders>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469,001</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(109,880</w:t>
            </w: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359,121</w:t>
            </w:r>
          </w:p>
        </w:tc>
        <w:tc>
          <w:tcPr>
            <w:tcW w:w="100" w:type="dxa"/>
            <w:vAlign w:val="bottom"/>
            <w:tcBorders>
              <w:top w:val="single" w:sz="8" w:color="CFF0FC"/>
            </w:tcBorders>
            <w:shd w:val="clear" w:color="auto" w:fill="CFF0FC"/>
          </w:tcPr>
          <w:p>
            <w:pPr>
              <w:spacing w:after="0"/>
              <w:rPr>
                <w:sz w:val="13"/>
                <w:szCs w:val="13"/>
                <w:color w:val="auto"/>
              </w:rPr>
            </w:pPr>
          </w:p>
        </w:tc>
      </w:tr>
      <w:tr>
        <w:trPr>
          <w:trHeight w:val="124"/>
        </w:trPr>
        <w:tc>
          <w:tcPr>
            <w:tcW w:w="314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color w:val="auto"/>
              </w:rPr>
              <w:t>Exercise of stock options and common stock issued under</w:t>
            </w:r>
          </w:p>
        </w:tc>
        <w:tc>
          <w:tcPr>
            <w:tcW w:w="12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2020 ESPP</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655,866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4"/>
                <w:szCs w:val="14"/>
                <w:color w:val="auto"/>
              </w:rPr>
            </w:pPr>
          </w:p>
        </w:tc>
      </w:tr>
      <w:tr>
        <w:trPr>
          <w:trHeight w:val="16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00" w:type="dxa"/>
            <w:vAlign w:val="bottom"/>
            <w:shd w:val="clear" w:color="auto" w:fill="CFF0FC"/>
          </w:tcPr>
          <w:p>
            <w:pPr>
              <w:spacing w:after="0"/>
              <w:rPr>
                <w:sz w:val="14"/>
                <w:szCs w:val="14"/>
                <w:color w:val="auto"/>
              </w:rPr>
            </w:pPr>
          </w:p>
        </w:tc>
      </w:tr>
      <w:tr>
        <w:trPr>
          <w:trHeight w:val="162"/>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(57,846 )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(57,846 )</w:t>
            </w:r>
          </w:p>
        </w:tc>
      </w:tr>
      <w:tr>
        <w:trPr>
          <w:trHeight w:val="16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(78 )</w:t>
            </w:r>
          </w:p>
        </w:tc>
        <w:tc>
          <w:tcPr>
            <w:tcW w:w="16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(78 )</w:t>
            </w:r>
          </w:p>
        </w:tc>
      </w:tr>
      <w:tr>
        <w:trPr>
          <w:trHeight w:val="20"/>
        </w:trPr>
        <w:tc>
          <w:tcPr>
            <w:tcW w:w="31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45,433,684</w:t>
            </w:r>
          </w:p>
        </w:tc>
        <w:tc>
          <w:tcPr>
            <w:tcW w:w="260" w:type="dxa"/>
            <w:vAlign w:val="bottom"/>
          </w:tcPr>
          <w:p>
            <w:pPr>
              <w:spacing w:after="0"/>
              <w:rPr>
                <w:sz w:val="13"/>
                <w:szCs w:val="13"/>
                <w:color w:val="auto"/>
              </w:rPr>
            </w:pPr>
          </w:p>
        </w:tc>
        <w:tc>
          <w:tcPr>
            <w:tcW w:w="280" w:type="dxa"/>
            <w:vAlign w:val="bottom"/>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476,363</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(167,726 )</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308,559</w:t>
            </w:r>
          </w:p>
        </w:tc>
        <w:tc>
          <w:tcPr>
            <w:tcW w:w="100" w:type="dxa"/>
            <w:vAlign w:val="bottom"/>
          </w:tcPr>
          <w:p>
            <w:pPr>
              <w:spacing w:after="0"/>
              <w:rPr>
                <w:sz w:val="13"/>
                <w:szCs w:val="13"/>
                <w:color w:val="auto"/>
              </w:rPr>
            </w:pPr>
          </w:p>
        </w:tc>
      </w:tr>
      <w:tr>
        <w:trPr>
          <w:trHeight w:val="124"/>
        </w:trPr>
        <w:tc>
          <w:tcPr>
            <w:tcW w:w="31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Exercise of stock options and common stock issued under</w:t>
            </w:r>
          </w:p>
        </w:tc>
        <w:tc>
          <w:tcPr>
            <w:tcW w:w="120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the 2020 ESPP</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337,648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shd w:val="clear" w:color="auto" w:fill="CFF0FC"/>
          </w:tcPr>
          <w:p>
            <w:pPr>
              <w:spacing w:after="0"/>
              <w:rPr>
                <w:sz w:val="14"/>
                <w:szCs w:val="14"/>
                <w:color w:val="auto"/>
              </w:rPr>
            </w:pPr>
          </w:p>
        </w:tc>
      </w:tr>
      <w:tr>
        <w:trPr>
          <w:trHeight w:val="162"/>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10,195</w:t>
            </w:r>
          </w:p>
        </w:tc>
        <w:tc>
          <w:tcPr>
            <w:tcW w:w="100" w:type="dxa"/>
            <w:vAlign w:val="bottom"/>
          </w:tcPr>
          <w:p>
            <w:pPr>
              <w:spacing w:after="0"/>
              <w:rPr>
                <w:sz w:val="14"/>
                <w:szCs w:val="14"/>
                <w:color w:val="auto"/>
              </w:rPr>
            </w:pPr>
          </w:p>
        </w:tc>
      </w:tr>
      <w:tr>
        <w:trPr>
          <w:trHeight w:val="16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(73,317 )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(73,317 )</w:t>
            </w:r>
          </w:p>
        </w:tc>
      </w:tr>
      <w:tr>
        <w:trPr>
          <w:trHeight w:val="162"/>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(367 )</w:t>
            </w:r>
          </w:p>
        </w:tc>
        <w:tc>
          <w:tcPr>
            <w:tcW w:w="16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(367 )</w:t>
            </w:r>
          </w:p>
        </w:tc>
      </w:tr>
      <w:tr>
        <w:trPr>
          <w:trHeight w:val="20"/>
        </w:trPr>
        <w:tc>
          <w:tcPr>
            <w:tcW w:w="3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45,771,332</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487,516</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(445 )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(241,043 )</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246,028</w:t>
            </w:r>
          </w:p>
        </w:tc>
        <w:tc>
          <w:tcPr>
            <w:tcW w:w="100" w:type="dxa"/>
            <w:vAlign w:val="bottom"/>
            <w:shd w:val="clear" w:color="auto" w:fill="CFF0FC"/>
          </w:tcPr>
          <w:p>
            <w:pPr>
              <w:spacing w:after="0"/>
              <w:rPr>
                <w:sz w:val="13"/>
                <w:szCs w:val="13"/>
                <w:color w:val="auto"/>
              </w:rPr>
            </w:pPr>
          </w:p>
        </w:tc>
      </w:tr>
      <w:tr>
        <w:trPr>
          <w:trHeight w:val="124"/>
        </w:trPr>
        <w:tc>
          <w:tcPr>
            <w:tcW w:w="314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color w:val="auto"/>
              </w:rPr>
              <w:t>Exercise of stock options, common stock issued under the</w:t>
            </w:r>
          </w:p>
        </w:tc>
        <w:tc>
          <w:tcPr>
            <w:tcW w:w="12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2020 ESPP, and release of vested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525,084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tcPr>
          <w:p>
            <w:pPr>
              <w:spacing w:after="0"/>
              <w:rPr>
                <w:sz w:val="14"/>
                <w:szCs w:val="14"/>
                <w:color w:val="auto"/>
              </w:rPr>
            </w:pPr>
          </w:p>
        </w:tc>
      </w:tr>
      <w:tr>
        <w:trPr>
          <w:trHeight w:val="16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net of issuance costs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5,149,446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35,121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35,121</w:t>
            </w:r>
          </w:p>
        </w:tc>
        <w:tc>
          <w:tcPr>
            <w:tcW w:w="100" w:type="dxa"/>
            <w:vAlign w:val="bottom"/>
            <w:shd w:val="clear" w:color="auto" w:fill="CFF0FC"/>
          </w:tcPr>
          <w:p>
            <w:pPr>
              <w:spacing w:after="0"/>
              <w:rPr>
                <w:sz w:val="14"/>
                <w:szCs w:val="14"/>
                <w:color w:val="auto"/>
              </w:rPr>
            </w:pPr>
          </w:p>
        </w:tc>
      </w:tr>
      <w:tr>
        <w:trPr>
          <w:trHeight w:val="162"/>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00" w:type="dxa"/>
            <w:vAlign w:val="bottom"/>
          </w:tcPr>
          <w:p>
            <w:pPr>
              <w:spacing w:after="0"/>
              <w:rPr>
                <w:sz w:val="14"/>
                <w:szCs w:val="14"/>
                <w:color w:val="auto"/>
              </w:rPr>
            </w:pPr>
          </w:p>
        </w:tc>
      </w:tr>
      <w:tr>
        <w:trPr>
          <w:trHeight w:val="162"/>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(68,960 )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(68,960 )</w:t>
            </w:r>
          </w:p>
        </w:tc>
      </w:tr>
      <w:tr>
        <w:trPr>
          <w:trHeight w:val="162"/>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4"/>
                <w:szCs w:val="14"/>
                <w:color w:val="auto"/>
              </w:rPr>
            </w:pPr>
          </w:p>
        </w:tc>
      </w:tr>
      <w:tr>
        <w:trPr>
          <w:trHeight w:val="162"/>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gain</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51,445,862</w:t>
            </w:r>
          </w:p>
        </w:tc>
        <w:tc>
          <w:tcPr>
            <w:tcW w:w="540" w:type="dxa"/>
            <w:vAlign w:val="bottom"/>
            <w:gridSpan w:val="2"/>
          </w:tcPr>
          <w:p>
            <w:pPr>
              <w:jc w:val="right"/>
              <w:ind w:right="16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535,468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(310,003 )</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225,689</w:t>
            </w:r>
          </w:p>
        </w:tc>
        <w:tc>
          <w:tcPr>
            <w:tcW w:w="100" w:type="dxa"/>
            <w:vAlign w:val="bottom"/>
          </w:tcPr>
          <w:p>
            <w:pPr>
              <w:spacing w:after="0"/>
              <w:rPr>
                <w:sz w:val="13"/>
                <w:szCs w:val="13"/>
                <w:color w:val="auto"/>
              </w:rPr>
            </w:pPr>
          </w:p>
        </w:tc>
      </w:tr>
      <w:tr>
        <w:trPr>
          <w:trHeight w:val="20"/>
        </w:trPr>
        <w:tc>
          <w:tcPr>
            <w:tcW w:w="3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-2080260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-2080260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-2204085</wp:posOffset>
            </wp:positionV>
            <wp:extent cx="9398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-2204085</wp:posOffset>
            </wp:positionV>
            <wp:extent cx="9398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-2204085</wp:posOffset>
            </wp:positionV>
            <wp:extent cx="9398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-2204085</wp:posOffset>
            </wp:positionV>
            <wp:extent cx="9398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-1574800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-1574800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-1574800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-1574800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-1574800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-847090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-847090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-847090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-847090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-847090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-136525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-136525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-136525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-136525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-136525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40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140" w:type="dxa"/>
            <w:vAlign w:val="bottom"/>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(68,960 )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(57,846 )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amortization of (premiums) discounts on marketable securities</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(5,386 )</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(628 )</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(370 )</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(92 )</w:t>
            </w: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(1,829 )</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(389 )</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(1,319 )</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(55,657 )</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(63,760 )</w:t>
            </w: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(46,571 )</w:t>
            </w:r>
          </w:p>
        </w:tc>
        <w:tc>
          <w:tcPr>
            <w:tcW w:w="0" w:type="dxa"/>
            <w:vAlign w:val="bottom"/>
          </w:tcPr>
          <w:p>
            <w:pPr>
              <w:spacing w:after="0"/>
              <w:rPr>
                <w:sz w:val="1"/>
                <w:szCs w:val="1"/>
                <w:color w:val="auto"/>
              </w:rPr>
            </w:pP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(962 )</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(7,984 )</w:t>
            </w: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(220,539 )</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(229,199 )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(256,845 )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170,956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235,815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(50,545 )</w:t>
            </w: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(1,368 )</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(143,584 )</w:t>
            </w:r>
          </w:p>
        </w:tc>
        <w:tc>
          <w:tcPr>
            <w:tcW w:w="0" w:type="dxa"/>
            <w:vAlign w:val="bottom"/>
          </w:tcPr>
          <w:p>
            <w:pPr>
              <w:spacing w:after="0"/>
              <w:rPr>
                <w:sz w:val="1"/>
                <w:szCs w:val="1"/>
                <w:color w:val="auto"/>
              </w:rPr>
            </w:pPr>
          </w:p>
        </w:tc>
      </w:tr>
      <w:tr>
        <w:trPr>
          <w:trHeight w:val="238"/>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w:t>
            </w: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under the 2020 ESPP</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(70,591 )</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(64,170 )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(188,133 )</w:t>
            </w: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incentives used for leasehold improvements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-3295650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-3295650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-2345690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-2345690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-1583690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-1583690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-958215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-958215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ind w:left="660" w:right="7960" w:hanging="652"/>
        <w:spacing w:after="0" w:line="377" w:lineRule="auto"/>
        <w:tabs>
          <w:tab w:leader="none" w:pos="241"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Formation and Business of the Company Organization</w:t>
      </w:r>
    </w:p>
    <w:p>
      <w:pPr>
        <w:spacing w:after="0" w:line="1"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One Research Way, Princeton, New Jersey.</w:t>
      </w:r>
    </w:p>
    <w:p>
      <w:pPr>
        <w:spacing w:after="0" w:line="182"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7"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year ended December 31, 2023, the Company incurred a net loss of $68,960 and used $55,657 of cash for operations. As of December 31, 2023, the Company had an accumulated deficit of $310,003. Cash, cash equivalents, and marketable securities were $228,562 as of December 31, 2023.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at least the next 12 months from the date of issuance of these consolidated financial statements.</w:t>
      </w:r>
    </w:p>
    <w:p>
      <w:pPr>
        <w:spacing w:after="0" w:line="290" w:lineRule="exact"/>
        <w:rPr>
          <w:sz w:val="20"/>
          <w:szCs w:val="20"/>
          <w:color w:val="auto"/>
        </w:rPr>
      </w:pPr>
    </w:p>
    <w:p>
      <w:pPr>
        <w:ind w:left="660" w:right="7700" w:hanging="652"/>
        <w:spacing w:after="0" w:line="377" w:lineRule="auto"/>
        <w:tabs>
          <w:tab w:leader="none" w:pos="241"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Summary of Significant Accounting Policies Basis of Presentation</w:t>
      </w:r>
    </w:p>
    <w:p>
      <w:pPr>
        <w:spacing w:after="0" w:line="1"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The audited consolidated financial statements are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77"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the accounts of our wholly owned subsidiary, PMV Pharma Australia Pvt Ltd. All significant intercompany transactions and balances have been eliminated upon consolidation. These consolidated financial statements are presented in United States ("U.S.") Dollars, which is also the functional currency of the Company.</w:t>
      </w:r>
    </w:p>
    <w:p>
      <w:pPr>
        <w:spacing w:after="0" w:line="177"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1" w:name="page112"/>
    <w:bookmarkEnd w:id="111"/>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research and development costs, accrued research and development costs and related prepaid expenses, and the fair values of common stock, convertible preferred stock and stock-based compensation. Actual results could differ materially from those estimates.</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4" w:lineRule="exact"/>
        <w:rPr>
          <w:sz w:val="20"/>
          <w:szCs w:val="20"/>
          <w:color w:val="auto"/>
        </w:rPr>
      </w:pPr>
    </w:p>
    <w:p>
      <w:pPr>
        <w:ind w:left="940" w:right="360" w:hanging="288"/>
        <w:spacing w:after="0" w:line="281"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4" w:lineRule="exact"/>
        <w:rPr>
          <w:rFonts w:ascii="Times New Roman" w:cs="Times New Roman" w:eastAsia="Times New Roman" w:hAnsi="Times New Roman"/>
          <w:sz w:val="18"/>
          <w:szCs w:val="18"/>
          <w:color w:val="auto"/>
        </w:rPr>
      </w:pPr>
    </w:p>
    <w:p>
      <w:pPr>
        <w:ind w:left="940" w:right="240" w:hanging="288"/>
        <w:spacing w:after="0" w:line="281"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4"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163" w:lineRule="exact"/>
        <w:rPr>
          <w:sz w:val="20"/>
          <w:szCs w:val="20"/>
          <w:color w:val="auto"/>
        </w:rPr>
      </w:pPr>
    </w:p>
    <w:p>
      <w:pPr>
        <w:jc w:val="both"/>
        <w:ind w:right="380" w:firstLine="644"/>
        <w:spacing w:after="0" w:line="265"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225"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years ended December 31, 2023, 2022, and 2021, the Company recorded $5,386 of accretion, $628 of accretion and $550 of amortization, respectively.</w:t>
      </w:r>
    </w:p>
    <w:p>
      <w:pPr>
        <w:spacing w:after="0" w:line="187" w:lineRule="exact"/>
        <w:rPr>
          <w:sz w:val="20"/>
          <w:szCs w:val="20"/>
          <w:color w:val="auto"/>
        </w:rPr>
      </w:pPr>
    </w:p>
    <w:p>
      <w:pPr>
        <w:ind w:right="120" w:firstLine="644"/>
        <w:spacing w:after="0" w:line="281" w:lineRule="auto"/>
        <w:rPr>
          <w:sz w:val="20"/>
          <w:szCs w:val="20"/>
          <w:color w:val="auto"/>
        </w:rPr>
      </w:pPr>
      <w:r>
        <w:rPr>
          <w:rFonts w:ascii="Times New Roman" w:cs="Times New Roman" w:eastAsia="Times New Roman" w:hAnsi="Times New Roman"/>
          <w:sz w:val="18"/>
          <w:szCs w:val="18"/>
          <w:color w:val="auto"/>
        </w:rPr>
        <w:t>Restricted cash as of December 31, 2023 included a $822 deposit at the Company’s commercial bank underlying a stand-by letter of credit issued in favor of a landlord (See Note 6) and is classified in current 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 and Accumulated Other Comprehensive Income (Loss)</w:t>
      </w:r>
    </w:p>
    <w:p>
      <w:pPr>
        <w:spacing w:after="0" w:line="121"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Furthermore, the Company has elected the practical expedient to not separate lease and non-lease components by class of underlying asset for its existing leases. The Company’s only existing leases are for office and laboratory space.</w:t>
      </w:r>
    </w:p>
    <w:p>
      <w:pPr>
        <w:spacing w:after="0" w:line="187"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77"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consolidated statements of operations.</w:t>
      </w:r>
    </w:p>
    <w:p>
      <w:pPr>
        <w:spacing w:after="0" w:line="163" w:lineRule="exact"/>
        <w:rPr>
          <w:sz w:val="20"/>
          <w:szCs w:val="20"/>
          <w:color w:val="auto"/>
        </w:rPr>
      </w:pPr>
    </w:p>
    <w:p>
      <w:pPr>
        <w:jc w:val="both"/>
        <w:ind w:right="260" w:firstLine="644"/>
        <w:spacing w:after="0" w:line="288"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59"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0" w:lineRule="exact"/>
        <w:rPr>
          <w:sz w:val="20"/>
          <w:szCs w:val="20"/>
          <w:color w:val="auto"/>
        </w:rPr>
      </w:pPr>
    </w:p>
    <w:p>
      <w:pPr>
        <w:ind w:right="240" w:firstLine="644"/>
        <w:spacing w:after="0" w:line="235"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w:t>
      </w:r>
    </w:p>
    <w:p>
      <w:pPr>
        <w:spacing w:after="0" w:line="200"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All costs associated with research and development are expensed as incurred. 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The Company records accruals for estimated research and development expenses, comprising payments for work performed by third party vendors, clinical research organizations, clinical manufacturing organizations and others. Some of these vendors bill monthly based on actual services performed, while others bill periodically based upon achieving certain contractual milestones. For the latter, the Company accrues the expenses as goods or services are used or rendered. Research and development activities related to patient enrollment are accrued as patients enter and progress through the trial. In the event that the Company prepays fees, the Company records the prepayment as a prepaid asset and periodically evaluate the prepaid asset in conjunction with the related accrued research and development expenses.</w:t>
      </w:r>
    </w:p>
    <w:p>
      <w:pPr>
        <w:spacing w:after="0" w:line="258"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-43815</wp:posOffset>
            </wp:positionV>
            <wp:extent cx="63500"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37"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The Company’s share-based compensation program allows for grants of stock options and restricted stock units. Grants are awarded to employees and non-employees, including directors.</w:t>
      </w:r>
    </w:p>
    <w:p>
      <w:pPr>
        <w:spacing w:after="0" w:line="16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stock-based employee compensation arrangements in accordance with provisions of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units and stock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(i) the expected stock price volatility,</w:t>
      </w:r>
    </w:p>
    <w:p>
      <w:pPr>
        <w:spacing w:after="0" w:line="27" w:lineRule="exact"/>
        <w:rPr>
          <w:sz w:val="20"/>
          <w:szCs w:val="20"/>
          <w:color w:val="auto"/>
        </w:rPr>
      </w:pPr>
    </w:p>
    <w:p>
      <w:pPr>
        <w:ind w:right="240" w:firstLine="8"/>
        <w:spacing w:after="0" w:line="252" w:lineRule="auto"/>
        <w:tabs>
          <w:tab w:leader="none" w:pos="2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award, (iii) the risk-free interest rate and (iv) expected dividends.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92"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and reporting segment.</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by the weighted average number of shares of common stock outstanding for the years ended December 31, 2023 and 2022. Diluted net income (loss) per share is computed by dividing the diluted net income (loss) by the weighted average number of shares of common stock, including potential dilutive common shares assuming the dilutive effect of outstanding stock options and unvested restricted common stock, as determined using the treasury stock method. For periods in which the Company has reported net losses, diluted net loss per share is the same as basic net loss per share, since dilutive shares of common stock are not assumed to have been issued if their effect is antidilutive.</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2023 and 2022,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93"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644"/>
        <w:spacing w:after="0" w:line="276"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ASU No. 2023-07, "Segment Reporting (Topic 280): Improvements to Reportable Segment Disclosures." This amended guidance applies to all public entities and aims to improve reportable segment disclosure 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analyzing the impact that ASU No. 2023-07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84"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analyzing the impact that ASU No. 2023-09 will have on our consolidated financial statements.</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jc w:val="both"/>
        <w:ind w:right="220" w:firstLine="64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and marketable securities. The Company maintains its cash, cash equivalents and marketable securities in accounts at high quality financial institutions. The Company has not experienced any credit losses and does not believe it is exposed to any significant credit risk on these funds. Cash and cash equivalents include a checking account and a money market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186" w:lineRule="exact"/>
        <w:rPr>
          <w:sz w:val="20"/>
          <w:szCs w:val="20"/>
          <w:color w:val="auto"/>
        </w:rPr>
      </w:pPr>
    </w:p>
    <w:p>
      <w:pPr>
        <w:ind w:right="140" w:firstLine="644"/>
        <w:spacing w:after="0" w:line="260"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82" w:lineRule="exact"/>
        <w:rPr>
          <w:sz w:val="20"/>
          <w:szCs w:val="20"/>
          <w:color w:val="auto"/>
        </w:rPr>
      </w:pPr>
    </w:p>
    <w:p>
      <w:pPr>
        <w:jc w:val="both"/>
        <w:ind w:right="280" w:firstLine="644"/>
        <w:spacing w:after="0" w:line="265"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We considered events or transactions occurring after the balance sheet date, but prior to the issuance of the consolidated financial statements, for potential recognition or disclosure in our consolidated financial statements. All significant subsequent events have been properly disclosed in the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Financial Instruments and Fair Value Measurements</w:t>
      </w:r>
    </w:p>
    <w:p>
      <w:pPr>
        <w:spacing w:after="0" w:line="121" w:lineRule="exact"/>
        <w:rPr>
          <w:sz w:val="20"/>
          <w:szCs w:val="20"/>
          <w:color w:val="auto"/>
        </w:rPr>
      </w:pPr>
    </w:p>
    <w:p>
      <w:pPr>
        <w:ind w:right="20" w:firstLine="644"/>
        <w:spacing w:after="0" w:line="312" w:lineRule="auto"/>
        <w:rPr>
          <w:sz w:val="20"/>
          <w:szCs w:val="20"/>
          <w:color w:val="auto"/>
        </w:rPr>
      </w:pPr>
      <w:r>
        <w:rPr>
          <w:rFonts w:ascii="Times New Roman" w:cs="Times New Roman" w:eastAsia="Times New Roman" w:hAnsi="Times New Roman"/>
          <w:sz w:val="17"/>
          <w:szCs w:val="17"/>
          <w:color w:val="auto"/>
        </w:rPr>
        <w:t>The Company’s financial instruments consist of money market funds, U.S. government debt securities and corporate debt securities. The following tables show the Company’s cash equivalents and available-for-sale securities’ carrying amounts and fair values as of December 31, 2023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109"/>
              <w:spacing w:after="0" w:line="123"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49"/>
              <w:spacing w:after="0" w:line="123"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priced in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active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85"/>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Gross Unrealized</w:t>
            </w:r>
          </w:p>
        </w:tc>
        <w:tc>
          <w:tcPr>
            <w:tcW w:w="240" w:type="dxa"/>
            <w:vAlign w:val="bottom"/>
          </w:tcPr>
          <w:p>
            <w:pPr>
              <w:spacing w:after="0"/>
              <w:rPr>
                <w:sz w:val="11"/>
                <w:szCs w:val="11"/>
                <w:color w:val="auto"/>
              </w:rPr>
            </w:pPr>
          </w:p>
        </w:tc>
        <w:tc>
          <w:tcPr>
            <w:tcW w:w="12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20" w:type="dxa"/>
            <w:vAlign w:val="bottom"/>
          </w:tcPr>
          <w:p>
            <w:pPr>
              <w:spacing w:after="0"/>
              <w:rPr>
                <w:sz w:val="11"/>
                <w:szCs w:val="11"/>
                <w:color w:val="auto"/>
              </w:rPr>
            </w:pPr>
          </w:p>
        </w:tc>
        <w:tc>
          <w:tcPr>
            <w:tcW w:w="9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inputs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inputs</w:t>
            </w: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80" w:type="dxa"/>
            <w:vAlign w:val="bottom"/>
          </w:tcPr>
          <w:p>
            <w:pPr>
              <w:spacing w:after="0"/>
              <w:rPr>
                <w:sz w:val="14"/>
                <w:szCs w:val="14"/>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3)</w:t>
            </w:r>
          </w:p>
        </w:tc>
      </w:tr>
      <w:tr>
        <w:trPr>
          <w:trHeight w:val="170"/>
        </w:trPr>
        <w:tc>
          <w:tcPr>
            <w:tcW w:w="20" w:type="dxa"/>
            <w:vAlign w:val="bottom"/>
            <w:shd w:val="clear" w:color="auto" w:fill="CFF0FC"/>
          </w:tcPr>
          <w:p>
            <w:pPr>
              <w:spacing w:after="0"/>
              <w:rPr>
                <w:sz w:val="14"/>
                <w:szCs w:val="14"/>
                <w:color w:val="auto"/>
              </w:rPr>
            </w:pPr>
          </w:p>
        </w:tc>
        <w:tc>
          <w:tcPr>
            <w:tcW w:w="306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6"/>
                <w:szCs w:val="16"/>
                <w:color w:val="auto"/>
              </w:rPr>
              <w:t>Financial assets</w:t>
            </w:r>
          </w:p>
        </w:tc>
        <w:tc>
          <w:tcPr>
            <w:tcW w:w="16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auto"/>
            </w:tcBorders>
            <w:shd w:val="clear" w:color="auto" w:fill="CFF0FC"/>
          </w:tcPr>
          <w:p>
            <w:pPr>
              <w:spacing w:after="0"/>
              <w:rPr>
                <w:sz w:val="2"/>
                <w:szCs w:val="2"/>
                <w:color w:val="auto"/>
              </w:rPr>
            </w:pPr>
          </w:p>
        </w:tc>
        <w:tc>
          <w:tcPr>
            <w:tcW w:w="20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37,694</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20" w:type="dxa"/>
            <w:vAlign w:val="bottom"/>
            <w:shd w:val="clear" w:color="auto" w:fill="CFF0FC"/>
          </w:tcPr>
          <w:p>
            <w:pPr>
              <w:spacing w:after="0"/>
              <w:rPr>
                <w:sz w:val="20"/>
                <w:szCs w:val="20"/>
                <w:color w:val="auto"/>
              </w:rPr>
            </w:pPr>
          </w:p>
        </w:tc>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69,995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70,043</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64,466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Government securities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120,670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120,813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92,297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59"/>
        </w:trPr>
        <w:tc>
          <w:tcPr>
            <w:tcW w:w="20" w:type="dxa"/>
            <w:vAlign w:val="bottom"/>
            <w:tcBorders>
              <w:bottom w:val="single" w:sz="8" w:color="CFF0FC"/>
            </w:tcBorders>
            <w:shd w:val="clear" w:color="auto" w:fill="CFF0FC"/>
          </w:tcPr>
          <w:p>
            <w:pPr>
              <w:spacing w:after="0"/>
              <w:rPr>
                <w:sz w:val="22"/>
                <w:szCs w:val="22"/>
                <w:color w:val="auto"/>
              </w:rPr>
            </w:pPr>
          </w:p>
        </w:tc>
        <w:tc>
          <w:tcPr>
            <w:tcW w:w="306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financial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228,359</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228,550</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135,568</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92,982</w:t>
            </w:r>
          </w:p>
        </w:tc>
        <w:tc>
          <w:tcPr>
            <w:tcW w:w="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109"/>
              <w:spacing w:after="0" w:line="123"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49"/>
              <w:spacing w:after="0" w:line="123"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Priced in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85"/>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Gross Unrealized</w:t>
            </w:r>
          </w:p>
        </w:tc>
        <w:tc>
          <w:tcPr>
            <w:tcW w:w="240" w:type="dxa"/>
            <w:vAlign w:val="bottom"/>
          </w:tcPr>
          <w:p>
            <w:pPr>
              <w:spacing w:after="0"/>
              <w:rPr>
                <w:sz w:val="11"/>
                <w:szCs w:val="11"/>
                <w:color w:val="auto"/>
              </w:rPr>
            </w:pPr>
          </w:p>
        </w:tc>
        <w:tc>
          <w:tcPr>
            <w:tcW w:w="12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20" w:type="dxa"/>
            <w:vAlign w:val="bottom"/>
          </w:tcPr>
          <w:p>
            <w:pPr>
              <w:spacing w:after="0"/>
              <w:rPr>
                <w:sz w:val="11"/>
                <w:szCs w:val="11"/>
                <w:color w:val="auto"/>
              </w:rPr>
            </w:pPr>
          </w:p>
        </w:tc>
        <w:tc>
          <w:tcPr>
            <w:tcW w:w="9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r>
      <w:tr>
        <w:trPr>
          <w:trHeight w:val="166"/>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80" w:type="dxa"/>
            <w:vAlign w:val="bottom"/>
          </w:tcPr>
          <w:p>
            <w:pPr>
              <w:spacing w:after="0"/>
              <w:rPr>
                <w:sz w:val="14"/>
                <w:szCs w:val="14"/>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3)</w:t>
            </w: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Financial assets</w:t>
            </w: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106,861</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106,861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106,861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(185 )</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0" w:type="dxa"/>
            <w:vAlign w:val="bottom"/>
            <w:shd w:val="clear" w:color="auto" w:fill="CFF0FC"/>
          </w:tcPr>
          <w:p>
            <w:pPr>
              <w:spacing w:after="0"/>
              <w:rPr>
                <w:sz w:val="19"/>
                <w:szCs w:val="19"/>
                <w:color w:val="auto"/>
              </w:rPr>
            </w:pPr>
          </w:p>
        </w:tc>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Government securities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(281 )</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31,661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0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242,558</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(466 )</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242,113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-1609090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-1591945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-1609090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-1591945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-1609090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-1591945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-1609090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-1591945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-1609090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-1591945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-1609090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-1591945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-179070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-179070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-179070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-179070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-179070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-179070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right="40" w:firstLine="64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As of December 31, 2023, the Company had aggregate cash and cash equivalents of $37,706, including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$37,694, consisting of money market funds. As of December 31, 2022, the Company had aggregate cash and cash equivalents of $108,297, including cash equivalents of $106,861, consisting of money market funds. Money market funds and certificates of deposit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180" w:lineRule="exact"/>
        <w:rPr>
          <w:sz w:val="20"/>
          <w:szCs w:val="20"/>
          <w:color w:val="auto"/>
        </w:rPr>
      </w:pPr>
    </w:p>
    <w:p>
      <w:pPr>
        <w:ind w:right="60" w:firstLine="64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$190,856 as of December 31, 2023, consisted of corporate debt securities of $70,043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$120,813. There were $165,351 current marketable securities and $25,505 noncurrent marketable securities as of December 31, 2023. Marketable securities of $135,252 as of December 31, 2022, consisted of corporate debt securities of $103,591 and government debt securities of $31,661. There were $132,757 current marketable securities and $2,495 noncurrent marketable securities as of December 31, 2022.</w:t>
      </w:r>
    </w:p>
    <w:p>
      <w:pPr>
        <w:spacing w:after="0" w:line="179" w:lineRule="exact"/>
        <w:rPr>
          <w:sz w:val="20"/>
          <w:szCs w:val="20"/>
          <w:color w:val="auto"/>
        </w:rPr>
      </w:pPr>
    </w:p>
    <w:p>
      <w:pPr>
        <w:ind w:right="260" w:firstLine="644"/>
        <w:spacing w:after="0" w:line="281" w:lineRule="auto"/>
        <w:rPr>
          <w:sz w:val="20"/>
          <w:szCs w:val="20"/>
          <w:color w:val="auto"/>
        </w:rPr>
      </w:pPr>
      <w:r>
        <w:rPr>
          <w:rFonts w:ascii="Times New Roman" w:cs="Times New Roman" w:eastAsia="Times New Roman" w:hAnsi="Times New Roman"/>
          <w:sz w:val="18"/>
          <w:szCs w:val="18"/>
          <w:color w:val="auto"/>
        </w:rPr>
        <w:t>As of December 31, 2023 and 2022, aggregated gross unrealized losses of available-for-sale investments were not material, and accordingly, no allowance for credit losses was recorded.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placed in service</w:t>
            </w:r>
          </w:p>
        </w:tc>
        <w:tc>
          <w:tcPr>
            <w:tcW w:w="3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shd w:val="clear" w:color="auto" w:fill="CCEEFF"/>
          </w:tcPr>
          <w:p>
            <w:pPr>
              <w:spacing w:after="0"/>
              <w:rPr>
                <w:sz w:val="21"/>
                <w:szCs w:val="21"/>
                <w:color w:val="auto"/>
              </w:rPr>
            </w:pPr>
          </w:p>
        </w:tc>
      </w:tr>
      <w:tr>
        <w:trPr>
          <w:trHeight w:val="232"/>
        </w:trPr>
        <w:tc>
          <w:tcPr>
            <w:tcW w:w="7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28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100" w:type="dxa"/>
            <w:vAlign w:val="bottom"/>
            <w:tcBorders>
              <w:top w:val="single" w:sz="8" w:color="CCEEFF"/>
            </w:tcBorders>
          </w:tcPr>
          <w:p>
            <w:pPr>
              <w:spacing w:after="0"/>
              <w:rPr>
                <w:sz w:val="20"/>
                <w:szCs w:val="20"/>
                <w:color w:val="auto"/>
              </w:rPr>
            </w:pP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(3,270 )</w:t>
            </w:r>
          </w:p>
        </w:tc>
        <w:tc>
          <w:tcPr>
            <w:tcW w:w="4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(2,184 )</w:t>
            </w:r>
          </w:p>
        </w:tc>
      </w:tr>
      <w:tr>
        <w:trPr>
          <w:trHeight w:val="236"/>
        </w:trPr>
        <w:tc>
          <w:tcPr>
            <w:tcW w:w="7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280" w:type="dxa"/>
            <w:vAlign w:val="bottom"/>
            <w:tcBorders>
              <w:top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Borders>
              <w:top w:val="single" w:sz="8" w:color="CCEEFF"/>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$1,257, $315, and $307, respectively.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CEEFF"/>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0"/>
                <w:szCs w:val="20"/>
                <w:color w:val="auto"/>
              </w:rPr>
            </w:pPr>
          </w:p>
        </w:tc>
      </w:tr>
      <w:tr>
        <w:trPr>
          <w:trHeight w:val="24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940" w:firstLine="644"/>
        <w:spacing w:after="0" w:line="281" w:lineRule="auto"/>
        <w:rPr>
          <w:sz w:val="20"/>
          <w:szCs w:val="20"/>
          <w:color w:val="auto"/>
        </w:rPr>
      </w:pPr>
      <w:r>
        <w:rPr>
          <w:rFonts w:ascii="Times New Roman" w:cs="Times New Roman" w:eastAsia="Times New Roman" w:hAnsi="Times New Roman"/>
          <w:sz w:val="18"/>
          <w:szCs w:val="18"/>
          <w:color w:val="auto"/>
        </w:rPr>
        <w:t>In June 2015, the Company executed a noncancelable operating lease for approximately 13,000 square feet of laboratory, research and development, and office space in Cranbury, New Jersey. This location operated as the Company's headquarters until March 2023.</w:t>
      </w:r>
    </w:p>
    <w:p>
      <w:pPr>
        <w:spacing w:after="0" w:line="163" w:lineRule="exact"/>
        <w:rPr>
          <w:sz w:val="20"/>
          <w:szCs w:val="20"/>
          <w:color w:val="auto"/>
        </w:rPr>
      </w:pPr>
    </w:p>
    <w:p>
      <w:pPr>
        <w:jc w:val="both"/>
        <w:ind w:right="280" w:firstLine="644"/>
        <w:spacing w:after="0" w:line="260" w:lineRule="auto"/>
        <w:rPr>
          <w:sz w:val="20"/>
          <w:szCs w:val="20"/>
          <w:color w:val="auto"/>
        </w:rPr>
      </w:pPr>
      <w:r>
        <w:rPr>
          <w:rFonts w:ascii="Times New Roman" w:cs="Times New Roman" w:eastAsia="Times New Roman" w:hAnsi="Times New Roman"/>
          <w:sz w:val="18"/>
          <w:szCs w:val="18"/>
          <w:color w:val="auto"/>
        </w:rPr>
        <w:t>In June 2017, the Company obtained an additional noncancelable operating lease for approximately 6,000 square feet of laboratory space in the same corporate center. Both leases were set to expire in June 2022. In January 2022, the Company signed a lease extension for both leases for up to one additional year through June 2023, with the option to terminate upon 120 days of written notice, with an increase in base rent as per the lease extension. The leases were terminated as of June 2023.</w:t>
      </w:r>
    </w:p>
    <w:p>
      <w:pPr>
        <w:spacing w:after="0" w:line="182"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lease was terminated as of June 2023. The second lease is for office space in Lexington, Massachusetts, that expired in August 2023.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 That lease term extends through 2032, has a five-year extension option, and replaced the Company’s two existing facilities as the Company’s headquarters in March 2023. Payment under this lease will total $19,889 through May 2032. The Company received a lease incentive of $4,046 from the lessor for a buildout of laboratory, vivarium, and office space, to be reimbursed to the Company in 2022 and 2023. Management estimated the timing and amounts of reimbursements and included them as a reduction of lease payments when initially measuring the lease liability and right-of-use asset upon commencement. Since the inception date of the lease, $3,806 of reimbursements were received. For the year ended December 31, 2023, $837 of reimbursements were received.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2023, 2022, and 2021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20"/>
                <w:szCs w:val="20"/>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r>
      <w:tr>
        <w:trPr>
          <w:trHeight w:val="27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December 31, 2023, and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5.75 %</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5.75 %</w:t>
            </w:r>
          </w:p>
        </w:tc>
      </w:tr>
      <w:tr>
        <w:trPr>
          <w:trHeight w:val="467"/>
        </w:trPr>
        <w:tc>
          <w:tcPr>
            <w:tcW w:w="99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for the years ended December 31, 2023, 2022, and 2021, respectively, were as follows: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(received) for amounts included in the measurement of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8"/>
              </w:rPr>
              <w:t>(1,089 )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20"/>
                <w:szCs w:val="20"/>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20"/>
                <w:szCs w:val="20"/>
                <w:color w:val="auto"/>
              </w:rPr>
            </w:pPr>
          </w:p>
        </w:tc>
      </w:tr>
      <w:tr>
        <w:trPr>
          <w:trHeight w:val="449"/>
        </w:trPr>
        <w:tc>
          <w:tcPr>
            <w:tcW w:w="1124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December 31, 2023, under operating leases by fiscal year were as</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(3,560 )</w:t>
            </w:r>
          </w:p>
        </w:tc>
        <w:tc>
          <w:tcPr>
            <w:tcW w:w="100" w:type="dxa"/>
            <w:vAlign w:val="bottom"/>
          </w:tcPr>
          <w:p>
            <w:pPr>
              <w:spacing w:after="0"/>
              <w:rPr>
                <w:sz w:val="20"/>
                <w:szCs w:val="20"/>
                <w:color w:val="auto"/>
              </w:rPr>
            </w:pPr>
          </w:p>
        </w:tc>
      </w:tr>
      <w:tr>
        <w:trPr>
          <w:trHeight w:val="27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848"/>
        </w:trPr>
        <w:tc>
          <w:tcPr>
            <w:tcW w:w="668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6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6974840</wp:posOffset>
            </wp:positionH>
            <wp:positionV relativeFrom="paragraph">
              <wp:posOffset>-1069975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-1052830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recorded for the years ended December 31, 2023, 2022, and 2021, were $1,913, $2,215, and $1,691 respectively.</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60" w:firstLine="644"/>
        <w:spacing w:after="0" w:line="28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As of December 31, 2023 and 2022, there were 51,445,862 and 45,771,332 shares of common stock issued and outstanding, respectively.</w:t>
      </w:r>
    </w:p>
    <w:p>
      <w:pPr>
        <w:spacing w:after="0" w:line="177" w:lineRule="exact"/>
        <w:rPr>
          <w:sz w:val="20"/>
          <w:szCs w:val="20"/>
          <w:color w:val="auto"/>
        </w:rPr>
      </w:pPr>
    </w:p>
    <w:p>
      <w:pPr>
        <w:ind w:right="600" w:firstLine="644"/>
        <w:spacing w:after="0" w:line="281"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December 31, 2023, no dividends on common stock had been declared by the Company.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and 2022, the Company had reserved shares of common stock for issuance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3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option and RSU grants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4,474,411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4,618,292</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employee stock purchase plan</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1,056,832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12,504,707</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10,602,622</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For the year ended December 31, 2023, the Company sold 5,149,446 shares of common stock under the ATM Program at a weighted average price of $6.97 per share, for total proceeds of $35.1 million, net of fees. As of December 31, 2023, the Company has approximately $113.8 million remaining in gross proceeds available for future issuances of common stock under the ATM Program.</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board’s compensation committee, as the 2020 Plan administrator, exercised its discretion under clause (iii) to increase the number of shares of common stock reserved for issuance under the 2020 Plan by a lesser amount of 1,363,084 shares, effective as of January 1, 2022. For 2023, the board’s compensation committee, as the 2020 Plan administrator, exercised its discretion under clause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4" w:lineRule="exact"/>
        <w:rPr>
          <w:sz w:val="20"/>
          <w:szCs w:val="20"/>
          <w:color w:val="auto"/>
        </w:rPr>
      </w:pPr>
    </w:p>
    <w:p>
      <w:pPr>
        <w:jc w:val="both"/>
        <w:ind w:right="40" w:firstLine="8"/>
        <w:spacing w:after="0" w:line="260" w:lineRule="auto"/>
        <w:tabs>
          <w:tab w:leader="none" w:pos="3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number of shares of common stock reserved for issuance under the 2020 Plan by a lesser amount of 1,830,853 shares, effective as of January 1, 2023. For 2024, the board’s compensation committee, as the 2020 Plan administrator, exercised its discretion under clause (iii) to increase the number of shares of common stock reserved for issuance under the 2020 Plan by a lesser amount of 2,572,174 shares, effective as of January 1, 2024. As of December 31, 2023, there were 4,474,411 shares available for issuance under the 2020 Plan.</w:t>
      </w:r>
    </w:p>
    <w:p>
      <w:pPr>
        <w:spacing w:after="0" w:line="182"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the annual grant activity under the 2020 Plan as of</w:t>
            </w:r>
          </w:p>
        </w:tc>
        <w:tc>
          <w:tcPr>
            <w:tcW w:w="4820" w:type="dxa"/>
            <w:vAlign w:val="bottom"/>
            <w:gridSpan w:val="3"/>
          </w:tcPr>
          <w:p>
            <w:pPr>
              <w:jc w:val="right"/>
              <w:ind w:right="332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380"/>
        </w:trPr>
        <w:tc>
          <w:tcPr>
            <w:tcW w:w="6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7"/>
        </w:trPr>
        <w:tc>
          <w:tcPr>
            <w:tcW w:w="64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7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280" w:type="dxa"/>
            <w:vAlign w:val="bottom"/>
          </w:tcPr>
          <w:p>
            <w:pPr>
              <w:spacing w:after="0"/>
              <w:rPr>
                <w:sz w:val="16"/>
                <w:szCs w:val="16"/>
                <w:color w:val="auto"/>
              </w:rPr>
            </w:pP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4,618,292</w:t>
            </w:r>
          </w:p>
        </w:tc>
        <w:tc>
          <w:tcPr>
            <w:tcW w:w="280" w:type="dxa"/>
            <w:vAlign w:val="bottom"/>
            <w:shd w:val="clear" w:color="auto" w:fill="CCEEFF"/>
          </w:tcPr>
          <w:p>
            <w:pPr>
              <w:spacing w:after="0"/>
              <w:rPr>
                <w:sz w:val="20"/>
                <w:szCs w:val="20"/>
                <w:color w:val="auto"/>
              </w:rPr>
            </w:pPr>
          </w:p>
        </w:tc>
      </w:tr>
      <w:tr>
        <w:trPr>
          <w:trHeight w:val="23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1,830,853</w:t>
            </w:r>
          </w:p>
        </w:tc>
        <w:tc>
          <w:tcPr>
            <w:tcW w:w="280" w:type="dxa"/>
            <w:vAlign w:val="bottom"/>
          </w:tcPr>
          <w:p>
            <w:pPr>
              <w:spacing w:after="0"/>
              <w:rPr>
                <w:sz w:val="20"/>
                <w:szCs w:val="20"/>
                <w:color w:val="auto"/>
              </w:rPr>
            </w:pPr>
          </w:p>
        </w:tc>
      </w:tr>
      <w:tr>
        <w:trPr>
          <w:trHeight w:val="24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4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(2,062,125 )</w:t>
            </w:r>
          </w:p>
        </w:tc>
      </w:tr>
      <w:tr>
        <w:trPr>
          <w:trHeight w:val="23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70,291</w:t>
            </w:r>
          </w:p>
        </w:tc>
        <w:tc>
          <w:tcPr>
            <w:tcW w:w="280" w:type="dxa"/>
            <w:vAlign w:val="bottom"/>
          </w:tcPr>
          <w:p>
            <w:pPr>
              <w:spacing w:after="0"/>
              <w:rPr>
                <w:sz w:val="20"/>
                <w:szCs w:val="20"/>
                <w:color w:val="auto"/>
              </w:rPr>
            </w:pPr>
          </w:p>
        </w:tc>
      </w:tr>
      <w:tr>
        <w:trPr>
          <w:trHeight w:val="24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28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3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4,474,411</w:t>
            </w:r>
          </w:p>
        </w:tc>
        <w:tc>
          <w:tcPr>
            <w:tcW w:w="2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6957695</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board waived the annual increase to the shares reserved under the 2020 ESPP. For 2023, the 2020 ESPP reserved shares were increased under clause (iii) by 457,713 shares, effective as of January 1, 2023. For 2024, the 2020 ESPP reserved shares were increased under clause (iii) by 514,434 shares, effective as of January 1, 2024. On May 20, 2023, employees exercised their right to purchase 20,113 shares under the 2020 ESPP. On November 21, 2023, employees exercised their right to purchase 86,327 shares under the 2020 ESPP. As of December 31, 2023, 202,345 shares are issued or outstanding, and there were 1,056,832 shares available for issuance, under the 2020 ESPP.</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year ended December 31, 2023: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left="30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4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060" w:type="dxa"/>
            <w:vAlign w:val="bottom"/>
          </w:tcPr>
          <w:p>
            <w:pPr>
              <w:spacing w:after="0"/>
              <w:rPr>
                <w:sz w:val="15"/>
                <w:szCs w:val="15"/>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4060" w:type="dxa"/>
            <w:vAlign w:val="bottom"/>
          </w:tcPr>
          <w:p>
            <w:pPr>
              <w:spacing w:after="0"/>
              <w:rPr>
                <w:sz w:val="15"/>
                <w:szCs w:val="15"/>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w:t>
            </w:r>
          </w:p>
        </w:tc>
        <w:tc>
          <w:tcPr>
            <w:tcW w:w="1180" w:type="dxa"/>
            <w:vAlign w:val="bottom"/>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87"/>
        </w:trPr>
        <w:tc>
          <w:tcPr>
            <w:tcW w:w="40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shd w:val="clear" w:color="auto" w:fill="CFF0FC"/>
          </w:tcPr>
          <w:p>
            <w:pPr>
              <w:spacing w:after="0"/>
              <w:rPr>
                <w:sz w:val="20"/>
                <w:szCs w:val="20"/>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2,062,125</w:t>
            </w:r>
          </w:p>
        </w:tc>
        <w:tc>
          <w:tcPr>
            <w:tcW w:w="240" w:type="dxa"/>
            <w:vAlign w:val="bottom"/>
          </w:tcPr>
          <w:p>
            <w:pPr>
              <w:spacing w:after="0"/>
              <w:rPr>
                <w:sz w:val="20"/>
                <w:szCs w:val="20"/>
                <w:color w:val="auto"/>
              </w:rPr>
            </w:pPr>
          </w:p>
        </w:tc>
        <w:tc>
          <w:tcPr>
            <w:tcW w:w="118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(70,291 )</w:t>
            </w:r>
          </w:p>
        </w:tc>
        <w:tc>
          <w:tcPr>
            <w:tcW w:w="1180" w:type="dxa"/>
            <w:vAlign w:val="bottom"/>
            <w:shd w:val="clear" w:color="auto" w:fill="CFF0FC"/>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(297,141 )</w:t>
            </w:r>
          </w:p>
        </w:tc>
        <w:tc>
          <w:tcPr>
            <w:tcW w:w="118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5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5"/>
        </w:trPr>
        <w:tc>
          <w:tcPr>
            <w:tcW w:w="4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5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Exercisable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4,175,906</w:t>
            </w:r>
          </w:p>
        </w:tc>
        <w:tc>
          <w:tcPr>
            <w:tcW w:w="240" w:type="dxa"/>
            <w:vAlign w:val="bottom"/>
          </w:tcPr>
          <w:p>
            <w:pPr>
              <w:spacing w:after="0"/>
              <w:rPr>
                <w:sz w:val="19"/>
                <w:szCs w:val="19"/>
                <w:color w:val="auto"/>
              </w:rPr>
            </w:pPr>
          </w:p>
        </w:tc>
        <w:tc>
          <w:tcPr>
            <w:tcW w:w="118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3"/>
        </w:trPr>
        <w:tc>
          <w:tcPr>
            <w:tcW w:w="406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0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-1583690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-1566545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-1583690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-1566545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-1249680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-1232535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ind w:right="540" w:firstLine="644"/>
        <w:spacing w:after="0" w:line="281"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2023, 2022, and 2021, was $4.03, $10.92, and $20.03, respectively.</w:t>
      </w:r>
    </w:p>
    <w:p>
      <w:pPr>
        <w:spacing w:after="0" w:line="163"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as of December 31, 2023 and 2022 is calculated based on the difference between the exercise price and the fair value of our common stock. The intrinsic value of options exercised in 2023, 2022, and 2021, was $892, $3,764, and $18,534, respectively.</w:t>
      </w:r>
    </w:p>
    <w:p>
      <w:pPr>
        <w:spacing w:after="0" w:line="177"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As of December 31, 2023, the total compensation cost related to nonvested service-based awards not yet recognized is $18,866. The weighted-average period over which the nonvested awards is expected to be recognized is 2.5 years.</w:t>
      </w:r>
    </w:p>
    <w:p>
      <w:pPr>
        <w:spacing w:after="0" w:line="163"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6"/>
        </w:trPr>
        <w:tc>
          <w:tcPr>
            <w:tcW w:w="5420" w:type="dxa"/>
            <w:vAlign w:val="bottom"/>
          </w:tcPr>
          <w:p>
            <w:pPr>
              <w:spacing w:after="0"/>
              <w:rPr>
                <w:sz w:val="20"/>
                <w:szCs w:val="20"/>
                <w:color w:val="auto"/>
              </w:rPr>
            </w:pPr>
          </w:p>
        </w:tc>
        <w:tc>
          <w:tcPr>
            <w:tcW w:w="1900" w:type="dxa"/>
            <w:vAlign w:val="bottom"/>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2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6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0"/>
                <w:szCs w:val="20"/>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- 4.65%</w:t>
            </w:r>
          </w:p>
        </w:tc>
        <w:tc>
          <w:tcPr>
            <w:tcW w:w="1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- 4.34%</w:t>
            </w:r>
          </w:p>
        </w:tc>
        <w:tc>
          <w:tcPr>
            <w:tcW w:w="12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9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- 1.30%</w:t>
            </w:r>
          </w:p>
        </w:tc>
        <w:tc>
          <w:tcPr>
            <w:tcW w:w="140" w:type="dxa"/>
            <w:vAlign w:val="bottom"/>
            <w:shd w:val="clear" w:color="auto" w:fill="CCEEFF"/>
          </w:tcPr>
          <w:p>
            <w:pPr>
              <w:spacing w:after="0"/>
              <w:rPr>
                <w:sz w:val="20"/>
                <w:szCs w:val="20"/>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- 6.44</w:t>
            </w:r>
          </w:p>
        </w:tc>
        <w:tc>
          <w:tcPr>
            <w:tcW w:w="140" w:type="dxa"/>
            <w:vAlign w:val="bottom"/>
          </w:tcPr>
          <w:p>
            <w:pPr>
              <w:spacing w:after="0"/>
              <w:rPr>
                <w:sz w:val="20"/>
                <w:szCs w:val="20"/>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gridSpan w:val="3"/>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1"/>
                <w:szCs w:val="21"/>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- 79.90%</w:t>
            </w:r>
          </w:p>
        </w:tc>
        <w:tc>
          <w:tcPr>
            <w:tcW w:w="140" w:type="dxa"/>
            <w:vAlign w:val="bottom"/>
          </w:tcPr>
          <w:p>
            <w:pPr>
              <w:spacing w:after="0"/>
              <w:rPr>
                <w:sz w:val="20"/>
                <w:szCs w:val="20"/>
                <w:color w:val="auto"/>
              </w:rPr>
            </w:pPr>
          </w:p>
        </w:tc>
      </w:tr>
    </w:tbl>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6"/>
        </w:trPr>
        <w:tc>
          <w:tcPr>
            <w:tcW w:w="7500" w:type="dxa"/>
            <w:vAlign w:val="bottom"/>
          </w:tcPr>
          <w:p>
            <w:pPr>
              <w:spacing w:after="0"/>
              <w:rPr>
                <w:sz w:val="20"/>
                <w:szCs w:val="20"/>
                <w:color w:val="auto"/>
              </w:rPr>
            </w:pPr>
          </w:p>
        </w:tc>
        <w:tc>
          <w:tcPr>
            <w:tcW w:w="92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560" w:type="dxa"/>
            <w:vAlign w:val="bottom"/>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0"/>
                <w:szCs w:val="20"/>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Borders>
              <w:top w:val="single" w:sz="8" w:color="auto"/>
            </w:tcBorders>
            <w:shd w:val="clear" w:color="auto" w:fill="CFF0FC"/>
          </w:tcPr>
          <w:p>
            <w:pPr>
              <w:jc w:val="center"/>
              <w:ind w:left="154"/>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0.04%</w:t>
            </w:r>
          </w:p>
        </w:tc>
        <w:tc>
          <w:tcPr>
            <w:tcW w:w="140" w:type="dxa"/>
            <w:vAlign w:val="bottom"/>
            <w:shd w:val="clear" w:color="auto" w:fill="CCEEFF"/>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2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rPr>
              <w:t>0.49</w:t>
            </w:r>
          </w:p>
        </w:tc>
        <w:tc>
          <w:tcPr>
            <w:tcW w:w="1560" w:type="dxa"/>
            <w:vAlign w:val="bottom"/>
            <w:gridSpan w:val="3"/>
          </w:tcPr>
          <w:p>
            <w:pPr>
              <w:jc w:val="center"/>
              <w:ind w:left="317"/>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4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shd w:val="clear" w:color="auto" w:fill="CFF0FC"/>
          </w:tcPr>
          <w:p>
            <w:pPr>
              <w:jc w:val="center"/>
              <w:ind w:left="154"/>
              <w:spacing w:after="0"/>
              <w:rPr>
                <w:sz w:val="20"/>
                <w:szCs w:val="20"/>
                <w:color w:val="auto"/>
              </w:rPr>
            </w:pPr>
            <w:r>
              <w:rPr>
                <w:rFonts w:ascii="Times New Roman" w:cs="Times New Roman" w:eastAsia="Times New Roman" w:hAnsi="Times New Roman"/>
                <w:sz w:val="18"/>
                <w:szCs w:val="18"/>
                <w:color w:val="auto"/>
                <w:w w:val="99"/>
              </w:rPr>
              <w:t>0%</w:t>
            </w:r>
          </w:p>
        </w:tc>
        <w:tc>
          <w:tcPr>
            <w:tcW w:w="1560" w:type="dxa"/>
            <w:vAlign w:val="bottom"/>
            <w:gridSpan w:val="3"/>
            <w:shd w:val="clear" w:color="auto" w:fill="CFF0FC"/>
          </w:tcPr>
          <w:p>
            <w:pPr>
              <w:jc w:val="center"/>
              <w:ind w:left="317"/>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21"/>
                <w:szCs w:val="21"/>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21"/>
                <w:szCs w:val="21"/>
                <w:color w:val="auto"/>
              </w:rPr>
            </w:pP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rPr>
              <w:t>76.27%</w:t>
            </w:r>
          </w:p>
        </w:tc>
        <w:tc>
          <w:tcPr>
            <w:tcW w:w="1560" w:type="dxa"/>
            <w:vAlign w:val="bottom"/>
            <w:gridSpan w:val="3"/>
          </w:tcPr>
          <w:p>
            <w:pPr>
              <w:jc w:val="center"/>
              <w:ind w:left="317"/>
              <w:spacing w:after="0"/>
              <w:rPr>
                <w:sz w:val="20"/>
                <w:szCs w:val="20"/>
                <w:color w:val="auto"/>
              </w:rPr>
            </w:pPr>
            <w:r>
              <w:rPr>
                <w:rFonts w:ascii="Times New Roman" w:cs="Times New Roman" w:eastAsia="Times New Roman" w:hAnsi="Times New Roman"/>
                <w:sz w:val="18"/>
                <w:szCs w:val="18"/>
                <w:color w:val="auto"/>
              </w:rPr>
              <w:t>77.00%</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77.83%</w:t>
            </w:r>
          </w:p>
        </w:tc>
        <w:tc>
          <w:tcPr>
            <w:tcW w:w="140" w:type="dxa"/>
            <w:vAlign w:val="bottom"/>
          </w:tcPr>
          <w:p>
            <w:pPr>
              <w:spacing w:after="0"/>
              <w:rPr>
                <w:sz w:val="20"/>
                <w:szCs w:val="20"/>
                <w:color w:val="auto"/>
              </w:rPr>
            </w:pPr>
          </w:p>
        </w:tc>
      </w:tr>
    </w:tbl>
    <w:p>
      <w:pPr>
        <w:spacing w:after="0" w:line="206" w:lineRule="exact"/>
        <w:rPr>
          <w:sz w:val="20"/>
          <w:szCs w:val="20"/>
          <w:color w:val="auto"/>
        </w:rPr>
      </w:pPr>
    </w:p>
    <w:p>
      <w:pPr>
        <w:ind w:right="400" w:firstLine="644"/>
        <w:spacing w:after="0" w:line="281"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163"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163"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22" w:name="page123"/>
    <w:bookmarkEnd w:id="122"/>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7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7880" w:type="dxa"/>
            <w:vAlign w:val="bottom"/>
          </w:tcPr>
          <w:p>
            <w:pPr>
              <w:spacing w:after="0"/>
              <w:rPr>
                <w:sz w:val="16"/>
                <w:szCs w:val="16"/>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(121,503 )</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(17,100 )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-24765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644"/>
        <w:spacing w:after="0" w:line="281" w:lineRule="auto"/>
        <w:rPr>
          <w:sz w:val="20"/>
          <w:szCs w:val="20"/>
          <w:color w:val="auto"/>
        </w:rPr>
      </w:pPr>
      <w:r>
        <w:rPr>
          <w:rFonts w:ascii="Times New Roman" w:cs="Times New Roman" w:eastAsia="Times New Roman" w:hAnsi="Times New Roman"/>
          <w:sz w:val="18"/>
          <w:szCs w:val="18"/>
          <w:color w:val="auto"/>
        </w:rPr>
        <w:t>As of December 31, 2023, there was $1,671 of unrecognized compensation cost related to RSUs that are expected to vest. These costs are expected to be recognized over a weighted average remaining vesting period of 0.7 years.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and RSU's granted and common stock issued under the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were allocated to research and development and general and administrative expense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FF0FC"/>
          </w:tcPr>
          <w:p>
            <w:pPr>
              <w:spacing w:after="0"/>
              <w:rPr>
                <w:sz w:val="20"/>
                <w:szCs w:val="20"/>
                <w:color w:val="auto"/>
              </w:rPr>
            </w:pPr>
          </w:p>
        </w:tc>
      </w:tr>
      <w:tr>
        <w:trPr>
          <w:trHeight w:val="238"/>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0"/>
                <w:szCs w:val="20"/>
                <w:color w:val="auto"/>
              </w:rPr>
            </w:pPr>
          </w:p>
        </w:tc>
      </w:tr>
      <w:tr>
        <w:trPr>
          <w:trHeight w:val="276"/>
        </w:trPr>
        <w:tc>
          <w:tcPr>
            <w:tcW w:w="68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3"/>
        </w:trPr>
        <w:tc>
          <w:tcPr>
            <w:tcW w:w="95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consolidated statements of operations is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Pr>
          <w:p>
            <w:pPr>
              <w:spacing w:after="0"/>
              <w:rPr>
                <w:sz w:val="20"/>
                <w:szCs w:val="20"/>
                <w:color w:val="auto"/>
              </w:rPr>
            </w:pPr>
          </w:p>
        </w:tc>
      </w:tr>
      <w:tr>
        <w:trPr>
          <w:trHeight w:val="247"/>
        </w:trPr>
        <w:tc>
          <w:tcPr>
            <w:tcW w:w="6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80" w:type="dxa"/>
            <w:vAlign w:val="bottom"/>
            <w:shd w:val="clear" w:color="auto" w:fill="CFF0FC"/>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r>
      <w:tr>
        <w:trPr>
          <w:trHeight w:val="276"/>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-1360805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-1343660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-1360805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-1343660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-1360805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-1343660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provision (benefit) for the years ended December 31, 2023, 2022, and 2021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4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2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320" w:type="dxa"/>
            <w:vAlign w:val="bottom"/>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4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2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3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provision (benefit)</w:t>
            </w:r>
          </w:p>
        </w:tc>
        <w:tc>
          <w:tcPr>
            <w:tcW w:w="3480" w:type="dxa"/>
            <w:vAlign w:val="bottom"/>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4"/>
                <w:szCs w:val="24"/>
                <w:color w:val="auto"/>
              </w:rPr>
            </w:pPr>
          </w:p>
        </w:tc>
      </w:tr>
      <w:tr>
        <w:trPr>
          <w:trHeight w:val="843"/>
        </w:trPr>
        <w:tc>
          <w:tcPr>
            <w:tcW w:w="376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762"/>
        </w:trPr>
        <w:tc>
          <w:tcPr>
            <w:tcW w:w="37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-2028825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-2028825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-1395095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-1395095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-1069975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-1052830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-1069975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-1052830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19" w:lineRule="exact"/>
        <w:rPr>
          <w:sz w:val="20"/>
          <w:szCs w:val="20"/>
          <w:color w:val="auto"/>
        </w:rPr>
      </w:pPr>
    </w:p>
    <w:p>
      <w:pPr>
        <w:ind w:right="740" w:firstLine="644"/>
        <w:spacing w:after="0" w:line="281" w:lineRule="auto"/>
        <w:rPr>
          <w:sz w:val="20"/>
          <w:szCs w:val="20"/>
          <w:color w:val="auto"/>
        </w:rPr>
      </w:pPr>
      <w:r>
        <w:rPr>
          <w:rFonts w:ascii="Times New Roman" w:cs="Times New Roman" w:eastAsia="Times New Roman" w:hAnsi="Times New Roman"/>
          <w:sz w:val="18"/>
          <w:szCs w:val="18"/>
          <w:color w:val="auto"/>
        </w:rPr>
        <w:t>A reconciliation of income tax computed at the statutory federal income tax rate to the provision (benefit) for income taxes included in the accompanying consolidated statements of operations for the Company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5980" w:type="dxa"/>
            <w:vAlign w:val="bottom"/>
          </w:tcPr>
          <w:p>
            <w:pPr>
              <w:spacing w:after="0"/>
              <w:rPr>
                <w:sz w:val="11"/>
                <w:szCs w:val="11"/>
                <w:color w:val="auto"/>
              </w:rPr>
            </w:pPr>
          </w:p>
        </w:tc>
        <w:tc>
          <w:tcPr>
            <w:tcW w:w="138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3"/>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r>
      <w:tr>
        <w:trPr>
          <w:trHeight w:val="187"/>
        </w:trPr>
        <w:tc>
          <w:tcPr>
            <w:tcW w:w="5980" w:type="dxa"/>
            <w:vAlign w:val="bottom"/>
          </w:tcPr>
          <w:p>
            <w:pPr>
              <w:spacing w:after="0"/>
              <w:rPr>
                <w:sz w:val="16"/>
                <w:szCs w:val="16"/>
                <w:color w:val="auto"/>
              </w:rPr>
            </w:pPr>
          </w:p>
        </w:tc>
        <w:tc>
          <w:tcPr>
            <w:tcW w:w="13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r>
      <w:tr>
        <w:trPr>
          <w:trHeight w:val="22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3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5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59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59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4" w:lineRule="exact"/>
        <w:rPr>
          <w:sz w:val="20"/>
          <w:szCs w:val="20"/>
          <w:color w:val="auto"/>
        </w:rPr>
      </w:pPr>
    </w:p>
    <w:p>
      <w:pPr>
        <w:ind w:right="340" w:firstLine="644"/>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2023, 2022, and 2021, the Company’s effective tax rate is below the federal statutory income tax rate of 21% primarily due to state income taxes, net of federal benefit and the Company’s position to establish a full valuation allowance on its deferred tax assets.</w:t>
      </w:r>
    </w:p>
    <w:p>
      <w:pPr>
        <w:spacing w:after="0" w:line="139" w:lineRule="exact"/>
        <w:rPr>
          <w:sz w:val="20"/>
          <w:szCs w:val="20"/>
          <w:color w:val="auto"/>
        </w:rPr>
      </w:pPr>
    </w:p>
    <w:p>
      <w:pPr>
        <w:ind w:right="800" w:firstLine="644"/>
        <w:spacing w:after="0" w:line="281" w:lineRule="auto"/>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significant portions of the deferred tax assets and liabilities are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56,701</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49,451</w:t>
            </w:r>
          </w:p>
        </w:tc>
        <w:tc>
          <w:tcPr>
            <w:tcW w:w="100" w:type="dxa"/>
            <w:vAlign w:val="bottom"/>
          </w:tcPr>
          <w:p>
            <w:pPr>
              <w:spacing w:after="0"/>
              <w:rPr>
                <w:sz w:val="20"/>
                <w:szCs w:val="20"/>
                <w:color w:val="auto"/>
              </w:rPr>
            </w:pPr>
          </w:p>
        </w:tc>
      </w:tr>
      <w:tr>
        <w:trPr>
          <w:trHeight w:val="247"/>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21"/>
                <w:szCs w:val="21"/>
                <w:color w:val="auto"/>
              </w:rPr>
            </w:pPr>
          </w:p>
        </w:tc>
      </w:tr>
      <w:tr>
        <w:trPr>
          <w:trHeight w:val="238"/>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00" w:type="dxa"/>
            <w:vAlign w:val="bottom"/>
          </w:tcPr>
          <w:p>
            <w:pPr>
              <w:spacing w:after="0"/>
              <w:rPr>
                <w:sz w:val="20"/>
                <w:szCs w:val="20"/>
                <w:color w:val="auto"/>
              </w:rPr>
            </w:pPr>
          </w:p>
        </w:tc>
      </w:tr>
      <w:tr>
        <w:trPr>
          <w:trHeight w:val="247"/>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CEEFF"/>
          </w:tcPr>
          <w:p>
            <w:pPr>
              <w:spacing w:after="0"/>
              <w:rPr>
                <w:sz w:val="21"/>
                <w:szCs w:val="21"/>
                <w:color w:val="auto"/>
              </w:rPr>
            </w:pPr>
          </w:p>
        </w:tc>
      </w:tr>
      <w:tr>
        <w:trPr>
          <w:trHeight w:val="238"/>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r>
      <w:tr>
        <w:trPr>
          <w:trHeight w:val="247"/>
        </w:trPr>
        <w:tc>
          <w:tcPr>
            <w:tcW w:w="8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2"/>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96,354</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77,655</w:t>
            </w:r>
          </w:p>
        </w:tc>
        <w:tc>
          <w:tcPr>
            <w:tcW w:w="100" w:type="dxa"/>
            <w:vAlign w:val="bottom"/>
          </w:tcPr>
          <w:p>
            <w:pPr>
              <w:spacing w:after="0"/>
              <w:rPr>
                <w:sz w:val="20"/>
                <w:szCs w:val="20"/>
                <w:color w:val="auto"/>
              </w:rPr>
            </w:pPr>
          </w:p>
        </w:tc>
      </w:tr>
      <w:tr>
        <w:trPr>
          <w:trHeight w:val="24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(93,778 )</w:t>
            </w:r>
          </w:p>
        </w:tc>
        <w:tc>
          <w:tcPr>
            <w:tcW w:w="5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(74,917 )</w:t>
            </w:r>
          </w:p>
        </w:tc>
      </w:tr>
      <w:tr>
        <w:trPr>
          <w:trHeight w:val="236"/>
        </w:trPr>
        <w:tc>
          <w:tcPr>
            <w:tcW w:w="8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 recognized</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00" w:type="dxa"/>
            <w:vAlign w:val="bottom"/>
            <w:tcBorders>
              <w:top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top w:val="single" w:sz="8" w:color="CCEEFF"/>
            </w:tcBorders>
          </w:tcPr>
          <w:p>
            <w:pPr>
              <w:spacing w:after="0"/>
              <w:rPr>
                <w:sz w:val="20"/>
                <w:szCs w:val="20"/>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(2,357 )</w:t>
            </w:r>
          </w:p>
        </w:tc>
        <w:tc>
          <w:tcPr>
            <w:tcW w:w="5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(2,709 )</w:t>
            </w:r>
          </w:p>
        </w:tc>
      </w:tr>
      <w:tr>
        <w:trPr>
          <w:trHeight w:val="247"/>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(219 )</w:t>
            </w:r>
          </w:p>
        </w:tc>
        <w:tc>
          <w:tcPr>
            <w:tcW w:w="5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80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(2,576 )</w:t>
            </w:r>
          </w:p>
        </w:tc>
        <w:tc>
          <w:tcPr>
            <w:tcW w:w="5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(2,738 )</w:t>
            </w:r>
          </w:p>
        </w:tc>
      </w:tr>
      <w:tr>
        <w:trPr>
          <w:trHeight w:val="27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-1301115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-984250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-350520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100" w:firstLine="644"/>
        <w:spacing w:after="0" w:line="281" w:lineRule="auto"/>
        <w:rPr>
          <w:sz w:val="20"/>
          <w:szCs w:val="20"/>
          <w:color w:val="auto"/>
        </w:rPr>
      </w:pPr>
      <w:r>
        <w:rPr>
          <w:rFonts w:ascii="Times New Roman" w:cs="Times New Roman" w:eastAsia="Times New Roman" w:hAnsi="Times New Roman"/>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63" w:lineRule="exact"/>
        <w:rPr>
          <w:sz w:val="20"/>
          <w:szCs w:val="20"/>
          <w:color w:val="auto"/>
        </w:rPr>
      </w:pPr>
    </w:p>
    <w:p>
      <w:pPr>
        <w:ind w:right="280" w:firstLine="644"/>
        <w:spacing w:after="0" w:line="254" w:lineRule="auto"/>
        <w:rPr>
          <w:sz w:val="20"/>
          <w:szCs w:val="20"/>
          <w:color w:val="auto"/>
        </w:rPr>
      </w:pPr>
      <w:r>
        <w:rPr>
          <w:rFonts w:ascii="Times New Roman" w:cs="Times New Roman" w:eastAsia="Times New Roman" w:hAnsi="Times New Roman"/>
          <w:sz w:val="18"/>
          <w:szCs w:val="18"/>
          <w:color w:val="auto"/>
        </w:rPr>
        <w:t>As of December 31, 2023 and 2022, the Company had federal net operating loss carryforwards of $195,676 and $174,736, respectively. As of December 31, 2023, the Company had state net operating loss carryforwards for New Jersey, California, Massachusetts, and Arizona of approximately $208,817, $4,912, $6,358, and $115, respectively. At December 31, 2022, the Company had state net operating loss carryforwards for New Jersey, California, Massachusetts and Arizona of approximately $169,847, $4,912, $5,277, and $46, respectively. Federal net operating loss carryforwards of $27,500 expire beginning in the year 2033. State net operating loss carryforwards begin to expire in the year 2033. Net operating loss carryforwards related to tax years after 2017 of $168,176 do not expire. The Company also has federal and state research and development credit carryforward of approximately $12,693 and $9,749 as of December 31, 2023 and 2022, respectively. The federal credits will begin to expire in 2034 if not utilized. The California state credits carryforward indefinitely and the New Jersey state credits expire starting in 2030. The above net operating losses and research and development credits are subject to</w:t>
      </w: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24" w:name="page125"/>
    <w:bookmarkEnd w:id="124"/>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Sections 382 and 383 of the Internal Revenue Code. In the event of a change in ownership as defined by these code sections, the usage of the net operating losses and research and development credits may be limited.</w:t>
      </w:r>
    </w:p>
    <w:p>
      <w:pPr>
        <w:spacing w:after="0" w:line="163" w:lineRule="exact"/>
        <w:rPr>
          <w:sz w:val="20"/>
          <w:szCs w:val="20"/>
          <w:color w:val="auto"/>
        </w:rPr>
      </w:pPr>
    </w:p>
    <w:p>
      <w:pPr>
        <w:ind w:right="120" w:firstLine="644"/>
        <w:spacing w:after="0" w:line="265" w:lineRule="auto"/>
        <w:rPr>
          <w:sz w:val="20"/>
          <w:szCs w:val="20"/>
          <w:color w:val="auto"/>
        </w:rPr>
      </w:pPr>
      <w:r>
        <w:rPr>
          <w:rFonts w:ascii="Times New Roman" w:cs="Times New Roman" w:eastAsia="Times New Roman" w:hAnsi="Times New Roman"/>
          <w:sz w:val="18"/>
          <w:szCs w:val="18"/>
          <w:color w:val="212529"/>
        </w:rPr>
        <w:t>The Company accrues interest and penalties related to unrecognized tax benefits in the (benefit) provision for income taxes line item in the consolidated statements of operations and comprehensive loss</w:t>
      </w:r>
      <w:r>
        <w:rPr>
          <w:rFonts w:ascii="Times New Roman" w:cs="Times New Roman" w:eastAsia="Times New Roman" w:hAnsi="Times New Roman"/>
          <w:sz w:val="18"/>
          <w:szCs w:val="18"/>
          <w:b w:val="1"/>
          <w:bCs w:val="1"/>
          <w:color w:val="212529"/>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December 31, 2023 and 2022, the Company had not accrued any interest or penalties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related to uncertain tax positions.</w:t>
      </w:r>
    </w:p>
    <w:p>
      <w:pPr>
        <w:spacing w:after="0" w:line="177"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If the ending balance of $3,173 and $2,437 of unrecognized tax benefits as of December 31, 2023 and 2022, respectively, were recognized, none of the recognition would affect the income tax rate. The following table summarized the activity related to the Company’s unrecognized tax benefits: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31"/>
        </w:trPr>
        <w:tc>
          <w:tcPr>
            <w:tcW w:w="8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8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20"/>
                <w:szCs w:val="20"/>
                <w:color w:val="auto"/>
              </w:rPr>
            </w:pPr>
          </w:p>
        </w:tc>
      </w:tr>
      <w:tr>
        <w:trPr>
          <w:trHeight w:val="23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0"/>
                <w:szCs w:val="20"/>
                <w:color w:val="auto"/>
              </w:rPr>
            </w:pPr>
          </w:p>
        </w:tc>
      </w:tr>
      <w:tr>
        <w:trPr>
          <w:trHeight w:val="20"/>
        </w:trPr>
        <w:tc>
          <w:tcPr>
            <w:tcW w:w="8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-187960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63" w:lineRule="exact"/>
        <w:rPr>
          <w:sz w:val="20"/>
          <w:szCs w:val="20"/>
          <w:color w:val="auto"/>
        </w:rPr>
      </w:pPr>
    </w:p>
    <w:p>
      <w:pPr>
        <w:jc w:val="both"/>
        <w:ind w:right="460" w:firstLine="644"/>
        <w:spacing w:after="0" w:line="265"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The Company’s tax years 2013 to 2022 will remain open for examination by the federal and state authorities for three and four years, respectively, from the date of utilization of any net operating losses and research and development credits.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units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21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4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6,973,464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4,246,007</w:t>
            </w:r>
          </w:p>
        </w:tc>
        <w:tc>
          <w:tcPr>
            <w:tcW w:w="100" w:type="dxa"/>
            <w:vAlign w:val="bottom"/>
            <w:shd w:val="clear" w:color="auto" w:fill="CFF0FC"/>
          </w:tcPr>
          <w:p>
            <w:pPr>
              <w:spacing w:after="0"/>
              <w:rPr>
                <w:sz w:val="20"/>
                <w:szCs w:val="20"/>
                <w:color w:val="auto"/>
              </w:rPr>
            </w:pPr>
          </w:p>
        </w:tc>
      </w:tr>
      <w:tr>
        <w:trPr>
          <w:trHeight w:val="238"/>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22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30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95,905</w:t>
            </w:r>
          </w:p>
        </w:tc>
        <w:tc>
          <w:tcPr>
            <w:tcW w:w="2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7,211,997</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5,749,575</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4,293,073</w:t>
            </w:r>
          </w:p>
        </w:tc>
        <w:tc>
          <w:tcPr>
            <w:tcW w:w="10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-187960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-187960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34"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The Company has consulting agreements with two members of its board of directors; one of which waived his consulting fees starting as of September 2021. Total consulting fees paid during the years ended December 31, 2023, 2022, and 2021 were $92, $111, and $110, respectively. There were no amounts owed under the consulting agreements as of December 31, 2023.</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Subsequent Events</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The Company expects the reduction in workforce to be substantially completed by June 30, 2024, and fully completed by the end of the third quarter of 2024. The Company is taking these steps in order to streamline operations, reduce costs and preserve capital as it advances into late-stage development for its lead product candidate, PC14586.</w:t>
      </w:r>
    </w:p>
    <w:p>
      <w:pPr>
        <w:spacing w:after="0" w:line="182"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As a result of the reduction in force, the Company expects to incur aggregate non-recurring charges between approximately $1.0 to $1.4 million, consisting primarily of employee severance and benefit costs associated with the restructuring. The Company expects that most of these charges will be cash expenditures and that it will recognize the majority of these charges in the first quarter of 2024.</w:t>
      </w:r>
    </w:p>
    <w:p>
      <w:pPr>
        <w:spacing w:after="0" w:line="177" w:lineRule="exact"/>
        <w:rPr>
          <w:sz w:val="20"/>
          <w:szCs w:val="20"/>
          <w:color w:val="auto"/>
        </w:rPr>
      </w:pPr>
    </w:p>
    <w:p>
      <w:pPr>
        <w:jc w:val="both"/>
        <w:ind w:right="120" w:firstLine="644"/>
        <w:spacing w:after="0" w:line="265" w:lineRule="auto"/>
        <w:rPr>
          <w:sz w:val="20"/>
          <w:szCs w:val="20"/>
          <w:color w:val="auto"/>
        </w:rPr>
      </w:pPr>
      <w:r>
        <w:rPr>
          <w:rFonts w:ascii="Times New Roman" w:cs="Times New Roman" w:eastAsia="Times New Roman" w:hAnsi="Times New Roman"/>
          <w:sz w:val="18"/>
          <w:szCs w:val="18"/>
          <w:color w:val="auto"/>
        </w:rPr>
        <w:t>The estimated charges that the Company expects to incur are subject to a number of assumptions, and actual expenses may differ materially from these estimates. The Company may also incur additional costs not currently contemplated due to unanticipated events that may occur as a result of, or that are associated with, its plan.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2"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conducted an evaluation, under the supervision and with the participation of our management, including our Chief Executive Officer and Chief Financial Officer, of our disclosure controls and procedures, as such term is defined under Rule 13a-15(e) promulgated under the Securities Exchange Act of 1934, as amended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644"/>
        <w:spacing w:after="0" w:line="276" w:lineRule="auto"/>
        <w:rPr>
          <w:sz w:val="20"/>
          <w:szCs w:val="20"/>
          <w:color w:val="auto"/>
        </w:rPr>
      </w:pPr>
      <w:r>
        <w:rPr>
          <w:rFonts w:ascii="Times New Roman" w:cs="Times New Roman" w:eastAsia="Times New Roman" w:hAnsi="Times New Roman"/>
          <w:sz w:val="17"/>
          <w:szCs w:val="17"/>
          <w:color w:val="auto"/>
        </w:rPr>
        <w:t xml:space="preserve">Our management is also responsible for establishing and maintaining for us adequate internal control over financial reporting, as such term is defined in Exchange Act Rule 13a-15(f). Under the supervision and with the participation of our management, including our Chief Executive Officer and Chief Financial Officer, our management conducted an evaluation of the effectiveness of our internal control over financial reporting based on the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Control—Integrated </w:t>
      </w:r>
      <w:r>
        <w:rPr>
          <w:rFonts w:ascii="Times New Roman" w:cs="Times New Roman" w:eastAsia="Times New Roman" w:hAnsi="Times New Roman"/>
          <w:sz w:val="17"/>
          <w:szCs w:val="17"/>
          <w:color w:val="auto"/>
        </w:rPr>
        <w:t>Framework (2013 framework) issued by the Committee of Sponsoring Organizations of the Treadway Commission. Based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evaluation under this framework, our management concluded that our internal control over financial reporting was effective as of December 31, 2023.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2023 that has materially affected, or is reasonably likely to materially affect, our internal control over financial reporting.</w:t>
      </w:r>
    </w:p>
    <w:p>
      <w:pPr>
        <w:spacing w:after="0" w:line="2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ind w:right="80" w:firstLine="644"/>
        <w:spacing w:after="0" w:line="312" w:lineRule="auto"/>
        <w:rPr>
          <w:sz w:val="20"/>
          <w:szCs w:val="20"/>
          <w:color w:val="auto"/>
        </w:rPr>
      </w:pPr>
      <w:r>
        <w:rPr>
          <w:rFonts w:ascii="Times New Roman" w:cs="Times New Roman" w:eastAsia="Times New Roman" w:hAnsi="Times New Roman"/>
          <w:sz w:val="17"/>
          <w:szCs w:val="17"/>
          <w:color w:val="auto"/>
        </w:rPr>
        <w:t>During the three months ended December 31, 2023, no director or officer, as defined in Rule 16a-1(f) under the Securities Exchange Act of 1934, adopted or terminated a “Rule 10b5-1 trading arrangement” or a “non-Rule 10b5-1 trading arrangement,” each as defined in Regulation S-K Item 408.</w:t>
      </w:r>
    </w:p>
    <w:p>
      <w:pPr>
        <w:spacing w:after="0" w:line="24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right="80" w:firstLine="644"/>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“Directors and Corporate Governance,” “and “Other Matters—Section 16(a) Beneficial Ownership Reporting Compliance” in our definitive proxy statement for the annual meeting of stockholders to be held in June 2024 to be filed with the SEC on or before April 30, 2024, or the Proxy Statement, and is incorporated herein by reference.</w:t>
      </w:r>
    </w:p>
    <w:p>
      <w:pPr>
        <w:spacing w:after="0" w:line="2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“Executive Compensation,”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“Beneficial Ownership of Shares of Common Stock” and “Executive Compensation—Equity Compensation Plan Information”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“Certain Relationships and Related Person Transactions”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640"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“Ratification of Appointment of Independent Registered Public Accounting Firm” in the Proxy Statement and is incorporated herein by reference.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2" w:right="3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gridSpan w:val="11"/>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0" w:type="dxa"/>
            <w:vAlign w:val="bottom"/>
          </w:tcPr>
          <w:p>
            <w:pPr>
              <w:spacing w:after="0"/>
              <w:rPr>
                <w:sz w:val="1"/>
                <w:szCs w:val="1"/>
                <w:color w:val="auto"/>
              </w:rPr>
            </w:pPr>
          </w:p>
        </w:tc>
      </w:tr>
      <w:tr>
        <w:trPr>
          <w:trHeight w:val="431"/>
        </w:trPr>
        <w:tc>
          <w:tcPr>
            <w:tcW w:w="65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0" w:type="dxa"/>
            <w:vAlign w:val="bottom"/>
          </w:tcPr>
          <w:p>
            <w:pPr>
              <w:spacing w:after="0"/>
              <w:rPr>
                <w:sz w:val="1"/>
                <w:szCs w:val="1"/>
                <w:color w:val="auto"/>
              </w:rPr>
            </w:pPr>
          </w:p>
        </w:tc>
      </w:tr>
      <w:tr>
        <w:trPr>
          <w:trHeight w:val="53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1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2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5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Amended and Restated Certificate of Incorporation of the Registrant, as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8"/>
              </w:rPr>
            </w:pPr>
            <w:hyperlink r:id="rId337">
              <w:r>
                <w:rPr>
                  <w:rFonts w:ascii="Times New Roman" w:cs="Times New Roman" w:eastAsia="Times New Roman" w:hAnsi="Times New Roman"/>
                  <w:sz w:val="18"/>
                  <w:szCs w:val="18"/>
                  <w:color w:val="0000FF"/>
                  <w:w w:val="98"/>
                </w:rPr>
                <w:t>amended, as currently in effect.</w:t>
              </w:r>
            </w:hyperlink>
          </w:p>
        </w:tc>
        <w:tc>
          <w:tcPr>
            <w:tcW w:w="3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380" w:type="dxa"/>
            <w:vAlign w:val="bottom"/>
            <w:gridSpan w:val="27"/>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Amended and Restated Bylaws of the Registrant, as currently in effect.</w:t>
              </w:r>
            </w:hyperlink>
          </w:p>
        </w:tc>
        <w:tc>
          <w:tcPr>
            <w:tcW w:w="0" w:type="dxa"/>
            <w:vAlign w:val="bottom"/>
          </w:tcPr>
          <w:p>
            <w:pPr>
              <w:spacing w:after="0"/>
              <w:rPr>
                <w:sz w:val="1"/>
                <w:szCs w:val="1"/>
                <w:color w:val="auto"/>
              </w:rPr>
            </w:pPr>
          </w:p>
        </w:tc>
      </w:tr>
      <w:tr>
        <w:trPr>
          <w:trHeight w:val="37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120" w:type="dxa"/>
            <w:vAlign w:val="bottom"/>
            <w:tcBorders>
              <w:top w:val="single" w:sz="8" w:color="0000FF"/>
              <w:bottom w:val="single" w:sz="8" w:color="0000EE"/>
            </w:tcBorders>
            <w:gridSpan w:val="15"/>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Description of Securities of the Registrant.</w:t>
              </w:r>
            </w:hyperlink>
          </w:p>
        </w:tc>
        <w:tc>
          <w:tcPr>
            <w:tcW w:w="1980" w:type="dxa"/>
            <w:vAlign w:val="bottom"/>
            <w:tcBorders>
              <w:top w:val="single" w:sz="8" w:color="0000FF"/>
            </w:tcBorders>
            <w:gridSpan w:val="7"/>
          </w:tcPr>
          <w:p>
            <w:pPr>
              <w:spacing w:after="0"/>
              <w:rPr>
                <w:sz w:val="24"/>
                <w:szCs w:val="24"/>
                <w:color w:val="auto"/>
              </w:rPr>
            </w:pPr>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53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Amended and Restated Investors’ Rights Agreement, dated July 17, 2020,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7"/>
          </w:tcPr>
          <w:p>
            <w:pPr>
              <w:spacing w:after="0" w:line="195"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by and among the Registrant and certain of its stockholders.</w:t>
              </w:r>
            </w:hyperlink>
          </w:p>
        </w:tc>
        <w:tc>
          <w:tcPr>
            <w:tcW w:w="0" w:type="dxa"/>
            <w:vAlign w:val="bottom"/>
          </w:tcPr>
          <w:p>
            <w:pPr>
              <w:spacing w:after="0"/>
              <w:rPr>
                <w:sz w:val="1"/>
                <w:szCs w:val="1"/>
                <w:color w:val="auto"/>
              </w:rPr>
            </w:pPr>
          </w:p>
        </w:tc>
      </w:tr>
      <w:tr>
        <w:trPr>
          <w:trHeight w:val="37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86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Specimen common stock certificate of the Registrant.</w:t>
              </w:r>
            </w:hyperlink>
          </w:p>
        </w:tc>
        <w:tc>
          <w:tcPr>
            <w:tcW w:w="440" w:type="dxa"/>
            <w:vAlign w:val="bottom"/>
            <w:tcBorders>
              <w:top w:val="single" w:sz="8" w:color="0000FF"/>
            </w:tcBorders>
          </w:tcPr>
          <w:p>
            <w:pPr>
              <w:spacing w:after="0"/>
              <w:rPr>
                <w:sz w:val="24"/>
                <w:szCs w:val="24"/>
                <w:color w:val="auto"/>
              </w:rPr>
            </w:pPr>
          </w:p>
        </w:tc>
        <w:tc>
          <w:tcPr>
            <w:tcW w:w="1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3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342">
              <w:r>
                <w:rPr>
                  <w:rFonts w:ascii="Times New Roman" w:cs="Times New Roman" w:eastAsia="Times New Roman" w:hAnsi="Times New Roman"/>
                  <w:sz w:val="18"/>
                  <w:szCs w:val="18"/>
                  <w:color w:val="0000FF"/>
                  <w:w w:val="98"/>
                </w:rPr>
                <w:t>Form of Indenture.</w:t>
              </w:r>
            </w:hyperlink>
          </w:p>
        </w:tc>
        <w:tc>
          <w:tcPr>
            <w:tcW w:w="20" w:type="dxa"/>
            <w:vAlign w:val="bottom"/>
            <w:tcBorders>
              <w:bottom w:val="single" w:sz="8" w:color="0000EE"/>
            </w:tcBorders>
          </w:tcPr>
          <w:p>
            <w:pPr>
              <w:spacing w:after="0"/>
              <w:rPr>
                <w:sz w:val="24"/>
                <w:szCs w:val="24"/>
                <w:color w:val="auto"/>
              </w:rPr>
            </w:pPr>
          </w:p>
        </w:tc>
        <w:tc>
          <w:tcPr>
            <w:tcW w:w="40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Form of Indemnification Agreement between the Registrant and each of</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its directors and executive officers.</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47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2013 Equity Incentive Plan, as amended, and forms of agreement</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5"/>
              </w:rPr>
            </w:pPr>
            <w:hyperlink r:id="rId344">
              <w:r>
                <w:rPr>
                  <w:rFonts w:ascii="Times New Roman" w:cs="Times New Roman" w:eastAsia="Times New Roman" w:hAnsi="Times New Roman"/>
                  <w:sz w:val="18"/>
                  <w:szCs w:val="18"/>
                  <w:color w:val="0000FF"/>
                  <w:w w:val="95"/>
                </w:rPr>
                <w:t>thereunder.</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4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2020 Equity Incentive Plan and forms of agreements thereunder.</w:t>
              </w:r>
            </w:hyperlink>
          </w:p>
        </w:tc>
        <w:tc>
          <w:tcPr>
            <w:tcW w:w="20" w:type="dxa"/>
            <w:vAlign w:val="bottom"/>
            <w:tcBorders>
              <w:bottom w:val="single" w:sz="8" w:color="0000EE"/>
            </w:tcBorders>
          </w:tcPr>
          <w:p>
            <w:pPr>
              <w:spacing w:after="0"/>
              <w:rPr>
                <w:sz w:val="24"/>
                <w:szCs w:val="24"/>
                <w:color w:val="auto"/>
              </w:rPr>
            </w:pPr>
          </w:p>
        </w:tc>
        <w:tc>
          <w:tcPr>
            <w:tcW w:w="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3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2020 Employee Stock Purchase Plan and forms of agreements thereunder.</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Employment Offer Letter, dated August 17, 2020, by and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Registrant and David H. Mack, Ph.D.</w:t>
              </w:r>
            </w:hyperlink>
          </w:p>
        </w:tc>
        <w:tc>
          <w:tcPr>
            <w:tcW w:w="20" w:type="dxa"/>
            <w:vAlign w:val="bottom"/>
            <w:tcBorders>
              <w:bottom w:val="single" w:sz="8" w:color="0000EE"/>
            </w:tcBorders>
          </w:tcPr>
          <w:p>
            <w:pPr>
              <w:spacing w:after="0"/>
              <w:rPr>
                <w:sz w:val="17"/>
                <w:szCs w:val="17"/>
                <w:color w:val="auto"/>
              </w:rPr>
            </w:pPr>
          </w:p>
        </w:tc>
        <w:tc>
          <w:tcPr>
            <w:tcW w:w="2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Employment Offer Letter, dated August 17, 2020, by and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7"/>
          </w:tcPr>
          <w:p>
            <w:pPr>
              <w:spacing w:after="0" w:line="195"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Registrant and Winston Kung.</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Employment Offer Letter, dated August 18, 2020, by and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8"/>
              </w:rPr>
            </w:pPr>
            <w:hyperlink r:id="rId349">
              <w:r>
                <w:rPr>
                  <w:rFonts w:ascii="Times New Roman" w:cs="Times New Roman" w:eastAsia="Times New Roman" w:hAnsi="Times New Roman"/>
                  <w:sz w:val="18"/>
                  <w:szCs w:val="18"/>
                  <w:color w:val="0000FF"/>
                  <w:w w:val="98"/>
                </w:rPr>
                <w:t>Registrant and Leila Alland, M.D.</w:t>
              </w:r>
            </w:hyperlink>
          </w:p>
        </w:tc>
        <w:tc>
          <w:tcPr>
            <w:tcW w:w="20" w:type="dxa"/>
            <w:vAlign w:val="bottom"/>
            <w:tcBorders>
              <w:bottom w:val="single" w:sz="8" w:color="0000EE"/>
            </w:tcBorders>
          </w:tcPr>
          <w:p>
            <w:pPr>
              <w:spacing w:after="0"/>
              <w:rPr>
                <w:sz w:val="17"/>
                <w:szCs w:val="17"/>
                <w:color w:val="auto"/>
              </w:rPr>
            </w:pPr>
          </w:p>
        </w:tc>
        <w:tc>
          <w:tcPr>
            <w:tcW w:w="2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5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Employment Offer Letter, dated February 22, 2021, by and between the</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7"/>
          </w:tcPr>
          <w:p>
            <w:pPr>
              <w:spacing w:after="0" w:line="195"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Registrant and Deepika Jalota, Pharm.D.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29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351">
              <w:r>
                <w:rPr>
                  <w:rFonts w:ascii="Times New Roman" w:cs="Times New Roman" w:eastAsia="Times New Roman" w:hAnsi="Times New Roman"/>
                  <w:sz w:val="18"/>
                  <w:szCs w:val="18"/>
                  <w:color w:val="0000FF"/>
                  <w:w w:val="98"/>
                </w:rPr>
                <w:t>Employee Incentive Compensation Plan.</w:t>
              </w:r>
            </w:hyperlink>
          </w:p>
        </w:tc>
        <w:tc>
          <w:tcPr>
            <w:tcW w:w="20" w:type="dxa"/>
            <w:vAlign w:val="bottom"/>
            <w:tcBorders>
              <w:bottom w:val="single" w:sz="8" w:color="0000EE"/>
            </w:tcBorders>
          </w:tcPr>
          <w:p>
            <w:pPr>
              <w:spacing w:after="0"/>
              <w:rPr>
                <w:sz w:val="24"/>
                <w:szCs w:val="24"/>
                <w:color w:val="auto"/>
              </w:rPr>
            </w:pPr>
          </w:p>
        </w:tc>
        <w:tc>
          <w:tcPr>
            <w:tcW w:w="2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352">
              <w:r>
                <w:rPr>
                  <w:rFonts w:ascii="Times New Roman" w:cs="Times New Roman" w:eastAsia="Times New Roman" w:hAnsi="Times New Roman"/>
                  <w:sz w:val="18"/>
                  <w:szCs w:val="18"/>
                  <w:color w:val="0000FF"/>
                  <w:w w:val="98"/>
                </w:rPr>
                <w:t>Change in Control and Severance Policy.</w:t>
              </w:r>
            </w:hyperlink>
          </w:p>
        </w:tc>
        <w:tc>
          <w:tcPr>
            <w:tcW w:w="2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830"/>
        </w:trPr>
        <w:tc>
          <w:tcPr>
            <w:tcW w:w="1020" w:type="dxa"/>
            <w:vAlign w:val="bottom"/>
          </w:tcPr>
          <w:p>
            <w:pPr>
              <w:spacing w:after="0"/>
              <w:rPr>
                <w:sz w:val="24"/>
                <w:szCs w:val="24"/>
                <w:color w:val="auto"/>
              </w:rPr>
            </w:pPr>
          </w:p>
        </w:tc>
        <w:tc>
          <w:tcPr>
            <w:tcW w:w="4780" w:type="dxa"/>
            <w:vAlign w:val="bottom"/>
            <w:gridSpan w:val="19"/>
          </w:tcPr>
          <w:p>
            <w:pPr>
              <w:jc w:val="center"/>
              <w:ind w:left="433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 w:type="dxa"/>
            <w:vAlign w:val="bottom"/>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29,</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10, 2023</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5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3, 2021</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8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S-3ASR</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333-260012</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8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7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7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10.6</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10.8</w:t>
            </w:r>
          </w:p>
        </w:tc>
        <w:tc>
          <w:tcPr>
            <w:tcW w:w="120" w:type="dxa"/>
            <w:vAlign w:val="bottom"/>
          </w:tcPr>
          <w:p>
            <w:pPr>
              <w:spacing w:after="0"/>
              <w:rPr>
                <w:sz w:val="24"/>
                <w:szCs w:val="24"/>
                <w:color w:val="auto"/>
              </w:rPr>
            </w:pPr>
          </w:p>
        </w:tc>
        <w:tc>
          <w:tcPr>
            <w:tcW w:w="15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1, 2022</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bl>
    <w:p>
      <w:pPr>
        <w:sectPr>
          <w:pgSz w:w="11900" w:h="16838" w:orient="portrait"/>
          <w:cols w:equalWidth="0" w:num="2">
            <w:col w:w="6540" w:space="120"/>
            <w:col w:w="4580"/>
          </w:cols>
          <w:pgMar w:left="320" w:top="1412"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340" w:type="dxa"/>
            <w:vAlign w:val="bottom"/>
            <w:gridSpan w:val="22"/>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Amended and Restated Change in Control and Severance Policy</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Participation Agreement, dated August 17, 2020,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Registrant and David H. Mack, Ph.D.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340" w:type="dxa"/>
            <w:vAlign w:val="bottom"/>
            <w:gridSpan w:val="22"/>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Amended and Restated Change in Control and Severance Policy</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Participation Agreement, dated March 23, 2022,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Registrant and Deepika Jalota, Pharm.D.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Amended Outside Director Compensation Policy.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340" w:type="dxa"/>
            <w:vAlign w:val="bottom"/>
            <w:gridSpan w:val="22"/>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Consulting Agreement, dated January 1, 2016,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Registrant and Arnold Levine, Ph.D.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340" w:type="dxa"/>
            <w:vAlign w:val="bottom"/>
            <w:gridSpan w:val="22"/>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Consulting Agreement, dated May 21, 2021,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Registrant and Richard Heyman, Ph.D., as amended on July 16,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340" w:type="dxa"/>
            <w:vAlign w:val="bottom"/>
            <w:gridSpan w:val="22"/>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Lease Agreement, dated January 8, 2021, by and between the Registrant</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and BMR-ONE RESEARCH WAY LLC.</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340" w:type="dxa"/>
            <w:vAlign w:val="bottom"/>
            <w:gridSpan w:val="22"/>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Open Market Sale Agreement, dated as of October 4, 2021,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Registrant and Jefferies LLC</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Consulting Agreement, dated January 5, 2024, by and between the</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Registrant and Winston Kung.</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Separation Agreement, dated January 5, 2024, by and between the</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Registrant and Leila Alland, M.D.</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Amended and Restated Employment Letter, dated January 5, 2024, by and</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between the Registrant and Michael Carulli</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Consulting Agreement, dated February 13, 2024, by and between the</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5"/>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Registrant and Charles Baum, MD., Ph.D.</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EE"/>
            </w:tcBorders>
            <w:gridSpan w:val="5"/>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Amended and Restated Change in Control and Severance Policy</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160" w:type="dxa"/>
            <w:vAlign w:val="bottom"/>
            <w:tcBorders>
              <w:right w:val="single" w:sz="8" w:color="0000FF"/>
            </w:tcBorders>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Participation Agreement, dated January 5, 2024, by and between the</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160" w:type="dxa"/>
            <w:vAlign w:val="bottom"/>
            <w:tcBorders>
              <w:right w:val="single" w:sz="8" w:color="0000FF"/>
            </w:tcBorders>
            <w:gridSpan w:val="8"/>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Registrant and Michael Carulli</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340" w:type="dxa"/>
            <w:vAlign w:val="bottom"/>
            <w:gridSpan w:val="22"/>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List of Subsidiaries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60" w:type="dxa"/>
            <w:vAlign w:val="bottom"/>
            <w:tcBorders>
              <w:right w:val="single" w:sz="8" w:color="0000EE"/>
            </w:tcBorders>
            <w:gridSpan w:val="12"/>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Power of Attorney (contained in the signature page to this Annual Report</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60" w:type="dxa"/>
            <w:vAlign w:val="bottom"/>
            <w:tcBorders>
              <w:right w:val="single" w:sz="8" w:color="0000FF"/>
            </w:tcBorders>
            <w:gridSpan w:val="12"/>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on Form 10-K).</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60" w:type="dxa"/>
            <w:vAlign w:val="bottom"/>
            <w:gridSpan w:val="1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r>
      <w:tr>
        <w:trPr>
          <w:trHeight w:val="20"/>
        </w:trPr>
        <w:tc>
          <w:tcPr>
            <w:tcW w:w="1160" w:type="dxa"/>
            <w:vAlign w:val="bottom"/>
          </w:tcPr>
          <w:p>
            <w:pPr>
              <w:spacing w:after="0" w:line="20" w:lineRule="exact"/>
              <w:rPr>
                <w:sz w:val="1"/>
                <w:szCs w:val="1"/>
                <w:color w:val="auto"/>
              </w:rPr>
            </w:pPr>
          </w:p>
        </w:tc>
        <w:tc>
          <w:tcPr>
            <w:tcW w:w="4360" w:type="dxa"/>
            <w:vAlign w:val="bottom"/>
            <w:tcBorders>
              <w:right w:val="single" w:sz="8" w:color="0000FF"/>
            </w:tcBorders>
            <w:gridSpan w:val="1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r>
      <w:tr>
        <w:trPr>
          <w:trHeight w:val="20"/>
        </w:trPr>
        <w:tc>
          <w:tcPr>
            <w:tcW w:w="1160" w:type="dxa"/>
            <w:vAlign w:val="bottom"/>
          </w:tcPr>
          <w:p>
            <w:pPr>
              <w:spacing w:after="0" w:line="20" w:lineRule="exact"/>
              <w:rPr>
                <w:sz w:val="1"/>
                <w:szCs w:val="1"/>
                <w:color w:val="auto"/>
              </w:rPr>
            </w:pPr>
          </w:p>
        </w:tc>
        <w:tc>
          <w:tcPr>
            <w:tcW w:w="4360" w:type="dxa"/>
            <w:vAlign w:val="bottom"/>
            <w:tcBorders>
              <w:right w:val="single" w:sz="8" w:color="0000FF"/>
            </w:tcBorders>
            <w:gridSpan w:val="1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830"/>
        </w:trPr>
        <w:tc>
          <w:tcPr>
            <w:tcW w:w="1160" w:type="dxa"/>
            <w:vAlign w:val="bottom"/>
          </w:tcPr>
          <w:p>
            <w:pPr>
              <w:spacing w:after="0"/>
              <w:rPr>
                <w:sz w:val="24"/>
                <w:szCs w:val="24"/>
                <w:color w:val="auto"/>
              </w:rPr>
            </w:pPr>
          </w:p>
        </w:tc>
        <w:tc>
          <w:tcPr>
            <w:tcW w:w="4360" w:type="dxa"/>
            <w:vAlign w:val="bottom"/>
            <w:tcBorders>
              <w:top w:val="single" w:sz="8" w:color="0000FF"/>
            </w:tcBorders>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126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466725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4"/>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10.11</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82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001-39539</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10.14</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May 10,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 2022</w:t>
            </w:r>
          </w:p>
        </w:tc>
      </w:tr>
      <w:tr>
        <w:trPr>
          <w:trHeight w:val="607"/>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3, 2021</w:t>
            </w:r>
          </w:p>
        </w:tc>
      </w:tr>
      <w:tr>
        <w:trPr>
          <w:trHeight w:val="607"/>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S-3ASR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333-260012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October 4,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tabs>
          <w:tab w:leader="none" w:pos="920" w:val="left"/>
          <w:tab w:leader="none" w:pos="2260" w:val="left"/>
          <w:tab w:leader="none" w:pos="312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001-39539</w:t>
      </w:r>
      <w:r>
        <w:rPr>
          <w:sz w:val="20"/>
          <w:szCs w:val="20"/>
          <w:color w:val="auto"/>
        </w:rPr>
        <w:tab/>
      </w: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March 1, 2022</w:t>
      </w:r>
    </w:p>
    <w:p>
      <w:pPr>
        <w:sectPr>
          <w:pgSz w:w="11900" w:h="16838" w:orient="portrait"/>
          <w:cols w:equalWidth="0" w:num="2">
            <w:col w:w="6500" w:space="240"/>
            <w:col w:w="4340"/>
          </w:cols>
          <w:pgMar w:left="340" w:top="1416" w:right="479" w:bottom="1440" w:gutter="0" w:footer="0" w:header="0"/>
        </w:sectPr>
      </w:pPr>
    </w:p>
    <w:bookmarkStart w:id="130" w:name="page131"/>
    <w:bookmarkEnd w:id="130"/>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2002.</w:t>
            </w: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r>
      <w:tr>
        <w:trPr>
          <w:trHeight w:val="20"/>
        </w:trPr>
        <w:tc>
          <w:tcPr>
            <w:tcW w:w="1160" w:type="dxa"/>
            <w:vAlign w:val="bottom"/>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2002.</w:t>
            </w: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Compensation Recovery Policy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r>
      <w:tr>
        <w:trPr>
          <w:trHeight w:val="39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w:t>
            </w:r>
          </w:p>
        </w:tc>
      </w:tr>
      <w:tr>
        <w:trPr>
          <w:trHeight w:val="216"/>
        </w:trPr>
        <w:tc>
          <w:tcPr>
            <w:tcW w:w="1160" w:type="dxa"/>
            <w:vAlign w:val="bottom"/>
          </w:tcPr>
          <w:p>
            <w:pPr>
              <w:spacing w:after="0"/>
              <w:rPr>
                <w:sz w:val="18"/>
                <w:szCs w:val="18"/>
                <w:color w:val="auto"/>
              </w:rPr>
            </w:pP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r>
      <w:tr>
        <w:trPr>
          <w:trHeight w:val="234"/>
        </w:trPr>
        <w:tc>
          <w:tcPr>
            <w:tcW w:w="1160" w:type="dxa"/>
            <w:vAlign w:val="bottom"/>
          </w:tcPr>
          <w:p>
            <w:pPr>
              <w:spacing w:after="0"/>
              <w:rPr>
                <w:sz w:val="20"/>
                <w:szCs w:val="20"/>
                <w:color w:val="auto"/>
              </w:rPr>
            </w:pP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57" w:lineRule="exact"/>
        <w:rPr>
          <w:sz w:val="20"/>
          <w:szCs w:val="20"/>
          <w:color w:val="auto"/>
        </w:rPr>
      </w:pPr>
    </w:p>
    <w:p>
      <w:pPr>
        <w:ind w:left="1160" w:right="4700" w:hanging="1139"/>
        <w:spacing w:after="0" w:line="312" w:lineRule="auto"/>
        <w:tabs>
          <w:tab w:leader="none" w:pos="11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1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05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05"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Indicated management contract or compensatory plan.</w:t>
      </w:r>
    </w:p>
    <w:p>
      <w:pPr>
        <w:spacing w:after="0" w:line="143" w:lineRule="exact"/>
        <w:rPr>
          <w:sz w:val="20"/>
          <w:szCs w:val="20"/>
          <w:color w:val="auto"/>
        </w:rPr>
      </w:pPr>
    </w:p>
    <w:p>
      <w:pPr>
        <w:ind w:firstLine="8"/>
        <w:spacing w:after="0" w:line="338" w:lineRule="auto"/>
        <w:tabs>
          <w:tab w:leader="none" w:pos="1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not to include summary information.</w:t>
      </w: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6" w:right="6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82"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26035</wp:posOffset>
            </wp:positionV>
            <wp:extent cx="318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3185160" cy="8255"/>
                    </a:xfrm>
                    <a:prstGeom prst="rect">
                      <a:avLst/>
                    </a:prstGeom>
                    <a:noFill/>
                  </pic:spPr>
                </pic:pic>
              </a:graphicData>
            </a:graphic>
          </wp:anchor>
        </w:drawing>
      </w:r>
    </w:p>
    <w:p>
      <w:pPr>
        <w:spacing w:after="0" w:line="7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3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Mack, Ph.D. and Michael Carulli,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13"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5"/>
                <w:szCs w:val="15"/>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0" w:type="dxa"/>
            <w:vAlign w:val="bottom"/>
          </w:tcPr>
          <w:p>
            <w:pPr>
              <w:spacing w:after="0"/>
              <w:rPr>
                <w:sz w:val="15"/>
                <w:szCs w:val="15"/>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3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David H. Mack, Ph.D.</w:t>
            </w:r>
          </w:p>
        </w:tc>
        <w:tc>
          <w:tcPr>
            <w:tcW w:w="14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Carulli</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Carulli</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Heyman</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Chairman of the Board of</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Heyman, Ph.D.</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Directors</w:t>
            </w: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Arnold Levine</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Arnold Levine, Ph.D.</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 Gallagher</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Carol Gallagher, Ph.D.</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Laurie Stelzer</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Laurie Stelzer</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M. Baum</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M. Baum, MD., Ph.D.</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Kirsten Flowers</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Kirsten Flowers</w:t>
            </w: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7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Reviewed &amp; Updated by PMV Board as of:</w:t>
      </w:r>
    </w:p>
    <w:p>
      <w:pPr>
        <w:spacing w:after="0" w:line="2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b w:val="1"/>
          <w:bCs w:val="1"/>
          <w:i w:val="1"/>
          <w:iCs w:val="1"/>
          <w:color w:val="auto"/>
        </w:rPr>
        <w:t>February 27, 2024 (“Updated Effective Date”)</w:t>
      </w:r>
    </w:p>
    <w:p>
      <w:pPr>
        <w:spacing w:after="0" w:line="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PMV Pharmaceuticals,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believes that providing cash and equity compensation to its members of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members of the Board, the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represents an effective tool to attract, retain and reward Directors who are not employees of the Company (the “</w:t>
      </w:r>
      <w:r>
        <w:rPr>
          <w:rFonts w:ascii="Times New Roman" w:cs="Times New Roman" w:eastAsia="Times New Roman" w:hAnsi="Times New Roman"/>
          <w:sz w:val="22"/>
          <w:szCs w:val="22"/>
          <w:b w:val="1"/>
          <w:bCs w:val="1"/>
          <w:color w:val="auto"/>
        </w:rPr>
        <w:t>Outside Directors</w:t>
      </w:r>
      <w:r>
        <w:rPr>
          <w:rFonts w:ascii="Times New Roman" w:cs="Times New Roman" w:eastAsia="Times New Roman" w:hAnsi="Times New Roman"/>
          <w:sz w:val="22"/>
          <w:szCs w:val="22"/>
          <w:color w:val="auto"/>
        </w:rPr>
        <w:t>”). This Outside Director Compensation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Section 6 of this Policy, this Policy will be effective as of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760" w:hanging="378"/>
        <w:spacing w:after="0"/>
        <w:tabs>
          <w:tab w:leader="none" w:pos="7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Annual Cash Retainer</w:t>
      </w:r>
    </w:p>
    <w:p>
      <w:pPr>
        <w:spacing w:after="0" w:line="20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Each Outside Director will be paid an annual cash retainer of $40,000. There are no per-meeting attendance fees for attending Board meetings. This cash compensation will be paid quarterly in arrears on a prorated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33" w:name="page134"/>
    <w:bookmarkEnd w:id="133"/>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Committee Annual Cash Retainer</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282"/>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Chair of the Board</w:t>
            </w: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35,000</w:t>
            </w:r>
          </w:p>
        </w:tc>
      </w:tr>
      <w:tr>
        <w:trPr>
          <w:trHeight w:val="48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Chair of Audit Committee:</w:t>
            </w: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48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Member of Audit Committee:</w:t>
            </w: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w:t>
            </w:r>
          </w:p>
        </w:tc>
      </w:tr>
      <w:tr>
        <w:trPr>
          <w:trHeight w:val="48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48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Member of Compensation Committee:</w:t>
            </w: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r>
        <w:trPr>
          <w:trHeight w:val="48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Chair of Nominating and Governance Committee:</w:t>
            </w: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8,000</w:t>
            </w:r>
          </w:p>
        </w:tc>
      </w:tr>
      <w:tr>
        <w:trPr>
          <w:trHeight w:val="48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Member of Nominating and Governance Committee:</w:t>
            </w:r>
          </w:p>
        </w:tc>
        <w:tc>
          <w:tcPr>
            <w:tcW w:w="19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4,000</w:t>
            </w:r>
          </w:p>
        </w:tc>
      </w:tr>
    </w:tbl>
    <w:p>
      <w:pPr>
        <w:spacing w:after="0" w:line="21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shall receive only the additional annual cash fee as the chair of the committee, and not the additional annual cash fee as a member of the committee.</w:t>
      </w:r>
    </w:p>
    <w:p>
      <w:pPr>
        <w:spacing w:after="0" w:line="153" w:lineRule="exact"/>
        <w:rPr>
          <w:sz w:val="20"/>
          <w:szCs w:val="20"/>
          <w:color w:val="auto"/>
        </w:rPr>
      </w:pPr>
    </w:p>
    <w:p>
      <w:pPr>
        <w:ind w:left="760" w:hanging="378"/>
        <w:spacing w:after="0"/>
        <w:tabs>
          <w:tab w:leader="none" w:pos="7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79" w:lineRule="exact"/>
        <w:rPr>
          <w:sz w:val="20"/>
          <w:szCs w:val="20"/>
          <w:color w:val="auto"/>
        </w:rPr>
      </w:pPr>
    </w:p>
    <w:p>
      <w:pPr>
        <w:ind w:firstLine="757"/>
        <w:spacing w:after="0" w:line="258" w:lineRule="auto"/>
        <w:tabs>
          <w:tab w:leader="none" w:pos="106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w:t>
      </w:r>
    </w:p>
    <w:p>
      <w:pPr>
        <w:spacing w:after="0" w:line="157" w:lineRule="exact"/>
        <w:rPr>
          <w:rFonts w:ascii="Times New Roman" w:cs="Times New Roman" w:eastAsia="Times New Roman" w:hAnsi="Times New Roman"/>
          <w:sz w:val="22"/>
          <w:szCs w:val="22"/>
          <w:color w:val="auto"/>
        </w:rPr>
      </w:pPr>
    </w:p>
    <w:p>
      <w:pPr>
        <w:jc w:val="both"/>
        <w:ind w:firstLine="757"/>
        <w:spacing w:after="0" w:line="236" w:lineRule="auto"/>
        <w:tabs>
          <w:tab w:leader="none" w:pos="10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Following the Updated Effective Date, each individual who becomes a newly appointed Outside Director will be granted an award of stock options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covering 45,000 Shares (subject to adjustment for changes in capitalization under the Plan).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Initial Award will vest in equal amounts on the same day of the month as the date the individual first becomes an Outside Director over the 36 months following the month during which the individual first becomes an Outside Director, subject to the Outside Director continuing to be a Service Provider through the applicable vesting date.</w:t>
      </w:r>
    </w:p>
    <w:p>
      <w:pPr>
        <w:spacing w:after="0" w:line="179" w:lineRule="exact"/>
        <w:rPr>
          <w:sz w:val="20"/>
          <w:szCs w:val="20"/>
          <w:color w:val="auto"/>
        </w:rPr>
      </w:pPr>
    </w:p>
    <w:p>
      <w:pPr>
        <w:jc w:val="both"/>
        <w:ind w:firstLine="757"/>
        <w:spacing w:after="0" w:line="244" w:lineRule="auto"/>
        <w:tabs>
          <w:tab w:leader="none" w:pos="104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date of each annual meeting of the Company’s stockholders following the Updated Effective Date (each,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each Outside Director will be automatically granted an award of stock options (an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covering 22,500 Shares (subject to adjustment for changes in capitalization under the Plan).</w:t>
      </w:r>
    </w:p>
    <w:p>
      <w:pPr>
        <w:spacing w:after="0" w:line="172"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Subject to Section 3 of this Policy, each Annual Award will vest on the earlier of (i) the one-year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135" w:lineRule="exact"/>
        <w:rPr>
          <w:sz w:val="20"/>
          <w:szCs w:val="20"/>
          <w:color w:val="auto"/>
        </w:rPr>
      </w:pPr>
    </w:p>
    <w:p>
      <w:pPr>
        <w:ind w:left="760" w:hanging="378"/>
        <w:spacing w:after="0"/>
        <w:tabs>
          <w:tab w:leader="none" w:pos="7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the event of a Change in Control, each Outside Director outstanding Company equity awards will accelerate and vest.</w:t>
      </w:r>
    </w:p>
    <w:p>
      <w:pPr>
        <w:spacing w:after="0" w:line="224"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to Board or Board committee meetings will be reimbursed by the Company.</w:t>
      </w:r>
    </w:p>
    <w:p>
      <w:pPr>
        <w:spacing w:after="0" w:line="153" w:lineRule="exact"/>
        <w:rPr>
          <w:sz w:val="20"/>
          <w:szCs w:val="20"/>
          <w:color w:val="auto"/>
        </w:rPr>
      </w:pPr>
    </w:p>
    <w:p>
      <w:pPr>
        <w:ind w:left="760" w:hanging="378"/>
        <w:spacing w:after="0"/>
        <w:tabs>
          <w:tab w:leader="none" w:pos="7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provisions of the Plan not inconsistent with this Policy will apply to Awards granted to Outside Directors.</w:t>
      </w:r>
    </w:p>
    <w:p>
      <w:pPr>
        <w:spacing w:after="0" w:line="201"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22"/>
          <w:szCs w:val="22"/>
          <w:b w:val="1"/>
          <w:bCs w:val="1"/>
          <w:u w:val="single" w:color="auto"/>
          <w:color w:val="auto"/>
        </w:rPr>
        <w:t xml:space="preserve"> 409A</w:t>
      </w:r>
    </w:p>
    <w:p>
      <w:pPr>
        <w:spacing w:after="0" w:line="20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79"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evision</w:t>
      </w:r>
    </w:p>
    <w:p>
      <w:pPr>
        <w:spacing w:after="0" w:line="20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PMV PHARMACEUTICALS, INC.</w:t>
      </w:r>
    </w:p>
    <w:p>
      <w:pPr>
        <w:spacing w:after="0" w:line="3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HIS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ONSULTING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w:t>
      </w:r>
      <w:r>
        <w:rPr>
          <w:rFonts w:ascii="Times New Roman" w:cs="Times New Roman" w:eastAsia="Times New Roman" w:hAnsi="Times New Roman"/>
          <w:sz w:val="22"/>
          <w:szCs w:val="22"/>
          <w:b w:val="1"/>
          <w:bCs w:val="1"/>
          <w:color w:val="auto"/>
        </w:rPr>
        <w:t xml:space="preserve"> PMV P</w:t>
      </w:r>
      <w:r>
        <w:rPr>
          <w:rFonts w:ascii="Times New Roman" w:cs="Times New Roman" w:eastAsia="Times New Roman" w:hAnsi="Times New Roman"/>
          <w:sz w:val="17"/>
          <w:szCs w:val="17"/>
          <w:b w:val="1"/>
          <w:bCs w:val="1"/>
          <w:color w:val="auto"/>
        </w:rPr>
        <w:t>HARMACEUTICALS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Winston Kung</w:t>
      </w:r>
      <w:r>
        <w:rPr>
          <w:rFonts w:ascii="Times New Roman" w:cs="Times New Roman" w:eastAsia="Times New Roman" w:hAnsi="Times New Roman"/>
          <w:sz w:val="22"/>
          <w:szCs w:val="22"/>
          <w:color w:val="auto"/>
        </w:rPr>
        <w:t>, an individual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effective as of January 05, 2024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ECITALS</w:t>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2"/>
          <w:szCs w:val="22"/>
          <w:color w:val="auto"/>
        </w:rPr>
        <w:t>, Consultant is the Company’s former CFO/COO, and has unique skills and knowledge in the Company’s field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endeavor and thus is well suited to advise the Company for a fixed period following his resignation from the Company; and</w:t>
      </w:r>
    </w:p>
    <w:p>
      <w:pPr>
        <w:spacing w:after="0" w:line="1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2"/>
          <w:szCs w:val="22"/>
          <w:color w:val="auto"/>
        </w:rPr>
        <w:t>, the Company desires that Consultant advise and consult with the Company and Consultant agrees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assistance to the Company through a consulting relationship with the Company;</w:t>
      </w:r>
    </w:p>
    <w:p>
      <w:pPr>
        <w:spacing w:after="0" w:line="1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OW</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HEREFORE</w:t>
      </w:r>
      <w:r>
        <w:rPr>
          <w:rFonts w:ascii="Times New Roman" w:cs="Times New Roman" w:eastAsia="Times New Roman" w:hAnsi="Times New Roman"/>
          <w:sz w:val="22"/>
          <w:szCs w:val="22"/>
          <w:color w:val="auto"/>
        </w:rPr>
        <w:t>, in consideration of the mutual obligations specified in this Agreement, the parties agree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51" w:lineRule="exact"/>
        <w:rPr>
          <w:sz w:val="20"/>
          <w:szCs w:val="20"/>
          <w:color w:val="auto"/>
        </w:rPr>
      </w:pPr>
    </w:p>
    <w:p>
      <w:pPr>
        <w:ind w:left="380" w:right="20" w:hanging="372"/>
        <w:spacing w:after="0" w:line="261" w:lineRule="auto"/>
        <w:tabs>
          <w:tab w:leader="none" w:pos="3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ONSULTING</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ERVICES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hereby retains Consultant, and Consultant hereby accepts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to perform consulting services for the Company as set forth herein.</w:t>
      </w:r>
    </w:p>
    <w:p>
      <w:pPr>
        <w:spacing w:after="0" w:line="150"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ERVICES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Consultant shall provide services described in Exhibit 1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for the Company.</w:t>
      </w:r>
    </w:p>
    <w:p>
      <w:pPr>
        <w:spacing w:after="0" w:line="205" w:lineRule="exact"/>
        <w:rPr>
          <w:rFonts w:ascii="Times New Roman" w:cs="Times New Roman" w:eastAsia="Times New Roman" w:hAnsi="Times New Roman"/>
          <w:sz w:val="22"/>
          <w:szCs w:val="22"/>
          <w:color w:val="auto"/>
        </w:rPr>
      </w:pPr>
    </w:p>
    <w:p>
      <w:pPr>
        <w:ind w:left="900" w:hanging="5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OMPENSATION</w:t>
      </w:r>
      <w:r>
        <w:rPr>
          <w:rFonts w:ascii="Times New Roman" w:cs="Times New Roman" w:eastAsia="Times New Roman" w:hAnsi="Times New Roman"/>
          <w:sz w:val="22"/>
          <w:szCs w:val="22"/>
          <w:color w:val="auto"/>
        </w:rPr>
        <w:t>. Company agrees to pay Consultant the compensation set forth in Exhibit 1. The parties agree that the compensation is reasonable compensation, and consistent with fair market value in arm's-length transactions for similar services. Consultant will provide the Company with a completed trade registry extract (or Internal Revenue Service form W-8EN or similar document) before any compensation is paid under this Agreement.</w:t>
      </w:r>
    </w:p>
    <w:p>
      <w:pPr>
        <w:spacing w:after="0" w:line="174" w:lineRule="exact"/>
        <w:rPr>
          <w:rFonts w:ascii="Times New Roman" w:cs="Times New Roman" w:eastAsia="Times New Roman" w:hAnsi="Times New Roman"/>
          <w:sz w:val="22"/>
          <w:szCs w:val="22"/>
          <w:color w:val="auto"/>
        </w:rPr>
      </w:pPr>
    </w:p>
    <w:p>
      <w:pPr>
        <w:ind w:left="900" w:hanging="51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OMMITMENT</w:t>
      </w:r>
      <w:r>
        <w:rPr>
          <w:rFonts w:ascii="Times New Roman" w:cs="Times New Roman" w:eastAsia="Times New Roman" w:hAnsi="Times New Roman"/>
          <w:sz w:val="22"/>
          <w:szCs w:val="22"/>
          <w:color w:val="auto"/>
        </w:rPr>
        <w:t>. This Agreement will commence on the Effective Date and will continue from the Effective Date for a three (3) month period, unless terminated earlier by either party according to Section 1.7 below.</w:t>
      </w:r>
    </w:p>
    <w:p>
      <w:pPr>
        <w:spacing w:after="0" w:line="151" w:lineRule="exact"/>
        <w:rPr>
          <w:sz w:val="20"/>
          <w:szCs w:val="20"/>
          <w:color w:val="auto"/>
        </w:rPr>
      </w:pPr>
    </w:p>
    <w:p>
      <w:pPr>
        <w:ind w:left="380"/>
        <w:spacing w:after="0"/>
        <w:tabs>
          <w:tab w:leader="none" w:pos="8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AYMENT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ERMS AND</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XPENSE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EIMBURSEMENT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AYMENT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Company shall pay Consultant on a monthly basis.</w:t>
      </w:r>
    </w:p>
    <w:p>
      <w:pPr>
        <w:spacing w:after="0" w:line="205" w:lineRule="exact"/>
        <w:rPr>
          <w:sz w:val="20"/>
          <w:szCs w:val="20"/>
          <w:color w:val="auto"/>
        </w:rPr>
      </w:pPr>
    </w:p>
    <w:p>
      <w:pPr>
        <w:jc w:val="both"/>
        <w:ind w:left="1420" w:hanging="508"/>
        <w:spacing w:after="0" w:line="246"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XPENSES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shall reimburse Consultant for expenses actually incurred by Consultant in performing the Services, including but not limited to travel and accommodation expenses, so long as such expenses are reasonable and necessary as determined by the Company and, where such policies exist,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37" w:name="page138"/>
    <w:bookmarkEnd w:id="137"/>
    <w:p>
      <w:pPr>
        <w:spacing w:after="0" w:line="183" w:lineRule="exact"/>
        <w:rPr>
          <w:sz w:val="20"/>
          <w:szCs w:val="20"/>
          <w:color w:val="auto"/>
        </w:rPr>
      </w:pPr>
    </w:p>
    <w:p>
      <w:pPr>
        <w:jc w:val="both"/>
        <w:ind w:left="1420"/>
        <w:spacing w:after="0" w:line="244" w:lineRule="auto"/>
        <w:rPr>
          <w:sz w:val="20"/>
          <w:szCs w:val="20"/>
          <w:color w:val="auto"/>
        </w:rPr>
      </w:pPr>
      <w:r>
        <w:rPr>
          <w:rFonts w:ascii="Times New Roman" w:cs="Times New Roman" w:eastAsia="Times New Roman" w:hAnsi="Times New Roman"/>
          <w:sz w:val="22"/>
          <w:szCs w:val="22"/>
          <w:color w:val="auto"/>
        </w:rPr>
        <w:t>with the Company’s expense policies. Consultant shall maintain adequate books and records relating to any expenses to be reimbursed. Consultant shall submit in a timely manner original receipts along with invoices and summarize expenses in a form acceptable to the Company.</w:t>
      </w:r>
    </w:p>
    <w:p>
      <w:pPr>
        <w:spacing w:after="0" w:line="168" w:lineRule="exact"/>
        <w:rPr>
          <w:sz w:val="20"/>
          <w:szCs w:val="20"/>
          <w:color w:val="auto"/>
        </w:rPr>
      </w:pPr>
    </w:p>
    <w:p>
      <w:pPr>
        <w:jc w:val="both"/>
        <w:ind w:left="900" w:hanging="509"/>
        <w:spacing w:after="0" w:line="237" w:lineRule="auto"/>
        <w:tabs>
          <w:tab w:leader="none" w:pos="8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EPRESENTATIONS</w:t>
      </w:r>
      <w:r>
        <w:rPr>
          <w:rFonts w:ascii="Times New Roman" w:cs="Times New Roman" w:eastAsia="Times New Roman" w:hAnsi="Times New Roman"/>
          <w:sz w:val="22"/>
          <w:szCs w:val="22"/>
          <w:color w:val="auto"/>
        </w:rPr>
        <w:t>. Consultant represents that he (i) if applicable, has the approval of Consultant’s employer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the Services and receive the payments detailed in this Agreement; (ii) has not been debarred, convicted, or subject to a pending debarment or conviction, pursuant to the United States Food Drug and Cosmetic Act or applicable laws and regulations; (iii) agrees to abide by all legal restrictions placed upon Consultant by applicable laws, physician codes of conduct, hospital rules or otherwise; and (iv) has no relationship with third parties, including competitors of the Company, that would present a conflict of interest with the performance of the Services.</w:t>
      </w:r>
    </w:p>
    <w:p>
      <w:pPr>
        <w:spacing w:after="0" w:line="173" w:lineRule="exact"/>
        <w:rPr>
          <w:sz w:val="20"/>
          <w:szCs w:val="20"/>
          <w:color w:val="auto"/>
        </w:rPr>
      </w:pPr>
    </w:p>
    <w:p>
      <w:pPr>
        <w:jc w:val="both"/>
        <w:ind w:left="900" w:hanging="509"/>
        <w:spacing w:after="0" w:line="233" w:lineRule="auto"/>
        <w:tabs>
          <w:tab w:leader="none" w:pos="8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NDEPENDENCE</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7"/>
          <w:szCs w:val="17"/>
          <w:b w:val="1"/>
          <w:bCs w:val="1"/>
          <w:color w:val="auto"/>
        </w:rPr>
        <w:t>NDEPENDENT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ONTRACTOR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TATUS</w:t>
      </w:r>
      <w:r>
        <w:rPr>
          <w:rFonts w:ascii="Times New Roman" w:cs="Times New Roman" w:eastAsia="Times New Roman" w:hAnsi="Times New Roman"/>
          <w:sz w:val="22"/>
          <w:szCs w:val="22"/>
          <w:color w:val="auto"/>
        </w:rPr>
        <w:t>. It is understood and agreed that (i) neither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the Services, nor his receipt of consideration under this Agreement shall require, induce, or in any way influence Consultant to promote, recommend, require the use of, or list on any formulary, any pharmaceutical product manufactured, produced or distributed by the Company, and (ii) Consultant is an independent contractor, is not an agent or employee of the Company (having resigned his CFO/COO position immediately prior to the Effective Date), and is not authorized to act on behalf of the Company. Except as provided in Consultant’s prior Employment Agreement and related benefits with the Company (including continued stock option vesting during the Term of this Agreement, and payout of his 2023 cash bonus at the final Board-approved corporate target),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to provide services for others during the term of this Agreement and is not required to devote his services exclusively for the Company.</w:t>
      </w:r>
    </w:p>
    <w:p>
      <w:pPr>
        <w:spacing w:after="0" w:line="181" w:lineRule="exact"/>
        <w:rPr>
          <w:sz w:val="20"/>
          <w:szCs w:val="20"/>
          <w:color w:val="auto"/>
        </w:rPr>
      </w:pPr>
    </w:p>
    <w:p>
      <w:pPr>
        <w:jc w:val="both"/>
        <w:ind w:left="900" w:hanging="509"/>
        <w:spacing w:after="0" w:line="234" w:lineRule="auto"/>
        <w:tabs>
          <w:tab w:leader="none" w:pos="8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Consultant may terminate this Agreement at any time by giving ten (10)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written notice. Company may terminate this Agreement immediately upon written notice and without prior notice if Consultant refuses to or is unable to perform the Services or is in breach of any material provision of this Agreement. In the event of such termination, Consultant shall cease work immediately after receiving such notice of termination, unless otherwise agreed to in writing with the Company. At the time of termination of this Agreement for any reason, Consultant shall return to the Company all Information, Service Product, and other materials belonging to the Company, and shall notify the Company of any compensation earned and expenses incurred up to the termination date, which compensation and expenses shall be paid by the Company within 30 days of the Company’s receipt of Consultant’s invoice for same.</w:t>
      </w:r>
    </w:p>
    <w:p>
      <w:pPr>
        <w:spacing w:after="0" w:line="180" w:lineRule="exact"/>
        <w:rPr>
          <w:sz w:val="20"/>
          <w:szCs w:val="20"/>
          <w:color w:val="auto"/>
        </w:rPr>
      </w:pPr>
    </w:p>
    <w:p>
      <w:pPr>
        <w:ind w:left="520" w:hanging="512"/>
        <w:spacing w:after="0" w:line="261" w:lineRule="auto"/>
        <w:tabs>
          <w:tab w:leader="none" w:pos="5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ONFIDENTIALITY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SSIGNMENT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NVENTIONS</w:t>
      </w:r>
      <w:r>
        <w:rPr>
          <w:rFonts w:ascii="Times New Roman" w:cs="Times New Roman" w:eastAsia="Times New Roman" w:hAnsi="Times New Roman"/>
          <w:sz w:val="22"/>
          <w:szCs w:val="22"/>
          <w:color w:val="auto"/>
        </w:rPr>
        <w:t>. As a condition of this Agreement, Consultant agrees to all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Section 1, Exhibit 2 (Confidentiality) and Section 2, Exhibit 2 (Assignment of Inventions).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9" w:lineRule="exact"/>
        <w:rPr>
          <w:sz w:val="20"/>
          <w:szCs w:val="20"/>
          <w:color w:val="auto"/>
        </w:rPr>
      </w:pPr>
    </w:p>
    <w:p>
      <w:pPr>
        <w:ind w:left="520" w:hanging="512"/>
        <w:spacing w:after="0" w:line="261" w:lineRule="auto"/>
        <w:tabs>
          <w:tab w:leader="none" w:pos="5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URVIVING</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ECTIONS</w:t>
      </w:r>
      <w:r>
        <w:rPr>
          <w:rFonts w:ascii="Times New Roman" w:cs="Times New Roman" w:eastAsia="Times New Roman" w:hAnsi="Times New Roman"/>
          <w:sz w:val="22"/>
          <w:szCs w:val="22"/>
          <w:color w:val="auto"/>
        </w:rPr>
        <w:t>. Sections 1 (Confidentiality) and 2 (Ownership of Inventions) of Exhibit 2 of the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survive any termination of this Agreement for the period of five (5) years from the execution of this agreement.</w:t>
      </w:r>
    </w:p>
    <w:p>
      <w:pPr>
        <w:spacing w:after="0" w:line="150" w:lineRule="exact"/>
        <w:rPr>
          <w:rFonts w:ascii="Times New Roman" w:cs="Times New Roman" w:eastAsia="Times New Roman" w:hAnsi="Times New Roman"/>
          <w:sz w:val="22"/>
          <w:szCs w:val="22"/>
          <w:color w:val="auto"/>
        </w:rPr>
      </w:pPr>
    </w:p>
    <w:p>
      <w:pPr>
        <w:jc w:val="both"/>
        <w:ind w:left="520" w:hanging="512"/>
        <w:spacing w:after="0" w:line="238" w:lineRule="auto"/>
        <w:tabs>
          <w:tab w:leader="none" w:pos="5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SSIGNMENT</w:t>
      </w:r>
      <w:r>
        <w:rPr>
          <w:rFonts w:ascii="Times New Roman" w:cs="Times New Roman" w:eastAsia="Times New Roman" w:hAnsi="Times New Roman"/>
          <w:sz w:val="22"/>
          <w:szCs w:val="22"/>
          <w:b w:val="1"/>
          <w:bCs w:val="1"/>
          <w:color w:val="auto"/>
        </w:rPr>
        <w:t>; B</w:t>
      </w:r>
      <w:r>
        <w:rPr>
          <w:rFonts w:ascii="Times New Roman" w:cs="Times New Roman" w:eastAsia="Times New Roman" w:hAnsi="Times New Roman"/>
          <w:sz w:val="17"/>
          <w:szCs w:val="17"/>
          <w:b w:val="1"/>
          <w:bCs w:val="1"/>
          <w:color w:val="auto"/>
        </w:rPr>
        <w:t>ENEFIT</w:t>
      </w:r>
      <w:r>
        <w:rPr>
          <w:rFonts w:ascii="Times New Roman" w:cs="Times New Roman" w:eastAsia="Times New Roman" w:hAnsi="Times New Roman"/>
          <w:sz w:val="22"/>
          <w:szCs w:val="22"/>
          <w:color w:val="auto"/>
        </w:rPr>
        <w:t>. This Agreement is for the personal services of Consultant and may not be assigned by him,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it be assignable by operation of law, without the prior written consent of the Company. This Agreement may not be assigned by the Company, nor shall it be assignable by operation of law, without the prior written consent of Consultant. The parties’ rights and obligations under this Agreement will bind and inure to the benefit of their respective successors, heirs, executors, and administrators and permitted assigns.</w:t>
      </w:r>
    </w:p>
    <w:p>
      <w:pPr>
        <w:spacing w:after="0" w:line="174" w:lineRule="exact"/>
        <w:rPr>
          <w:rFonts w:ascii="Times New Roman" w:cs="Times New Roman" w:eastAsia="Times New Roman" w:hAnsi="Times New Roman"/>
          <w:sz w:val="22"/>
          <w:szCs w:val="22"/>
          <w:color w:val="auto"/>
        </w:rPr>
      </w:pPr>
    </w:p>
    <w:p>
      <w:pPr>
        <w:jc w:val="both"/>
        <w:ind w:left="520" w:hanging="512"/>
        <w:spacing w:after="0"/>
        <w:tabs>
          <w:tab w:leader="none" w:pos="5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AW</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7"/>
          <w:szCs w:val="17"/>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according to the laws of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New Jersey without regard to its conflict of laws rules. If any provision of this Agreement is found by a court of competent jurisdiction to be unenforceable, that provision shall be severed and the remainder of this Agreement shall continue in full force and effect.</w:t>
      </w:r>
    </w:p>
    <w:p>
      <w:pPr>
        <w:spacing w:after="0" w:line="174" w:lineRule="exact"/>
        <w:rPr>
          <w:rFonts w:ascii="Times New Roman" w:cs="Times New Roman" w:eastAsia="Times New Roman" w:hAnsi="Times New Roman"/>
          <w:sz w:val="22"/>
          <w:szCs w:val="22"/>
          <w:color w:val="auto"/>
        </w:rPr>
      </w:pPr>
    </w:p>
    <w:p>
      <w:pPr>
        <w:jc w:val="both"/>
        <w:ind w:left="520" w:hanging="512"/>
        <w:spacing w:after="0"/>
        <w:tabs>
          <w:tab w:leader="none" w:pos="5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OMPLETE</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NDERSTANDING</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7"/>
          <w:szCs w:val="17"/>
          <w:b w:val="1"/>
          <w:bCs w:val="1"/>
          <w:color w:val="auto"/>
        </w:rPr>
        <w:t>ODIFICATION</w:t>
      </w:r>
      <w:r>
        <w:rPr>
          <w:rFonts w:ascii="Times New Roman" w:cs="Times New Roman" w:eastAsia="Times New Roman" w:hAnsi="Times New Roman"/>
          <w:sz w:val="22"/>
          <w:szCs w:val="22"/>
          <w:color w:val="auto"/>
        </w:rPr>
        <w:t>. This Agreement, together with any Exhibits attached hereto, constitutes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final, exclusive and complete understanding and agreement of the Company and Consultant with respect to the subject matter hereof. Any waiver, modification or amendment of any provision of this Agreement shall be effective only if in writing and signed by Consultant and a Company officer.</w:t>
      </w:r>
    </w:p>
    <w:p>
      <w:pPr>
        <w:spacing w:after="0" w:line="174" w:lineRule="exact"/>
        <w:rPr>
          <w:rFonts w:ascii="Times New Roman" w:cs="Times New Roman" w:eastAsia="Times New Roman" w:hAnsi="Times New Roman"/>
          <w:sz w:val="22"/>
          <w:szCs w:val="22"/>
          <w:color w:val="auto"/>
        </w:rPr>
      </w:pPr>
    </w:p>
    <w:p>
      <w:pPr>
        <w:jc w:val="both"/>
        <w:ind w:left="520" w:hanging="512"/>
        <w:spacing w:after="0" w:line="261" w:lineRule="auto"/>
        <w:tabs>
          <w:tab w:leader="none" w:pos="5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8"/>
          <w:szCs w:val="18"/>
          <w:b w:val="1"/>
          <w:bCs w:val="1"/>
          <w:color w:val="auto"/>
        </w:rPr>
        <w:t>IABILITY</w:t>
      </w:r>
      <w:r>
        <w:rPr>
          <w:rFonts w:ascii="Times New Roman" w:cs="Times New Roman" w:eastAsia="Times New Roman" w:hAnsi="Times New Roman"/>
          <w:sz w:val="20"/>
          <w:szCs w:val="20"/>
          <w:color w:val="auto"/>
        </w:rPr>
        <w:t>. Consultant represents that he is experienced and qualified to perform the Services hereunder and shall use 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best efforts to provide the Services with the highest level of skill and professionalism. Except for the foregoing, Consultant makes no warranties with regard to the Services and none shall be implied. In no event shall Consultant be liable for special or consequential damages, either in contract or tort, whether or not the possibility of such damages has been disclosed to Consultant in advance or could have been reasonably foreseen by Consultant. In the event this limitation of damages is held unenforceable, the parties agree that because of the difficulty in foreseeing possible damages, Consultant’s liability to the Company shall not exceed the amount of any payments made by the Company to Consultant under this Agreement, any such liability for payment to be construed as liquidated damages and not as a penalty.</w:t>
      </w:r>
    </w:p>
    <w:p>
      <w:pPr>
        <w:spacing w:after="0" w:line="156" w:lineRule="exact"/>
        <w:rPr>
          <w:rFonts w:ascii="Times New Roman" w:cs="Times New Roman" w:eastAsia="Times New Roman" w:hAnsi="Times New Roman"/>
          <w:sz w:val="20"/>
          <w:szCs w:val="20"/>
          <w:color w:val="auto"/>
        </w:rPr>
      </w:pPr>
    </w:p>
    <w:p>
      <w:pPr>
        <w:jc w:val="both"/>
        <w:ind w:left="520" w:hanging="512"/>
        <w:spacing w:after="0" w:line="246" w:lineRule="auto"/>
        <w:tabs>
          <w:tab w:leader="none" w:pos="5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required or permitted hereunder shall be given to the appropriate party at the address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or at such other address as the party shall specify in writing. Such notice shall be deemed given upon personal delivery to the appropriate address or sent by certified or registered mail, three days after the date of mailing.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If to the Company:</w:t>
            </w:r>
          </w:p>
        </w:tc>
        <w:tc>
          <w:tcPr>
            <w:tcW w:w="774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If to the Consultant:</w:t>
            </w:r>
          </w:p>
        </w:tc>
      </w:tr>
      <w:tr>
        <w:trPr>
          <w:trHeight w:val="527"/>
        </w:trPr>
        <w:tc>
          <w:tcPr>
            <w:tcW w:w="35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PMV Pharmaceuticals, Inc.</w:t>
            </w:r>
          </w:p>
        </w:tc>
        <w:tc>
          <w:tcPr>
            <w:tcW w:w="774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Winston Kung</w:t>
            </w:r>
          </w:p>
        </w:tc>
      </w:tr>
      <w:tr>
        <w:trPr>
          <w:trHeight w:val="270"/>
        </w:trPr>
        <w:tc>
          <w:tcPr>
            <w:tcW w:w="35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One Research Way</w:t>
            </w:r>
          </w:p>
        </w:tc>
        <w:tc>
          <w:tcPr>
            <w:tcW w:w="774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96 Oakview Terrace</w:t>
            </w:r>
          </w:p>
        </w:tc>
      </w:tr>
      <w:tr>
        <w:trPr>
          <w:trHeight w:val="282"/>
        </w:trPr>
        <w:tc>
          <w:tcPr>
            <w:tcW w:w="35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Princeton, NJ 08540</w:t>
            </w:r>
          </w:p>
        </w:tc>
        <w:tc>
          <w:tcPr>
            <w:tcW w:w="774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Short Hills, NJ 07078</w:t>
            </w:r>
          </w:p>
        </w:tc>
      </w:tr>
      <w:tr>
        <w:trPr>
          <w:trHeight w:val="499"/>
        </w:trPr>
        <w:tc>
          <w:tcPr>
            <w:tcW w:w="3500" w:type="dxa"/>
            <w:vAlign w:val="bottom"/>
          </w:tcPr>
          <w:p>
            <w:pPr>
              <w:spacing w:after="0"/>
              <w:rPr>
                <w:sz w:val="24"/>
                <w:szCs w:val="24"/>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tc>
      </w:tr>
      <w:tr>
        <w:trPr>
          <w:trHeight w:val="647"/>
        </w:trPr>
        <w:tc>
          <w:tcPr>
            <w:tcW w:w="3500" w:type="dxa"/>
            <w:vAlign w:val="bottom"/>
          </w:tcPr>
          <w:p>
            <w:pPr>
              <w:spacing w:after="0"/>
              <w:rPr>
                <w:sz w:val="24"/>
                <w:szCs w:val="24"/>
                <w:color w:val="auto"/>
              </w:rPr>
            </w:pPr>
          </w:p>
        </w:tc>
        <w:tc>
          <w:tcPr>
            <w:tcW w:w="774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3</w:t>
            </w:r>
          </w:p>
        </w:tc>
      </w:tr>
      <w:tr>
        <w:trPr>
          <w:trHeight w:val="750"/>
        </w:trPr>
        <w:tc>
          <w:tcPr>
            <w:tcW w:w="35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ind w:left="38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7"/>
          <w:szCs w:val="17"/>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7"/>
          <w:szCs w:val="17"/>
          <w:b w:val="1"/>
          <w:bCs w:val="1"/>
          <w:color w:val="auto"/>
        </w:rPr>
        <w:t>HEREOF</w:t>
      </w:r>
      <w:r>
        <w:rPr>
          <w:rFonts w:ascii="Times New Roman" w:cs="Times New Roman" w:eastAsia="Times New Roman" w:hAnsi="Times New Roman"/>
          <w:sz w:val="22"/>
          <w:szCs w:val="22"/>
          <w:color w:val="auto"/>
        </w:rPr>
        <w:t>, the parties hereto have executed this Agreement as of the Effective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PMV P</w:t>
            </w:r>
            <w:r>
              <w:rPr>
                <w:rFonts w:ascii="Times New Roman" w:cs="Times New Roman" w:eastAsia="Times New Roman" w:hAnsi="Times New Roman"/>
                <w:sz w:val="17"/>
                <w:szCs w:val="17"/>
                <w:b w:val="1"/>
                <w:bCs w:val="1"/>
                <w:color w:val="auto"/>
              </w:rPr>
              <w:t>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2"/>
                <w:szCs w:val="22"/>
                <w:b w:val="1"/>
                <w:bCs w:val="1"/>
                <w:color w:val="auto"/>
              </w:rPr>
              <w:t>.</w:t>
            </w:r>
          </w:p>
        </w:tc>
        <w:tc>
          <w:tcPr>
            <w:tcW w:w="226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INSTON</w:t>
            </w:r>
            <w:r>
              <w:rPr>
                <w:rFonts w:ascii="Times New Roman" w:cs="Times New Roman" w:eastAsia="Times New Roman" w:hAnsi="Times New Roman"/>
                <w:sz w:val="22"/>
                <w:szCs w:val="22"/>
                <w:b w:val="1"/>
                <w:bCs w:val="1"/>
                <w:color w:val="auto"/>
              </w:rPr>
              <w:t xml:space="preserve"> K</w:t>
            </w:r>
            <w:r>
              <w:rPr>
                <w:rFonts w:ascii="Times New Roman" w:cs="Times New Roman" w:eastAsia="Times New Roman" w:hAnsi="Times New Roman"/>
                <w:sz w:val="17"/>
                <w:szCs w:val="17"/>
                <w:b w:val="1"/>
                <w:bCs w:val="1"/>
                <w:color w:val="auto"/>
              </w:rPr>
              <w:t>UNG</w:t>
            </w:r>
          </w:p>
        </w:tc>
        <w:tc>
          <w:tcPr>
            <w:tcW w:w="2520" w:type="dxa"/>
            <w:vAlign w:val="bottom"/>
          </w:tcPr>
          <w:p>
            <w:pPr>
              <w:spacing w:after="0"/>
              <w:rPr>
                <w:sz w:val="24"/>
                <w:szCs w:val="24"/>
                <w:color w:val="auto"/>
              </w:rPr>
            </w:pPr>
          </w:p>
        </w:tc>
      </w:tr>
      <w:tr>
        <w:trPr>
          <w:trHeight w:val="538"/>
        </w:trPr>
        <w:tc>
          <w:tcPr>
            <w:tcW w:w="680" w:type="dxa"/>
            <w:vAlign w:val="bottom"/>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David Mack</w:t>
            </w:r>
          </w:p>
        </w:tc>
        <w:tc>
          <w:tcPr>
            <w:tcW w:w="2260" w:type="dxa"/>
            <w:vAlign w:val="bottom"/>
          </w:tcPr>
          <w:p>
            <w:pPr>
              <w:spacing w:after="0"/>
              <w:rPr>
                <w:sz w:val="24"/>
                <w:szCs w:val="24"/>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/s/ Winston Kung</w:t>
            </w:r>
          </w:p>
        </w:tc>
        <w:tc>
          <w:tcPr>
            <w:tcW w:w="2520" w:type="dxa"/>
            <w:vAlign w:val="bottom"/>
            <w:tcBorders>
              <w:bottom w:val="single" w:sz="8" w:color="auto"/>
            </w:tcBorders>
          </w:tcPr>
          <w:p>
            <w:pPr>
              <w:spacing w:after="0"/>
              <w:rPr>
                <w:sz w:val="24"/>
                <w:szCs w:val="24"/>
                <w:color w:val="auto"/>
              </w:rPr>
            </w:pPr>
          </w:p>
        </w:tc>
      </w:tr>
      <w:tr>
        <w:trPr>
          <w:trHeight w:val="266"/>
        </w:trPr>
        <w:tc>
          <w:tcPr>
            <w:tcW w:w="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David Mack (Jan 5, 2024 08:30 PST)</w:t>
            </w:r>
          </w:p>
        </w:tc>
        <w:tc>
          <w:tcPr>
            <w:tcW w:w="2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802"/>
        </w:trPr>
        <w:tc>
          <w:tcPr>
            <w:tcW w:w="4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David Mack, CEO &amp; President</w:t>
            </w:r>
          </w:p>
        </w:tc>
        <w:tc>
          <w:tcPr>
            <w:tcW w:w="2260" w:type="dxa"/>
            <w:vAlign w:val="bottom"/>
          </w:tcPr>
          <w:p>
            <w:pPr>
              <w:spacing w:after="0"/>
              <w:rPr>
                <w:sz w:val="24"/>
                <w:szCs w:val="24"/>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Consultant</w:t>
            </w:r>
          </w:p>
        </w:tc>
        <w:tc>
          <w:tcPr>
            <w:tcW w:w="2520" w:type="dxa"/>
            <w:vAlign w:val="bottom"/>
            <w:tcBorders>
              <w:bottom w:val="single" w:sz="8" w:color="auto"/>
            </w:tcBorders>
          </w:tcPr>
          <w:p>
            <w:pPr>
              <w:spacing w:after="0"/>
              <w:rPr>
                <w:sz w:val="24"/>
                <w:szCs w:val="24"/>
                <w:color w:val="auto"/>
              </w:rPr>
            </w:pPr>
          </w:p>
        </w:tc>
      </w:tr>
      <w:tr>
        <w:trPr>
          <w:trHeight w:val="276"/>
        </w:trPr>
        <w:tc>
          <w:tcPr>
            <w:tcW w:w="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2520" w:type="dxa"/>
            <w:vAlign w:val="bottom"/>
          </w:tcPr>
          <w:p>
            <w:pPr>
              <w:spacing w:after="0"/>
              <w:rPr>
                <w:sz w:val="24"/>
                <w:szCs w:val="24"/>
                <w:color w:val="auto"/>
              </w:rPr>
            </w:pPr>
          </w:p>
        </w:tc>
      </w:tr>
      <w:tr>
        <w:trPr>
          <w:trHeight w:val="796"/>
        </w:trPr>
        <w:tc>
          <w:tcPr>
            <w:tcW w:w="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404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05-Jan-2024</w:t>
            </w:r>
          </w:p>
        </w:tc>
        <w:tc>
          <w:tcPr>
            <w:tcW w:w="226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25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05-Jan-2024</w:t>
            </w:r>
          </w:p>
        </w:tc>
      </w:tr>
      <w:tr>
        <w:trPr>
          <w:trHeight w:val="869"/>
        </w:trPr>
        <w:tc>
          <w:tcPr>
            <w:tcW w:w="680" w:type="dxa"/>
            <w:vAlign w:val="bottom"/>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226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4</w:t>
            </w:r>
          </w:p>
        </w:tc>
        <w:tc>
          <w:tcPr>
            <w:tcW w:w="7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r>
      <w:tr>
        <w:trPr>
          <w:trHeight w:val="750"/>
        </w:trPr>
        <w:tc>
          <w:tcPr>
            <w:tcW w:w="6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0" w:name="page141"/>
    <w:bookmarkEnd w:id="140"/>
    <w:p>
      <w:pPr>
        <w:ind w:left="4060"/>
        <w:spacing w:after="0"/>
        <w:rPr>
          <w:sz w:val="20"/>
          <w:szCs w:val="20"/>
          <w:color w:val="auto"/>
        </w:rPr>
      </w:pPr>
      <w:r>
        <w:rPr>
          <w:rFonts w:ascii="Times New Roman" w:cs="Times New Roman" w:eastAsia="Times New Roman" w:hAnsi="Times New Roman"/>
          <w:sz w:val="36"/>
          <w:szCs w:val="36"/>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hanging="372"/>
        <w:spacing w:after="0" w:line="261" w:lineRule="auto"/>
        <w:tabs>
          <w:tab w:leader="none" w:pos="3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ERVICES</w:t>
      </w:r>
      <w:r>
        <w:rPr>
          <w:rFonts w:ascii="Times New Roman" w:cs="Times New Roman" w:eastAsia="Times New Roman" w:hAnsi="Times New Roman"/>
          <w:sz w:val="22"/>
          <w:szCs w:val="22"/>
          <w:color w:val="auto"/>
        </w:rPr>
        <w:t>: Provide the Company with CFO / COO transition advisory services, and as to such other matters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agreed by the Company and Consultant.</w:t>
      </w:r>
    </w:p>
    <w:p>
      <w:pPr>
        <w:spacing w:after="0" w:line="15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OMPENSATION</w:t>
      </w:r>
      <w:r>
        <w:rPr>
          <w:rFonts w:ascii="Times New Roman" w:cs="Times New Roman" w:eastAsia="Times New Roman" w:hAnsi="Times New Roman"/>
          <w:sz w:val="22"/>
          <w:szCs w:val="22"/>
          <w:color w:val="auto"/>
        </w:rPr>
        <w:t>:</w:t>
      </w:r>
    </w:p>
    <w:p>
      <w:pPr>
        <w:spacing w:after="0" w:line="226" w:lineRule="exact"/>
        <w:rPr>
          <w:rFonts w:ascii="Times New Roman" w:cs="Times New Roman" w:eastAsia="Times New Roman" w:hAnsi="Times New Roman"/>
          <w:sz w:val="22"/>
          <w:szCs w:val="22"/>
          <w:color w:val="auto"/>
        </w:rPr>
      </w:pPr>
    </w:p>
    <w:p>
      <w:pPr>
        <w:ind w:left="900" w:right="20" w:hanging="510"/>
        <w:spacing w:after="0" w:line="22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Consultant will be paid weekly compensation of $5,000, payable in monthly installments,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each calendar month.</w:t>
      </w:r>
    </w:p>
    <w:p>
      <w:pPr>
        <w:spacing w:after="0" w:line="172" w:lineRule="exact"/>
        <w:rPr>
          <w:rFonts w:ascii="Times New Roman" w:cs="Times New Roman" w:eastAsia="Times New Roman" w:hAnsi="Times New Roman"/>
          <w:sz w:val="22"/>
          <w:szCs w:val="22"/>
          <w:color w:val="auto"/>
        </w:rPr>
      </w:pPr>
    </w:p>
    <w:p>
      <w:pPr>
        <w:jc w:val="both"/>
        <w:ind w:left="380" w:hanging="372"/>
        <w:spacing w:after="0"/>
        <w:tabs>
          <w:tab w:leader="none" w:pos="3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shall be reimbursed for reasonable expenses incurred in performance of Consultants’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these expenses shall be invoiced on a monthly basis and are approved by the Company. Domestic air travel, if approved by the Company, shall be reimbursed at business or comparable rate; international air travel, if approved by the Company, shall be reimbursed at business or comparable rate.</w:t>
      </w:r>
    </w:p>
    <w:p>
      <w:pPr>
        <w:spacing w:after="0" w:line="174"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IME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OMMITMENT</w:t>
      </w:r>
      <w:r>
        <w:rPr>
          <w:rFonts w:ascii="Times New Roman" w:cs="Times New Roman" w:eastAsia="Times New Roman" w:hAnsi="Times New Roman"/>
          <w:sz w:val="22"/>
          <w:szCs w:val="22"/>
          <w:color w:val="auto"/>
        </w:rPr>
        <w:t>: Consultant shall provide consulting services to the Company at Company’s reasonable request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of the agreement of approximately up to 8-10 hours per week, and as mutually agreed between Consultant and Company.</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ONTACT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ERSON</w:t>
      </w:r>
      <w:r>
        <w:rPr>
          <w:rFonts w:ascii="Times New Roman" w:cs="Times New Roman" w:eastAsia="Times New Roman" w:hAnsi="Times New Roman"/>
          <w:sz w:val="22"/>
          <w:szCs w:val="22"/>
          <w:color w:val="auto"/>
        </w:rPr>
        <w:t>: David Mack, Ph.D., Company’s CEO &amp; President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41" w:name="page142"/>
    <w:bookmarkEnd w:id="141"/>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Exhibit 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Confidentiality and Assignment of Invention</w:t>
      </w:r>
    </w:p>
    <w:p>
      <w:pPr>
        <w:spacing w:after="0" w:line="205" w:lineRule="exact"/>
        <w:rPr>
          <w:sz w:val="20"/>
          <w:szCs w:val="20"/>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ind w:left="900" w:hanging="51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1.1. Subject to the limitations set forth in Paragraph 1.2, all information disclosed by Company to Consultant or generated by Consultant in the course of performing the Services shall be “Confidential Information.” In particular, Confidential Information shall include, but not be limited to, information relating to any compound, chemical, peptide, protein, complex, conjugate, assay, biological material, virus, extract, media, vector, gene sequence, cell, cell component, cell line, formulation or sample; any procedure, discovery, invention, formula, data, result, process, idea or technique; any trade secret, trade dress, copyright, patent or other intellectual property right, or any registration or application therefore, or materials relating thereto; and any information relating to any of the foregoing or to any research, development (including pre-clinical and clinical development), manufacturing, engineering, marketing, servicing, sales, financing, legal or other business activities or to any present or future products, prices, plans, forecasts, suppliers, clients, customers, employees, consultants or investors; whether in oral, written, graphic or electronic form.</w:t>
      </w:r>
    </w:p>
    <w:p>
      <w:pPr>
        <w:spacing w:after="0" w:line="161" w:lineRule="exact"/>
        <w:rPr>
          <w:rFonts w:ascii="Times New Roman" w:cs="Times New Roman" w:eastAsia="Times New Roman" w:hAnsi="Times New Roman"/>
          <w:sz w:val="22"/>
          <w:szCs w:val="22"/>
          <w:color w:val="auto"/>
        </w:rPr>
      </w:pPr>
    </w:p>
    <w:p>
      <w:pPr>
        <w:ind w:left="900" w:hanging="51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The term “Confidential Information” shall not include information which Consultant can demonstrate by competent written proof: (a) is now, or hereafter becomes, through no act or failure to act on the part of Consultant, generally known or available in the public domain; (b) is known by Consultant at the time of receiving such information as evidenced by his/her records or other reasonable proof; or (c) is hereafter furnished to Consultant by a third party, as a matter of right and without restriction on disclosure.</w:t>
      </w:r>
    </w:p>
    <w:p>
      <w:pPr>
        <w:spacing w:after="0" w:line="180" w:lineRule="exact"/>
        <w:rPr>
          <w:rFonts w:ascii="Times New Roman" w:cs="Times New Roman" w:eastAsia="Times New Roman" w:hAnsi="Times New Roman"/>
          <w:sz w:val="22"/>
          <w:szCs w:val="22"/>
          <w:color w:val="auto"/>
        </w:rPr>
      </w:pPr>
    </w:p>
    <w:p>
      <w:pPr>
        <w:ind w:left="900" w:hanging="51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Consultant shall maintain all Confidential Information received from Company in trust and confidence and shall not disclose without the prior written permission of the Company any such Confidential Information to any third party or use any such Confidential Information for any unauthorized purpose. In particular and without limitation, Consultant shall not use any Confidential Information to support any patent application or related filing. Consultant may use such Confidential Information only to the extent required to perform the Services. Consultant shall not use Confidential Information for any purpose or in any manner, which would constitute a violation of any laws or regulations, including without limitation the export control laws of the United States. Nothing in this Agreement shall be construed to grant Consultant any rights or licenses (a) under Company’s trade secrets, trademarks, inventions, copyrights, patents or other intellectual property rights, or (b) to retain, distribute or commercialize any Confidential Information belonging to Company, in either case, except as necessary to perform the Services.</w:t>
      </w:r>
    </w:p>
    <w:p>
      <w:pPr>
        <w:spacing w:after="0" w:line="172" w:lineRule="exact"/>
        <w:rPr>
          <w:rFonts w:ascii="Times New Roman" w:cs="Times New Roman" w:eastAsia="Times New Roman" w:hAnsi="Times New Roman"/>
          <w:sz w:val="22"/>
          <w:szCs w:val="22"/>
          <w:color w:val="auto"/>
        </w:rPr>
      </w:pPr>
    </w:p>
    <w:p>
      <w:pPr>
        <w:ind w:left="900" w:hanging="5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color w:val="auto"/>
        </w:rPr>
        <w:t>Other Employer Information</w:t>
      </w:r>
      <w:r>
        <w:rPr>
          <w:rFonts w:ascii="Times New Roman" w:cs="Times New Roman" w:eastAsia="Times New Roman" w:hAnsi="Times New Roman"/>
          <w:sz w:val="22"/>
          <w:szCs w:val="22"/>
          <w:color w:val="auto"/>
        </w:rPr>
        <w:t>. Consultant agrees that he will not, during his engagement with the Company, improperly use or disclose any proprietary information or trade secrets of his former or concurrent employers, companies or clients, if any, and that he will not bring onto the premises of the Company any unpublished documents or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42" w:name="page143"/>
    <w:bookmarkEnd w:id="142"/>
    <w:p>
      <w:pPr>
        <w:spacing w:after="0" w:line="183"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22"/>
          <w:szCs w:val="22"/>
          <w:color w:val="auto"/>
        </w:rPr>
        <w:t>any property belonging to his former or concurrent employers, companies or clients unless consented to in writing by said employers, companies or clients.</w:t>
      </w:r>
    </w:p>
    <w:p>
      <w:pPr>
        <w:spacing w:after="0" w:line="153" w:lineRule="exact"/>
        <w:rPr>
          <w:sz w:val="20"/>
          <w:szCs w:val="20"/>
          <w:color w:val="auto"/>
        </w:rPr>
      </w:pPr>
    </w:p>
    <w:p>
      <w:pPr>
        <w:jc w:val="both"/>
        <w:ind w:left="900" w:hanging="509"/>
        <w:spacing w:after="0" w:line="235" w:lineRule="auto"/>
        <w:tabs>
          <w:tab w:leader="none" w:pos="8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b w:val="1"/>
          <w:bCs w:val="1"/>
          <w:color w:val="auto"/>
        </w:rPr>
        <w:t>Third Party Information</w:t>
      </w:r>
      <w:r>
        <w:rPr>
          <w:rFonts w:ascii="Times New Roman" w:cs="Times New Roman" w:eastAsia="Times New Roman" w:hAnsi="Times New Roman"/>
          <w:sz w:val="22"/>
          <w:szCs w:val="22"/>
          <w:color w:val="auto"/>
        </w:rPr>
        <w:t>. Consultant recognizes that the Company has received and in the future will receive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parties their confidential or proprietary information subject to a duty on the Company’s part to maintain the confidentiality of such information and, in some cases, to use it only for certain limited purposes. Consultant agrees that he owes the Company and such third parties, both during the term of his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76" w:lineRule="exact"/>
        <w:rPr>
          <w:sz w:val="20"/>
          <w:szCs w:val="20"/>
          <w:color w:val="auto"/>
        </w:rPr>
      </w:pPr>
    </w:p>
    <w:p>
      <w:pPr>
        <w:ind w:left="380" w:hanging="372"/>
        <w:spacing w:after="0"/>
        <w:tabs>
          <w:tab w:leader="none" w:pos="3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of Inventions.</w:t>
      </w:r>
    </w:p>
    <w:p>
      <w:pPr>
        <w:spacing w:after="0" w:line="205" w:lineRule="exact"/>
        <w:rPr>
          <w:rFonts w:ascii="Times New Roman" w:cs="Times New Roman" w:eastAsia="Times New Roman" w:hAnsi="Times New Roman"/>
          <w:sz w:val="22"/>
          <w:szCs w:val="22"/>
          <w:color w:val="auto"/>
        </w:rPr>
      </w:pPr>
    </w:p>
    <w:p>
      <w:pPr>
        <w:ind w:left="900" w:hanging="51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Disclosure of Inventions</w:t>
      </w:r>
      <w:r>
        <w:rPr>
          <w:rFonts w:ascii="Times New Roman" w:cs="Times New Roman" w:eastAsia="Times New Roman" w:hAnsi="Times New Roman"/>
          <w:sz w:val="22"/>
          <w:szCs w:val="22"/>
          <w:color w:val="auto"/>
        </w:rPr>
        <w:t>. Consultant shall promptly and fully disclose to the Company any and all ideas, improvements, inventions, know-how, techniques and works of authorship developed by Consultant during his performance of the Services for the Company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173" w:lineRule="exact"/>
        <w:rPr>
          <w:rFonts w:ascii="Times New Roman" w:cs="Times New Roman" w:eastAsia="Times New Roman" w:hAnsi="Times New Roman"/>
          <w:sz w:val="22"/>
          <w:szCs w:val="22"/>
          <w:color w:val="auto"/>
        </w:rPr>
      </w:pPr>
    </w:p>
    <w:p>
      <w:pPr>
        <w:ind w:left="900" w:hanging="51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Inventions Assigned to the Company</w:t>
      </w:r>
      <w:r>
        <w:rPr>
          <w:rFonts w:ascii="Times New Roman" w:cs="Times New Roman" w:eastAsia="Times New Roman" w:hAnsi="Times New Roman"/>
          <w:sz w:val="22"/>
          <w:szCs w:val="22"/>
          <w:color w:val="auto"/>
        </w:rPr>
        <w:t>. Consultant agrees that any and all Service Product shall be the sole and exclusive property of the Company. Consultant hereby assigns to the Company all his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w:t>
      </w:r>
    </w:p>
    <w:p>
      <w:pPr>
        <w:spacing w:after="0" w:line="179"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22"/>
          <w:szCs w:val="22"/>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153" w:lineRule="exact"/>
        <w:rPr>
          <w:sz w:val="20"/>
          <w:szCs w:val="20"/>
          <w:color w:val="auto"/>
        </w:rPr>
      </w:pPr>
    </w:p>
    <w:p>
      <w:pPr>
        <w:jc w:val="both"/>
        <w:ind w:left="900" w:hanging="509"/>
        <w:spacing w:after="0" w:line="235" w:lineRule="auto"/>
        <w:tabs>
          <w:tab w:leader="none" w:pos="8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b w:val="1"/>
          <w:bCs w:val="1"/>
          <w:color w:val="auto"/>
        </w:rPr>
        <w:t>Obtaining Intellectual Property Protection</w:t>
      </w:r>
      <w:r>
        <w:rPr>
          <w:rFonts w:ascii="Times New Roman" w:cs="Times New Roman" w:eastAsia="Times New Roman" w:hAnsi="Times New Roman"/>
          <w:sz w:val="22"/>
          <w:szCs w:val="22"/>
          <w:color w:val="auto"/>
        </w:rPr>
        <w:t>. Consultant agrees to assist the Company in every proper way to obtain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 United States and foreign proprietary rights relating to the Service Product in any and all countries. To that end, Consultant agrees to execute, verify and deliver such documents and perform such other acts (including appearing as a witness) as the Company may reasonably request for use in applying for, obtaining, perfecting, evidencing, sustaining and enforcing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his engagement, but the Company shall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compensate Consultant at a reasonable rate after such termination for the time actually spent by Consultant at the Company’s request on such assistance.</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his agent and attorney in fact, to act for and in his behalf to execute, verify and file, with the same legal force and effect as if executed by him,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pacing w:after="0" w:line="3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477520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1220" w:top="1440" w:right="339" w:bottom="1440" w:gutter="0" w:footer="0" w:header="0"/>
        </w:sectPr>
      </w:pPr>
    </w:p>
    <w:bookmarkStart w:id="144" w:name="page145"/>
    <w:bookmarkEnd w:id="144"/>
    <w:p>
      <w:pPr>
        <w:spacing w:after="0"/>
        <w:rPr>
          <w:sz w:val="20"/>
          <w:szCs w:val="20"/>
          <w:color w:val="auto"/>
        </w:rPr>
      </w:pPr>
      <w:r>
        <w:rPr>
          <w:rFonts w:ascii="Arial" w:cs="Arial" w:eastAsia="Arial" w:hAnsi="Arial"/>
          <w:sz w:val="43"/>
          <w:szCs w:val="43"/>
          <w:color w:val="0090BE"/>
        </w:rPr>
        <w:drawing>
          <wp:anchor simplePos="0" relativeHeight="251657728" behindDoc="1" locked="0" layoutInCell="0" allowOverlap="1">
            <wp:simplePos x="0" y="0"/>
            <wp:positionH relativeFrom="page">
              <wp:posOffset>206375</wp:posOffset>
            </wp:positionH>
            <wp:positionV relativeFrom="page">
              <wp:posOffset>88900</wp:posOffset>
            </wp:positionV>
            <wp:extent cx="7136765" cy="92754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7136765" cy="9275445"/>
                    </a:xfrm>
                    <a:prstGeom prst="rect">
                      <a:avLst/>
                    </a:prstGeom>
                    <a:noFill/>
                  </pic:spPr>
                </pic:pic>
              </a:graphicData>
            </a:graphic>
          </wp:anchor>
        </w:drawing>
        <w:t>Kung Advisory Agreement</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280" w:type="dxa"/>
            <w:vAlign w:val="bottom"/>
          </w:tcPr>
          <w:p>
            <w:pPr>
              <w:spacing w:after="0"/>
              <w:rPr>
                <w:sz w:val="20"/>
                <w:szCs w:val="20"/>
                <w:color w:val="auto"/>
              </w:rPr>
            </w:pPr>
            <w:r>
              <w:rPr>
                <w:rFonts w:ascii="Arial" w:cs="Arial" w:eastAsia="Arial" w:hAnsi="Arial"/>
                <w:sz w:val="18"/>
                <w:szCs w:val="18"/>
                <w:color w:val="auto"/>
              </w:rPr>
              <w:t>Final Audit Report</w:t>
            </w:r>
          </w:p>
        </w:tc>
        <w:tc>
          <w:tcPr>
            <w:tcW w:w="7360" w:type="dxa"/>
            <w:vAlign w:val="bottom"/>
          </w:tcPr>
          <w:p>
            <w:pPr>
              <w:ind w:left="4260"/>
              <w:spacing w:after="0"/>
              <w:rPr>
                <w:sz w:val="20"/>
                <w:szCs w:val="20"/>
                <w:color w:val="auto"/>
              </w:rPr>
            </w:pPr>
            <w:r>
              <w:rPr>
                <w:rFonts w:ascii="Arial" w:cs="Arial" w:eastAsia="Arial" w:hAnsi="Arial"/>
                <w:sz w:val="18"/>
                <w:szCs w:val="18"/>
                <w:color w:val="auto"/>
              </w:rPr>
              <w:t>2024-01-05</w:t>
            </w:r>
          </w:p>
        </w:tc>
      </w:tr>
      <w:tr>
        <w:trPr>
          <w:trHeight w:val="185"/>
        </w:trPr>
        <w:tc>
          <w:tcPr>
            <w:tcW w:w="2280" w:type="dxa"/>
            <w:vAlign w:val="bottom"/>
            <w:tcBorders>
              <w:bottom w:val="single" w:sz="8" w:color="auto"/>
            </w:tcBorders>
          </w:tcPr>
          <w:p>
            <w:pPr>
              <w:spacing w:after="0"/>
              <w:rPr>
                <w:sz w:val="16"/>
                <w:szCs w:val="16"/>
                <w:color w:val="auto"/>
              </w:rPr>
            </w:pPr>
          </w:p>
        </w:tc>
        <w:tc>
          <w:tcPr>
            <w:tcW w:w="7360" w:type="dxa"/>
            <w:vAlign w:val="bottom"/>
            <w:tcBorders>
              <w:bottom w:val="single" w:sz="8" w:color="auto"/>
            </w:tcBorders>
          </w:tcPr>
          <w:p>
            <w:pPr>
              <w:spacing w:after="0"/>
              <w:rPr>
                <w:sz w:val="16"/>
                <w:szCs w:val="16"/>
                <w:color w:val="auto"/>
              </w:rPr>
            </w:pPr>
          </w:p>
        </w:tc>
      </w:tr>
      <w:tr>
        <w:trPr>
          <w:trHeight w:val="371"/>
        </w:trPr>
        <w:tc>
          <w:tcPr>
            <w:tcW w:w="2280" w:type="dxa"/>
            <w:vAlign w:val="bottom"/>
            <w:tcBorders>
              <w:left w:val="single" w:sz="8" w:color="auto"/>
            </w:tcBorders>
            <w:shd w:val="clear" w:color="auto" w:fill="F0F0F0"/>
          </w:tcPr>
          <w:p>
            <w:pPr>
              <w:ind w:left="140"/>
              <w:spacing w:after="0"/>
              <w:rPr>
                <w:sz w:val="20"/>
                <w:szCs w:val="20"/>
                <w:color w:val="auto"/>
              </w:rPr>
            </w:pPr>
            <w:r>
              <w:rPr>
                <w:rFonts w:ascii="Arial" w:cs="Arial" w:eastAsia="Arial" w:hAnsi="Arial"/>
                <w:sz w:val="14"/>
                <w:szCs w:val="14"/>
                <w:color w:val="auto"/>
              </w:rPr>
              <w:t>Created:</w:t>
            </w:r>
          </w:p>
        </w:tc>
        <w:tc>
          <w:tcPr>
            <w:tcW w:w="7360" w:type="dxa"/>
            <w:vAlign w:val="bottom"/>
            <w:tcBorders>
              <w:right w:val="single" w:sz="8" w:color="auto"/>
            </w:tcBorders>
            <w:shd w:val="clear" w:color="auto" w:fill="F0F0F0"/>
          </w:tcPr>
          <w:p>
            <w:pPr>
              <w:ind w:left="20"/>
              <w:spacing w:after="0"/>
              <w:rPr>
                <w:sz w:val="20"/>
                <w:szCs w:val="20"/>
                <w:color w:val="auto"/>
              </w:rPr>
            </w:pPr>
            <w:r>
              <w:rPr>
                <w:rFonts w:ascii="Arial" w:cs="Arial" w:eastAsia="Arial" w:hAnsi="Arial"/>
                <w:sz w:val="14"/>
                <w:szCs w:val="14"/>
                <w:color w:val="auto"/>
              </w:rPr>
              <w:t>2024-01-05</w:t>
            </w:r>
          </w:p>
        </w:tc>
      </w:tr>
      <w:tr>
        <w:trPr>
          <w:trHeight w:val="383"/>
        </w:trPr>
        <w:tc>
          <w:tcPr>
            <w:tcW w:w="2280" w:type="dxa"/>
            <w:vAlign w:val="bottom"/>
            <w:tcBorders>
              <w:left w:val="single" w:sz="8" w:color="auto"/>
            </w:tcBorders>
            <w:shd w:val="clear" w:color="auto" w:fill="F0F0F0"/>
          </w:tcPr>
          <w:p>
            <w:pPr>
              <w:ind w:left="140"/>
              <w:spacing w:after="0"/>
              <w:rPr>
                <w:sz w:val="20"/>
                <w:szCs w:val="20"/>
                <w:color w:val="auto"/>
              </w:rPr>
            </w:pPr>
            <w:r>
              <w:rPr>
                <w:rFonts w:ascii="Arial" w:cs="Arial" w:eastAsia="Arial" w:hAnsi="Arial"/>
                <w:sz w:val="14"/>
                <w:szCs w:val="14"/>
                <w:color w:val="auto"/>
              </w:rPr>
              <w:t>By:</w:t>
            </w:r>
          </w:p>
        </w:tc>
        <w:tc>
          <w:tcPr>
            <w:tcW w:w="7360" w:type="dxa"/>
            <w:vAlign w:val="bottom"/>
            <w:tcBorders>
              <w:right w:val="single" w:sz="8" w:color="auto"/>
            </w:tcBorders>
            <w:shd w:val="clear" w:color="auto" w:fill="F0F0F0"/>
          </w:tcPr>
          <w:p>
            <w:pPr>
              <w:ind w:left="20"/>
              <w:spacing w:after="0"/>
              <w:rPr>
                <w:sz w:val="20"/>
                <w:szCs w:val="20"/>
                <w:color w:val="auto"/>
              </w:rPr>
            </w:pPr>
            <w:r>
              <w:rPr>
                <w:rFonts w:ascii="Arial" w:cs="Arial" w:eastAsia="Arial" w:hAnsi="Arial"/>
                <w:sz w:val="14"/>
                <w:szCs w:val="14"/>
                <w:color w:val="auto"/>
              </w:rPr>
              <w:t>Robert Ticktin (rticktin@pmvpharma.com)</w:t>
            </w:r>
          </w:p>
        </w:tc>
      </w:tr>
      <w:tr>
        <w:trPr>
          <w:trHeight w:val="378"/>
        </w:trPr>
        <w:tc>
          <w:tcPr>
            <w:tcW w:w="2280" w:type="dxa"/>
            <w:vAlign w:val="bottom"/>
            <w:tcBorders>
              <w:left w:val="single" w:sz="8" w:color="auto"/>
            </w:tcBorders>
            <w:shd w:val="clear" w:color="auto" w:fill="F0F0F0"/>
          </w:tcPr>
          <w:p>
            <w:pPr>
              <w:ind w:left="140"/>
              <w:spacing w:after="0"/>
              <w:rPr>
                <w:sz w:val="20"/>
                <w:szCs w:val="20"/>
                <w:color w:val="auto"/>
              </w:rPr>
            </w:pPr>
            <w:r>
              <w:rPr>
                <w:rFonts w:ascii="Arial" w:cs="Arial" w:eastAsia="Arial" w:hAnsi="Arial"/>
                <w:sz w:val="14"/>
                <w:szCs w:val="14"/>
                <w:color w:val="auto"/>
              </w:rPr>
              <w:t>Status:</w:t>
            </w:r>
          </w:p>
        </w:tc>
        <w:tc>
          <w:tcPr>
            <w:tcW w:w="7360" w:type="dxa"/>
            <w:vAlign w:val="bottom"/>
            <w:tcBorders>
              <w:right w:val="single" w:sz="8" w:color="auto"/>
            </w:tcBorders>
            <w:shd w:val="clear" w:color="auto" w:fill="F0F0F0"/>
          </w:tcPr>
          <w:p>
            <w:pPr>
              <w:ind w:left="20"/>
              <w:spacing w:after="0"/>
              <w:rPr>
                <w:sz w:val="20"/>
                <w:szCs w:val="20"/>
                <w:color w:val="auto"/>
              </w:rPr>
            </w:pPr>
            <w:r>
              <w:rPr>
                <w:rFonts w:ascii="Arial" w:cs="Arial" w:eastAsia="Arial" w:hAnsi="Arial"/>
                <w:sz w:val="14"/>
                <w:szCs w:val="14"/>
                <w:color w:val="auto"/>
              </w:rPr>
              <w:t>Signed</w:t>
            </w:r>
          </w:p>
        </w:tc>
      </w:tr>
      <w:tr>
        <w:trPr>
          <w:trHeight w:val="372"/>
        </w:trPr>
        <w:tc>
          <w:tcPr>
            <w:tcW w:w="2280" w:type="dxa"/>
            <w:vAlign w:val="bottom"/>
            <w:tcBorders>
              <w:left w:val="single" w:sz="8" w:color="auto"/>
            </w:tcBorders>
            <w:shd w:val="clear" w:color="auto" w:fill="F0F0F0"/>
          </w:tcPr>
          <w:p>
            <w:pPr>
              <w:ind w:left="140"/>
              <w:spacing w:after="0"/>
              <w:rPr>
                <w:sz w:val="20"/>
                <w:szCs w:val="20"/>
                <w:color w:val="auto"/>
              </w:rPr>
            </w:pPr>
            <w:r>
              <w:rPr>
                <w:rFonts w:ascii="Arial" w:cs="Arial" w:eastAsia="Arial" w:hAnsi="Arial"/>
                <w:sz w:val="14"/>
                <w:szCs w:val="14"/>
                <w:color w:val="auto"/>
              </w:rPr>
              <w:t>Transaction ID:</w:t>
            </w:r>
          </w:p>
        </w:tc>
        <w:tc>
          <w:tcPr>
            <w:tcW w:w="7360" w:type="dxa"/>
            <w:vAlign w:val="bottom"/>
            <w:tcBorders>
              <w:right w:val="single" w:sz="8" w:color="auto"/>
            </w:tcBorders>
            <w:shd w:val="clear" w:color="auto" w:fill="F0F0F0"/>
          </w:tcPr>
          <w:p>
            <w:pPr>
              <w:ind w:left="20"/>
              <w:spacing w:after="0"/>
              <w:rPr>
                <w:sz w:val="20"/>
                <w:szCs w:val="20"/>
                <w:color w:val="auto"/>
              </w:rPr>
            </w:pPr>
            <w:r>
              <w:rPr>
                <w:rFonts w:ascii="Arial" w:cs="Arial" w:eastAsia="Arial" w:hAnsi="Arial"/>
                <w:sz w:val="14"/>
                <w:szCs w:val="14"/>
                <w:color w:val="auto"/>
              </w:rPr>
              <w:t>CBJCHBCAABAACY-peYI56szqksfrgVMIkDGDb-quiO-_</w:t>
            </w:r>
          </w:p>
        </w:tc>
      </w:tr>
      <w:tr>
        <w:trPr>
          <w:trHeight w:val="189"/>
        </w:trPr>
        <w:tc>
          <w:tcPr>
            <w:tcW w:w="2280" w:type="dxa"/>
            <w:vAlign w:val="bottom"/>
            <w:tcBorders>
              <w:left w:val="single" w:sz="8" w:color="auto"/>
              <w:bottom w:val="single" w:sz="8" w:color="auto"/>
            </w:tcBorders>
            <w:shd w:val="clear" w:color="auto" w:fill="F0F0F0"/>
          </w:tcPr>
          <w:p>
            <w:pPr>
              <w:spacing w:after="0"/>
              <w:rPr>
                <w:sz w:val="16"/>
                <w:szCs w:val="16"/>
                <w:color w:val="auto"/>
              </w:rPr>
            </w:pPr>
          </w:p>
        </w:tc>
        <w:tc>
          <w:tcPr>
            <w:tcW w:w="7360" w:type="dxa"/>
            <w:vAlign w:val="bottom"/>
            <w:tcBorders>
              <w:bottom w:val="single" w:sz="8" w:color="auto"/>
              <w:right w:val="single" w:sz="8" w:color="auto"/>
            </w:tcBorders>
            <w:shd w:val="clear" w:color="auto" w:fill="F0F0F0"/>
          </w:tcPr>
          <w:p>
            <w:pPr>
              <w:spacing w:after="0"/>
              <w:rPr>
                <w:sz w:val="16"/>
                <w:szCs w:val="16"/>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32"/>
          <w:szCs w:val="32"/>
          <w:color w:val="auto"/>
        </w:rPr>
        <w:t>"Kung Advisory Agreement" History</w:t>
      </w: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Document created by Robert Ticktin (rticktin@pmvpharma.com)</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2024-01-05 - 2:37:44 PM GMT</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Document emailed to Winston Kung (wkung@pmvpharma.com) for signature</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2024-01-05 - 2:39:19 PM GMT</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Document emailed to David Mack (dmack@pmvpharma.com) for signature</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2024-01-05 - 2:39:19 PM GMT</w:t>
      </w: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Email viewed by Winston Kung (wkung@pmvpharma.com)</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2024-01-05 - 3:11:18 PM GMT</w:t>
      </w: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Document e-signed by Winston Kung (wkung@pmvpharma.com)</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Signature Date: 2024-01-05 - 3:12:02 PM GMT - Time Source: server</w:t>
      </w: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Email viewed by David Mack (dmack@pmvpharma.com)</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2024-01-05 - 4:29:51 PM GMT</w:t>
      </w: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Document e-signed by David Mack (dmack@pmvpharma.com)</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Signature Date: 2024-01-05 - 4:30:59 PM GMT - Time Source: server</w:t>
      </w: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Agreement completed.</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2024-01-05 - 4:30:59 PM 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1355090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0"/>
          </w:cols>
          <w:pgMar w:left="1140" w:top="1420" w:right="11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137160</wp:posOffset>
            </wp:positionV>
            <wp:extent cx="3408045" cy="6591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3408045" cy="65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January 05,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F1F1F"/>
        </w:rPr>
        <w:t>Dear Leila,</w:t>
      </w:r>
    </w:p>
    <w:p>
      <w:pPr>
        <w:spacing w:after="0" w:line="17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1F1F1F"/>
        </w:rPr>
        <w:t>This letter memorializes the terms and conditions for your separation from employment as the Chief Medical Officer for PMV Pharma (the "Company"), effective as of the date hereof (“Separation Date”)</w:t>
      </w:r>
      <w:r>
        <w:rPr>
          <w:rFonts w:ascii="Arial" w:cs="Arial" w:eastAsia="Arial" w:hAnsi="Arial"/>
          <w:sz w:val="18"/>
          <w:szCs w:val="18"/>
          <w:color w:val="000000"/>
        </w:rPr>
        <w:t>.</w:t>
      </w:r>
    </w:p>
    <w:p>
      <w:pPr>
        <w:spacing w:after="0" w:line="126" w:lineRule="exact"/>
        <w:rPr>
          <w:sz w:val="20"/>
          <w:szCs w:val="20"/>
          <w:color w:val="auto"/>
        </w:rPr>
      </w:pPr>
    </w:p>
    <w:p>
      <w:pPr>
        <w:ind w:left="380" w:hanging="378"/>
        <w:spacing w:after="0" w:line="271" w:lineRule="auto"/>
        <w:tabs>
          <w:tab w:leader="none" w:pos="380" w:val="left"/>
        </w:tabs>
        <w:numPr>
          <w:ilvl w:val="0"/>
          <w:numId w:val="81"/>
        </w:numPr>
        <w:rPr>
          <w:rFonts w:ascii="Arial" w:cs="Arial" w:eastAsia="Arial" w:hAnsi="Arial"/>
          <w:sz w:val="18"/>
          <w:szCs w:val="18"/>
          <w:u w:val="single" w:color="auto"/>
          <w:color w:val="222020"/>
        </w:rPr>
      </w:pPr>
      <w:r>
        <w:rPr>
          <w:rFonts w:ascii="Arial" w:cs="Arial" w:eastAsia="Arial" w:hAnsi="Arial"/>
          <w:sz w:val="18"/>
          <w:szCs w:val="18"/>
          <w:u w:val="single" w:color="auto"/>
          <w:color w:val="222020"/>
        </w:rPr>
        <w:t>Consideration</w:t>
      </w:r>
      <w:r>
        <w:rPr>
          <w:rFonts w:ascii="Arial" w:cs="Arial" w:eastAsia="Arial" w:hAnsi="Arial"/>
          <w:sz w:val="18"/>
          <w:szCs w:val="18"/>
          <w:color w:val="222020"/>
        </w:rPr>
        <w:t xml:space="preserve">. </w:t>
      </w:r>
      <w:r>
        <w:rPr>
          <w:rFonts w:ascii="Arial" w:cs="Arial" w:eastAsia="Arial" w:hAnsi="Arial"/>
          <w:sz w:val="18"/>
          <w:szCs w:val="18"/>
          <w:color w:val="000000"/>
        </w:rPr>
        <w:t>In consideration of your execution of this letter and your fulfillment of all of its terms and conditions, Company shall</w:t>
      </w:r>
      <w:r>
        <w:rPr>
          <w:rFonts w:ascii="Arial" w:cs="Arial" w:eastAsia="Arial" w:hAnsi="Arial"/>
          <w:sz w:val="18"/>
          <w:szCs w:val="18"/>
          <w:color w:val="222020"/>
        </w:rPr>
        <w:t xml:space="preserve"> </w:t>
      </w:r>
      <w:r>
        <w:rPr>
          <w:rFonts w:ascii="Arial" w:cs="Arial" w:eastAsia="Arial" w:hAnsi="Arial"/>
          <w:sz w:val="18"/>
          <w:szCs w:val="18"/>
          <w:color w:val="000000"/>
        </w:rPr>
        <w:t>make the following consideration payments to you:</w:t>
      </w:r>
    </w:p>
    <w:p>
      <w:pPr>
        <w:spacing w:after="0" w:line="112" w:lineRule="exact"/>
        <w:rPr>
          <w:rFonts w:ascii="Arial" w:cs="Arial" w:eastAsia="Arial" w:hAnsi="Arial"/>
          <w:sz w:val="18"/>
          <w:szCs w:val="18"/>
          <w:u w:val="single" w:color="auto"/>
          <w:color w:val="222020"/>
        </w:rPr>
      </w:pPr>
    </w:p>
    <w:p>
      <w:pPr>
        <w:jc w:val="both"/>
        <w:ind w:left="640" w:hanging="367"/>
        <w:spacing w:after="0" w:line="226" w:lineRule="auto"/>
        <w:tabs>
          <w:tab w:leader="none" w:pos="640" w:val="left"/>
        </w:tabs>
        <w:numPr>
          <w:ilvl w:val="1"/>
          <w:numId w:val="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Separation Payment</w:t>
      </w:r>
      <w:r>
        <w:rPr>
          <w:rFonts w:ascii="Arial" w:cs="Arial" w:eastAsia="Arial" w:hAnsi="Arial"/>
          <w:sz w:val="18"/>
          <w:szCs w:val="18"/>
          <w:color w:val="auto"/>
        </w:rPr>
        <w:t>. Company shall pay you a lump sum amount of $76,381.50 (which represents the difference between your starting base salary for 2023 and your reduced base salary commencing in May), less applicable withholding. This payment will be made to you no later than the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day following the Separation Date.</w:t>
      </w:r>
    </w:p>
    <w:p>
      <w:pPr>
        <w:spacing w:after="0" w:line="2" w:lineRule="exact"/>
        <w:rPr>
          <w:rFonts w:ascii="Arial" w:cs="Arial" w:eastAsia="Arial" w:hAnsi="Arial"/>
          <w:sz w:val="18"/>
          <w:szCs w:val="18"/>
          <w:u w:val="single" w:color="auto"/>
          <w:color w:val="auto"/>
        </w:rPr>
      </w:pPr>
    </w:p>
    <w:p>
      <w:pPr>
        <w:jc w:val="both"/>
        <w:ind w:left="640" w:hanging="367"/>
        <w:spacing w:after="0" w:line="241" w:lineRule="auto"/>
        <w:tabs>
          <w:tab w:leader="none" w:pos="640" w:val="left"/>
        </w:tabs>
        <w:numPr>
          <w:ilvl w:val="1"/>
          <w:numId w:val="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2023 Bonus Payment</w:t>
      </w:r>
      <w:r>
        <w:rPr>
          <w:rFonts w:ascii="Arial" w:cs="Arial" w:eastAsia="Arial" w:hAnsi="Arial"/>
          <w:sz w:val="18"/>
          <w:szCs w:val="18"/>
          <w:color w:val="auto"/>
        </w:rPr>
        <w:t>. Company shall pay your full 2023 target bonus (based on your base salary prior to the May 2023 reduction) at the final Board-approved corporate score, less applicable withholding. This payment will be made to you at the Company’s regularly scheduled payroll date in March for its 2023 bonus payments to all Company employees.</w:t>
      </w:r>
    </w:p>
    <w:p>
      <w:pPr>
        <w:spacing w:after="0" w:line="1" w:lineRule="exact"/>
        <w:rPr>
          <w:rFonts w:ascii="Arial" w:cs="Arial" w:eastAsia="Arial" w:hAnsi="Arial"/>
          <w:sz w:val="18"/>
          <w:szCs w:val="18"/>
          <w:u w:val="single" w:color="auto"/>
          <w:color w:val="auto"/>
        </w:rPr>
      </w:pPr>
    </w:p>
    <w:p>
      <w:pPr>
        <w:jc w:val="both"/>
        <w:ind w:left="640" w:hanging="367"/>
        <w:spacing w:after="0" w:line="220" w:lineRule="auto"/>
        <w:tabs>
          <w:tab w:leader="none" w:pos="640" w:val="left"/>
        </w:tabs>
        <w:numPr>
          <w:ilvl w:val="1"/>
          <w:numId w:val="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Continued Vesting of 2022 RSUs Grant</w:t>
      </w:r>
      <w:r>
        <w:rPr>
          <w:rFonts w:ascii="Arial" w:cs="Arial" w:eastAsia="Arial" w:hAnsi="Arial"/>
          <w:sz w:val="18"/>
          <w:szCs w:val="18"/>
          <w:color w:val="auto"/>
        </w:rPr>
        <w:t>. The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tranche of your 2022 RSUs Grant (34,800 shares) shall continue to vest as scheduled, and you shall be entitled to receive these shares, less any shares withheld for applicable withholding, on or about September 9, 2024.</w:t>
      </w:r>
    </w:p>
    <w:p>
      <w:pPr>
        <w:spacing w:after="0" w:line="140" w:lineRule="exact"/>
        <w:rPr>
          <w:rFonts w:ascii="Arial" w:cs="Arial" w:eastAsia="Arial" w:hAnsi="Arial"/>
          <w:sz w:val="18"/>
          <w:szCs w:val="18"/>
          <w:u w:val="single" w:color="auto"/>
          <w:color w:val="auto"/>
        </w:rPr>
      </w:pPr>
    </w:p>
    <w:p>
      <w:pPr>
        <w:jc w:val="both"/>
        <w:ind w:left="380" w:hanging="378"/>
        <w:spacing w:after="0" w:line="239" w:lineRule="auto"/>
        <w:tabs>
          <w:tab w:leader="none" w:pos="380" w:val="left"/>
        </w:tabs>
        <w:numPr>
          <w:ilvl w:val="0"/>
          <w:numId w:val="81"/>
        </w:numPr>
        <w:rPr>
          <w:rFonts w:ascii="Arial" w:cs="Arial" w:eastAsia="Arial" w:hAnsi="Arial"/>
          <w:sz w:val="18"/>
          <w:szCs w:val="18"/>
          <w:u w:val="single" w:color="auto"/>
          <w:color w:val="222020"/>
        </w:rPr>
      </w:pPr>
      <w:r>
        <w:rPr>
          <w:rFonts w:ascii="Arial" w:cs="Arial" w:eastAsia="Arial" w:hAnsi="Arial"/>
          <w:sz w:val="18"/>
          <w:szCs w:val="18"/>
          <w:u w:val="single" w:color="auto"/>
          <w:color w:val="222020"/>
        </w:rPr>
        <w:t>Termination of Benefits; Receipt of all Compensation</w:t>
      </w:r>
      <w:r>
        <w:rPr>
          <w:rFonts w:ascii="Arial" w:cs="Arial" w:eastAsia="Arial" w:hAnsi="Arial"/>
          <w:sz w:val="18"/>
          <w:szCs w:val="18"/>
          <w:color w:val="222020"/>
        </w:rPr>
        <w:t>. Effective as of the Separation Date, you agree that (i) your health insurance benefits has ceased, subject to your right to continue your health insurance under COBRA, and (ii) except for the consideration set forth in Section 1 above and continued vesting in your stock and stock options during performance of advisory support as set forth in Section 3, your participation in all other benefits and incidents of employment, including, but not limited to, vesting in Company stock and stock options, and the accrual of bonuses, vacation, and paid time off, also ceased. In addition, you acknowledge and represent that, other than the consideration set forth in Section 1 above (and your final pay period wages to be paid by the Company at its regularly scheduled payroll date), the Company has paid or provided all salary, wages, bonuses, accrued vacation/paid time off, notice periods, severance, termination amounts, reimbursable expenses, stock, stock options, vesting, and any and all other benefits and compensation due to you.</w:t>
      </w:r>
    </w:p>
    <w:p>
      <w:pPr>
        <w:spacing w:after="0" w:line="154" w:lineRule="exact"/>
        <w:rPr>
          <w:rFonts w:ascii="Arial" w:cs="Arial" w:eastAsia="Arial" w:hAnsi="Arial"/>
          <w:sz w:val="18"/>
          <w:szCs w:val="18"/>
          <w:u w:val="single" w:color="auto"/>
          <w:color w:val="222020"/>
        </w:rPr>
      </w:pPr>
    </w:p>
    <w:p>
      <w:pPr>
        <w:ind w:left="380" w:hanging="378"/>
        <w:spacing w:after="0" w:line="271" w:lineRule="auto"/>
        <w:tabs>
          <w:tab w:leader="none" w:pos="380" w:val="left"/>
        </w:tabs>
        <w:numPr>
          <w:ilvl w:val="0"/>
          <w:numId w:val="81"/>
        </w:numPr>
        <w:rPr>
          <w:rFonts w:ascii="Arial" w:cs="Arial" w:eastAsia="Arial" w:hAnsi="Arial"/>
          <w:sz w:val="18"/>
          <w:szCs w:val="18"/>
          <w:u w:val="single" w:color="auto"/>
          <w:color w:val="222020"/>
        </w:rPr>
      </w:pPr>
      <w:r>
        <w:rPr>
          <w:rFonts w:ascii="Arial" w:cs="Arial" w:eastAsia="Arial" w:hAnsi="Arial"/>
          <w:sz w:val="18"/>
          <w:szCs w:val="18"/>
          <w:u w:val="single" w:color="auto"/>
          <w:color w:val="222020"/>
        </w:rPr>
        <w:t>Post Separation Obligations</w:t>
      </w:r>
      <w:r>
        <w:rPr>
          <w:rFonts w:ascii="Arial" w:cs="Arial" w:eastAsia="Arial" w:hAnsi="Arial"/>
          <w:sz w:val="18"/>
          <w:szCs w:val="18"/>
          <w:color w:val="222020"/>
        </w:rPr>
        <w:t>. You agree, as a condition to your receipt of the consideration payments in Section 1 above, that you shall fulfill the following post-separation obligations to the best of your ability:</w:t>
      </w:r>
    </w:p>
    <w:p>
      <w:pPr>
        <w:spacing w:after="0" w:line="112" w:lineRule="exact"/>
        <w:rPr>
          <w:rFonts w:ascii="Arial" w:cs="Arial" w:eastAsia="Arial" w:hAnsi="Arial"/>
          <w:sz w:val="18"/>
          <w:szCs w:val="18"/>
          <w:u w:val="single" w:color="auto"/>
          <w:color w:val="222020"/>
        </w:rPr>
      </w:pPr>
    </w:p>
    <w:p>
      <w:pPr>
        <w:ind w:left="960" w:right="20" w:hanging="373"/>
        <w:spacing w:after="0" w:line="244" w:lineRule="auto"/>
        <w:tabs>
          <w:tab w:leader="none" w:pos="960" w:val="left"/>
        </w:tabs>
        <w:numPr>
          <w:ilvl w:val="2"/>
          <w:numId w:val="81"/>
        </w:numPr>
        <w:rPr>
          <w:rFonts w:ascii="Arial" w:cs="Arial" w:eastAsia="Arial" w:hAnsi="Arial"/>
          <w:sz w:val="18"/>
          <w:szCs w:val="18"/>
          <w:color w:val="222020"/>
        </w:rPr>
      </w:pPr>
      <w:r>
        <w:rPr>
          <w:rFonts w:ascii="Arial" w:cs="Arial" w:eastAsia="Arial" w:hAnsi="Arial"/>
          <w:sz w:val="18"/>
          <w:szCs w:val="18"/>
          <w:u w:val="single" w:color="auto"/>
          <w:color w:val="222020"/>
        </w:rPr>
        <w:t>Compliance with existing Confidentiality Agreement</w:t>
      </w:r>
      <w:r>
        <w:rPr>
          <w:rFonts w:ascii="Arial" w:cs="Arial" w:eastAsia="Arial" w:hAnsi="Arial"/>
          <w:sz w:val="18"/>
          <w:szCs w:val="18"/>
          <w:color w:val="222020"/>
        </w:rPr>
        <w:t>: You agree to continue to observe and abide by the terms of your existing At-Will Employment and Confidentiality Agreement, in accordance with its terms.</w:t>
      </w:r>
    </w:p>
    <w:p>
      <w:pPr>
        <w:spacing w:after="0" w:line="1" w:lineRule="exact"/>
        <w:rPr>
          <w:rFonts w:ascii="Arial" w:cs="Arial" w:eastAsia="Arial" w:hAnsi="Arial"/>
          <w:sz w:val="18"/>
          <w:szCs w:val="18"/>
          <w:color w:val="222020"/>
        </w:rPr>
      </w:pPr>
    </w:p>
    <w:p>
      <w:pPr>
        <w:jc w:val="both"/>
        <w:ind w:left="960" w:hanging="373"/>
        <w:spacing w:after="0" w:line="242" w:lineRule="auto"/>
        <w:tabs>
          <w:tab w:leader="none" w:pos="960" w:val="left"/>
        </w:tabs>
        <w:numPr>
          <w:ilvl w:val="2"/>
          <w:numId w:val="81"/>
        </w:numPr>
        <w:rPr>
          <w:rFonts w:ascii="Arial" w:cs="Arial" w:eastAsia="Arial" w:hAnsi="Arial"/>
          <w:sz w:val="18"/>
          <w:szCs w:val="18"/>
          <w:color w:val="222020"/>
        </w:rPr>
      </w:pPr>
      <w:r>
        <w:rPr>
          <w:rFonts w:ascii="Arial" w:cs="Arial" w:eastAsia="Arial" w:hAnsi="Arial"/>
          <w:sz w:val="18"/>
          <w:szCs w:val="18"/>
          <w:u w:val="single" w:color="auto"/>
          <w:color w:val="222020"/>
        </w:rPr>
        <w:t>Transition Advisory Support</w:t>
      </w:r>
      <w:r>
        <w:rPr>
          <w:rFonts w:ascii="Arial" w:cs="Arial" w:eastAsia="Arial" w:hAnsi="Arial"/>
          <w:sz w:val="18"/>
          <w:szCs w:val="18"/>
          <w:color w:val="222020"/>
        </w:rPr>
        <w:t>: For up to a three (3) month period following the Separation Date, you agree to provide the Company with CMO transition advisory services as may be reasonably requested, at an hourly rate of $500 (plus reimbursement of any reasonably incurred and</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475615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0" w:right="339" w:bottom="1440" w:gutter="0" w:footer="0" w:header="0"/>
        </w:sectPr>
      </w:pPr>
    </w:p>
    <w:bookmarkStart w:id="146" w:name="page147"/>
    <w:bookmarkEnd w:id="146"/>
    <w:p>
      <w:pPr>
        <w:ind w:left="960"/>
        <w:spacing w:after="0" w:line="244" w:lineRule="auto"/>
        <w:rPr>
          <w:sz w:val="20"/>
          <w:szCs w:val="20"/>
          <w:color w:val="auto"/>
        </w:rPr>
      </w:pPr>
      <w:r>
        <w:rPr>
          <w:rFonts w:ascii="Arial" w:cs="Arial" w:eastAsia="Arial" w:hAnsi="Arial"/>
          <w:sz w:val="18"/>
          <w:szCs w:val="18"/>
          <w:color w:val="222020"/>
        </w:rPr>
        <w:t>approved out-of-pocket expenses), payable on a monthly basis, on the 1st of each calendar month against a reasonably detailed invoice.</w:t>
      </w:r>
    </w:p>
    <w:p>
      <w:pPr>
        <w:spacing w:after="0" w:line="2" w:lineRule="exact"/>
        <w:rPr>
          <w:sz w:val="20"/>
          <w:szCs w:val="20"/>
          <w:color w:val="auto"/>
        </w:rPr>
      </w:pPr>
    </w:p>
    <w:p>
      <w:pPr>
        <w:jc w:val="both"/>
        <w:ind w:left="960" w:hanging="373"/>
        <w:spacing w:after="0" w:line="237" w:lineRule="auto"/>
        <w:tabs>
          <w:tab w:leader="none" w:pos="960" w:val="left"/>
        </w:tabs>
        <w:numPr>
          <w:ilvl w:val="0"/>
          <w:numId w:val="82"/>
        </w:numPr>
        <w:rPr>
          <w:rFonts w:ascii="Arial" w:cs="Arial" w:eastAsia="Arial" w:hAnsi="Arial"/>
          <w:sz w:val="18"/>
          <w:szCs w:val="18"/>
          <w:color w:val="222020"/>
        </w:rPr>
      </w:pPr>
      <w:r>
        <w:rPr>
          <w:rFonts w:ascii="Arial" w:cs="Arial" w:eastAsia="Arial" w:hAnsi="Arial"/>
          <w:sz w:val="18"/>
          <w:szCs w:val="18"/>
          <w:u w:val="single" w:color="auto"/>
          <w:color w:val="222020"/>
        </w:rPr>
        <w:t>Release of Claims</w:t>
      </w:r>
      <w:r>
        <w:rPr>
          <w:rFonts w:ascii="Arial" w:cs="Arial" w:eastAsia="Arial" w:hAnsi="Arial"/>
          <w:sz w:val="18"/>
          <w:szCs w:val="18"/>
          <w:color w:val="222020"/>
        </w:rPr>
        <w:t>: You agree, on behalf of yourself and your beneficiaries and heirs, that you hereby and forever release the Company and its directors, officers, employees and other agents, and any successor corporation and assigns (collectively, the “Releasees”) from, and agree not to sue or otherwise institute, prosecute, or pursue, any claim or cause of action relating to any matters of any kind, whether presently known or unknown, suspected or unsuspected, that Employee may possess against any of the Releasees arising from any omissions, acts, facts, or damages that have occurred up until and including the Separation Date, including, without limitation any and all claims relating to your employment relationship with the Company and the termination of that relationship.</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8"/>
          <w:szCs w:val="18"/>
          <w:color w:val="222020"/>
        </w:rPr>
        <w:t>To indicate your acceptance of the foregoing separation terms, please sign and date this letter in the space provided below and return it to me.</w:t>
      </w:r>
    </w:p>
    <w:p>
      <w:pPr>
        <w:spacing w:after="0" w:line="139" w:lineRule="exact"/>
        <w:rPr>
          <w:sz w:val="20"/>
          <w:szCs w:val="20"/>
          <w:color w:val="auto"/>
        </w:rPr>
      </w:pPr>
    </w:p>
    <w:p>
      <w:pPr>
        <w:ind w:left="3300"/>
        <w:spacing w:after="0"/>
        <w:rPr>
          <w:sz w:val="20"/>
          <w:szCs w:val="20"/>
          <w:color w:val="auto"/>
        </w:rPr>
      </w:pPr>
      <w:r>
        <w:rPr>
          <w:rFonts w:ascii="Arial" w:cs="Arial" w:eastAsia="Arial" w:hAnsi="Arial"/>
          <w:sz w:val="18"/>
          <w:szCs w:val="18"/>
          <w:color w:val="1D1C1D"/>
        </w:rPr>
        <w:t>Sincerely,</w:t>
      </w:r>
    </w:p>
    <w:p>
      <w:pPr>
        <w:spacing w:after="0" w:line="23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David Mack</w:t>
      </w:r>
    </w:p>
    <w:p>
      <w:pPr>
        <w:spacing w:after="0" w:line="132"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163195</wp:posOffset>
            </wp:positionV>
            <wp:extent cx="1318895"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1318895" cy="13716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Calibri" w:cs="Calibri" w:eastAsia="Calibri" w:hAnsi="Calibri"/>
          <w:sz w:val="13"/>
          <w:szCs w:val="13"/>
          <w:color w:val="1473E6"/>
        </w:rPr>
        <w:t>Leila Alland (Jan 5, 2024 09:52 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39370</wp:posOffset>
            </wp:positionV>
            <wp:extent cx="18580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Printed Name: Leila Alland, M.D.</w:t>
      </w:r>
    </w:p>
    <w:p>
      <w:pPr>
        <w:spacing w:after="0" w:line="181" w:lineRule="auto"/>
        <w:tabs>
          <w:tab w:leader="none" w:pos="780" w:val="left"/>
        </w:tabs>
        <w:rPr>
          <w:sz w:val="20"/>
          <w:szCs w:val="20"/>
          <w:color w:val="auto"/>
        </w:rPr>
      </w:pPr>
      <w:r>
        <w:rPr>
          <w:rFonts w:ascii="Times New Roman" w:cs="Times New Roman" w:eastAsia="Times New Roman" w:hAnsi="Times New Roman"/>
          <w:sz w:val="31"/>
          <w:szCs w:val="31"/>
          <w:color w:val="auto"/>
          <w:vertAlign w:val="subscript"/>
        </w:rPr>
        <w:t>Date:</w:t>
      </w:r>
      <w:r>
        <w:rPr>
          <w:sz w:val="20"/>
          <w:szCs w:val="20"/>
          <w:color w:val="auto"/>
        </w:rPr>
        <w:tab/>
      </w:r>
      <w:r>
        <w:rPr>
          <w:rFonts w:ascii="Times New Roman" w:cs="Times New Roman" w:eastAsia="Times New Roman" w:hAnsi="Times New Roman"/>
          <w:sz w:val="16"/>
          <w:szCs w:val="16"/>
          <w:b w:val="1"/>
          <w:bCs w:val="1"/>
          <w:color w:val="auto"/>
        </w:rPr>
        <w:t>05-Jan-2024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146685</wp:posOffset>
            </wp:positionV>
            <wp:extent cx="107061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475615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0" w:right="339" w:bottom="1440" w:gutter="0" w:footer="0" w:header="0"/>
        </w:sectPr>
      </w:pPr>
    </w:p>
    <w:bookmarkStart w:id="147" w:name="page148"/>
    <w:bookmarkEnd w:id="147"/>
    <w:p>
      <w:pPr>
        <w:spacing w:after="0"/>
        <w:rPr>
          <w:sz w:val="20"/>
          <w:szCs w:val="20"/>
          <w:color w:val="auto"/>
        </w:rPr>
      </w:pPr>
      <w:r>
        <w:rPr>
          <w:rFonts w:ascii="Arial" w:cs="Arial" w:eastAsia="Arial" w:hAnsi="Arial"/>
          <w:sz w:val="43"/>
          <w:szCs w:val="43"/>
          <w:color w:val="0090BE"/>
        </w:rPr>
        <w:drawing>
          <wp:anchor simplePos="0" relativeHeight="251657728" behindDoc="1" locked="0" layoutInCell="0" allowOverlap="1">
            <wp:simplePos x="0" y="0"/>
            <wp:positionH relativeFrom="page">
              <wp:posOffset>206375</wp:posOffset>
            </wp:positionH>
            <wp:positionV relativeFrom="page">
              <wp:posOffset>88900</wp:posOffset>
            </wp:positionV>
            <wp:extent cx="7136765" cy="6492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136765" cy="6492240"/>
                    </a:xfrm>
                    <a:prstGeom prst="rect">
                      <a:avLst/>
                    </a:prstGeom>
                    <a:noFill/>
                  </pic:spPr>
                </pic:pic>
              </a:graphicData>
            </a:graphic>
          </wp:anchor>
        </w:drawing>
        <w:t>PMV Separation Letter</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480" w:type="dxa"/>
            <w:vAlign w:val="bottom"/>
          </w:tcPr>
          <w:p>
            <w:pPr>
              <w:ind w:left="20"/>
              <w:spacing w:after="0"/>
              <w:rPr>
                <w:sz w:val="20"/>
                <w:szCs w:val="20"/>
                <w:color w:val="auto"/>
              </w:rPr>
            </w:pPr>
            <w:r>
              <w:rPr>
                <w:rFonts w:ascii="Arial" w:cs="Arial" w:eastAsia="Arial" w:hAnsi="Arial"/>
                <w:sz w:val="18"/>
                <w:szCs w:val="18"/>
                <w:color w:val="auto"/>
              </w:rPr>
              <w:t>Final Audit Report</w:t>
            </w:r>
          </w:p>
        </w:tc>
        <w:tc>
          <w:tcPr>
            <w:tcW w:w="7040" w:type="dxa"/>
            <w:vAlign w:val="bottom"/>
          </w:tcPr>
          <w:p>
            <w:pPr>
              <w:ind w:left="4400"/>
              <w:spacing w:after="0"/>
              <w:rPr>
                <w:sz w:val="20"/>
                <w:szCs w:val="20"/>
                <w:color w:val="auto"/>
              </w:rPr>
            </w:pPr>
            <w:r>
              <w:rPr>
                <w:rFonts w:ascii="Arial" w:cs="Arial" w:eastAsia="Arial" w:hAnsi="Arial"/>
                <w:sz w:val="18"/>
                <w:szCs w:val="18"/>
                <w:color w:val="auto"/>
              </w:rPr>
              <w:t>2024-01-05</w:t>
            </w:r>
          </w:p>
        </w:tc>
      </w:tr>
      <w:tr>
        <w:trPr>
          <w:trHeight w:val="198"/>
        </w:trPr>
        <w:tc>
          <w:tcPr>
            <w:tcW w:w="248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r>
      <w:tr>
        <w:trPr>
          <w:trHeight w:val="385"/>
        </w:trPr>
        <w:tc>
          <w:tcPr>
            <w:tcW w:w="2480" w:type="dxa"/>
            <w:vAlign w:val="bottom"/>
            <w:tcBorders>
              <w:left w:val="single" w:sz="8" w:color="auto"/>
            </w:tcBorders>
            <w:shd w:val="clear" w:color="auto" w:fill="F0F0F0"/>
          </w:tcPr>
          <w:p>
            <w:pPr>
              <w:ind w:left="160"/>
              <w:spacing w:after="0"/>
              <w:rPr>
                <w:sz w:val="20"/>
                <w:szCs w:val="20"/>
                <w:color w:val="auto"/>
              </w:rPr>
            </w:pPr>
            <w:r>
              <w:rPr>
                <w:rFonts w:ascii="Times New Roman" w:cs="Times New Roman" w:eastAsia="Times New Roman" w:hAnsi="Times New Roman"/>
                <w:sz w:val="18"/>
                <w:szCs w:val="18"/>
                <w:color w:val="auto"/>
              </w:rPr>
              <w:t>Created:</w:t>
            </w:r>
          </w:p>
        </w:tc>
        <w:tc>
          <w:tcPr>
            <w:tcW w:w="7040" w:type="dxa"/>
            <w:vAlign w:val="bottom"/>
            <w:tcBorders>
              <w:right w:val="single" w:sz="8" w:color="auto"/>
            </w:tcBorders>
            <w:shd w:val="clear" w:color="auto" w:fill="F0F0F0"/>
          </w:tcPr>
          <w:p>
            <w:pPr>
              <w:ind w:left="20"/>
              <w:spacing w:after="0"/>
              <w:rPr>
                <w:sz w:val="20"/>
                <w:szCs w:val="20"/>
                <w:color w:val="auto"/>
              </w:rPr>
            </w:pPr>
            <w:r>
              <w:rPr>
                <w:rFonts w:ascii="Times New Roman" w:cs="Times New Roman" w:eastAsia="Times New Roman" w:hAnsi="Times New Roman"/>
                <w:sz w:val="18"/>
                <w:szCs w:val="18"/>
                <w:color w:val="auto"/>
              </w:rPr>
              <w:t>2024-01-05</w:t>
            </w:r>
          </w:p>
        </w:tc>
      </w:tr>
      <w:tr>
        <w:trPr>
          <w:trHeight w:val="458"/>
        </w:trPr>
        <w:tc>
          <w:tcPr>
            <w:tcW w:w="2480" w:type="dxa"/>
            <w:vAlign w:val="bottom"/>
            <w:tcBorders>
              <w:left w:val="single" w:sz="8" w:color="auto"/>
            </w:tcBorders>
            <w:shd w:val="clear" w:color="auto" w:fill="F0F0F0"/>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7040" w:type="dxa"/>
            <w:vAlign w:val="bottom"/>
            <w:tcBorders>
              <w:right w:val="single" w:sz="8" w:color="auto"/>
            </w:tcBorders>
            <w:shd w:val="clear" w:color="auto" w:fill="F0F0F0"/>
          </w:tcPr>
          <w:p>
            <w:pPr>
              <w:ind w:left="20"/>
              <w:spacing w:after="0"/>
              <w:rPr>
                <w:sz w:val="20"/>
                <w:szCs w:val="20"/>
                <w:color w:val="auto"/>
              </w:rPr>
            </w:pPr>
            <w:r>
              <w:rPr>
                <w:rFonts w:ascii="Times New Roman" w:cs="Times New Roman" w:eastAsia="Times New Roman" w:hAnsi="Times New Roman"/>
                <w:sz w:val="18"/>
                <w:szCs w:val="18"/>
                <w:color w:val="auto"/>
              </w:rPr>
              <w:t>Robert Ticktin (rticktin@pmvpharma.com)</w:t>
            </w:r>
          </w:p>
        </w:tc>
      </w:tr>
      <w:tr>
        <w:trPr>
          <w:trHeight w:val="458"/>
        </w:trPr>
        <w:tc>
          <w:tcPr>
            <w:tcW w:w="2480" w:type="dxa"/>
            <w:vAlign w:val="bottom"/>
            <w:tcBorders>
              <w:left w:val="single" w:sz="8" w:color="auto"/>
            </w:tcBorders>
            <w:shd w:val="clear" w:color="auto" w:fill="F0F0F0"/>
          </w:tcPr>
          <w:p>
            <w:pPr>
              <w:ind w:left="160"/>
              <w:spacing w:after="0"/>
              <w:rPr>
                <w:sz w:val="20"/>
                <w:szCs w:val="20"/>
                <w:color w:val="auto"/>
              </w:rPr>
            </w:pPr>
            <w:r>
              <w:rPr>
                <w:rFonts w:ascii="Times New Roman" w:cs="Times New Roman" w:eastAsia="Times New Roman" w:hAnsi="Times New Roman"/>
                <w:sz w:val="18"/>
                <w:szCs w:val="18"/>
                <w:color w:val="auto"/>
              </w:rPr>
              <w:t>Status:</w:t>
            </w:r>
          </w:p>
        </w:tc>
        <w:tc>
          <w:tcPr>
            <w:tcW w:w="7040" w:type="dxa"/>
            <w:vAlign w:val="bottom"/>
            <w:tcBorders>
              <w:right w:val="single" w:sz="8" w:color="auto"/>
            </w:tcBorders>
            <w:shd w:val="clear" w:color="auto" w:fill="F0F0F0"/>
          </w:tcPr>
          <w:p>
            <w:pPr>
              <w:ind w:left="20"/>
              <w:spacing w:after="0"/>
              <w:rPr>
                <w:sz w:val="20"/>
                <w:szCs w:val="20"/>
                <w:color w:val="auto"/>
              </w:rPr>
            </w:pPr>
            <w:r>
              <w:rPr>
                <w:rFonts w:ascii="Times New Roman" w:cs="Times New Roman" w:eastAsia="Times New Roman" w:hAnsi="Times New Roman"/>
                <w:sz w:val="18"/>
                <w:szCs w:val="18"/>
                <w:color w:val="auto"/>
              </w:rPr>
              <w:t>Signed</w:t>
            </w:r>
          </w:p>
        </w:tc>
      </w:tr>
      <w:tr>
        <w:trPr>
          <w:trHeight w:val="458"/>
        </w:trPr>
        <w:tc>
          <w:tcPr>
            <w:tcW w:w="2480" w:type="dxa"/>
            <w:vAlign w:val="bottom"/>
            <w:tcBorders>
              <w:left w:val="single" w:sz="8" w:color="auto"/>
            </w:tcBorders>
            <w:shd w:val="clear" w:color="auto" w:fill="F0F0F0"/>
          </w:tcPr>
          <w:p>
            <w:pPr>
              <w:ind w:left="160"/>
              <w:spacing w:after="0"/>
              <w:rPr>
                <w:sz w:val="20"/>
                <w:szCs w:val="20"/>
                <w:color w:val="auto"/>
              </w:rPr>
            </w:pPr>
            <w:r>
              <w:rPr>
                <w:rFonts w:ascii="Times New Roman" w:cs="Times New Roman" w:eastAsia="Times New Roman" w:hAnsi="Times New Roman"/>
                <w:sz w:val="18"/>
                <w:szCs w:val="18"/>
                <w:color w:val="auto"/>
              </w:rPr>
              <w:t>Transaction ID:</w:t>
            </w:r>
          </w:p>
        </w:tc>
        <w:tc>
          <w:tcPr>
            <w:tcW w:w="7040" w:type="dxa"/>
            <w:vAlign w:val="bottom"/>
            <w:tcBorders>
              <w:right w:val="single" w:sz="8" w:color="auto"/>
            </w:tcBorders>
            <w:shd w:val="clear" w:color="auto" w:fill="F0F0F0"/>
          </w:tcPr>
          <w:p>
            <w:pPr>
              <w:ind w:left="20"/>
              <w:spacing w:after="0"/>
              <w:rPr>
                <w:sz w:val="20"/>
                <w:szCs w:val="20"/>
                <w:color w:val="auto"/>
              </w:rPr>
            </w:pPr>
            <w:r>
              <w:rPr>
                <w:rFonts w:ascii="Times New Roman" w:cs="Times New Roman" w:eastAsia="Times New Roman" w:hAnsi="Times New Roman"/>
                <w:sz w:val="18"/>
                <w:szCs w:val="18"/>
                <w:color w:val="auto"/>
              </w:rPr>
              <w:t>CBJCHBCAABAAaB6hkxFD-Dd7kps39cMaWCh7sZrILNHN</w:t>
            </w:r>
          </w:p>
        </w:tc>
      </w:tr>
      <w:tr>
        <w:trPr>
          <w:trHeight w:val="189"/>
        </w:trPr>
        <w:tc>
          <w:tcPr>
            <w:tcW w:w="2480" w:type="dxa"/>
            <w:vAlign w:val="bottom"/>
            <w:tcBorders>
              <w:left w:val="single" w:sz="8" w:color="auto"/>
              <w:bottom w:val="single" w:sz="8" w:color="auto"/>
            </w:tcBorders>
            <w:shd w:val="clear" w:color="auto" w:fill="F0F0F0"/>
          </w:tcPr>
          <w:p>
            <w:pPr>
              <w:spacing w:after="0"/>
              <w:rPr>
                <w:sz w:val="16"/>
                <w:szCs w:val="16"/>
                <w:color w:val="auto"/>
              </w:rPr>
            </w:pPr>
          </w:p>
        </w:tc>
        <w:tc>
          <w:tcPr>
            <w:tcW w:w="7040" w:type="dxa"/>
            <w:vAlign w:val="bottom"/>
            <w:tcBorders>
              <w:bottom w:val="single" w:sz="8" w:color="auto"/>
              <w:right w:val="single" w:sz="8" w:color="auto"/>
            </w:tcBorders>
            <w:shd w:val="clear" w:color="auto" w:fill="F0F0F0"/>
          </w:tcPr>
          <w:p>
            <w:pPr>
              <w:spacing w:after="0"/>
              <w:rPr>
                <w:sz w:val="16"/>
                <w:szCs w:val="16"/>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color w:val="auto"/>
        </w:rPr>
        <w:t>"PMV Separation Letter" History</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Document created by Robert Ticktin (rticktin@pmvpharma.com)</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2024-01-05 - 2:30:56 PM GMT</w:t>
      </w:r>
    </w:p>
    <w:p>
      <w:pPr>
        <w:spacing w:after="0" w:line="319" w:lineRule="exact"/>
        <w:rPr>
          <w:sz w:val="20"/>
          <w:szCs w:val="20"/>
          <w:color w:val="auto"/>
        </w:rPr>
      </w:pPr>
    </w:p>
    <w:p>
      <w:pPr>
        <w:ind w:left="420" w:right="3180"/>
        <w:spacing w:after="0" w:line="286" w:lineRule="auto"/>
        <w:rPr>
          <w:sz w:val="20"/>
          <w:szCs w:val="20"/>
          <w:color w:val="auto"/>
        </w:rPr>
      </w:pPr>
      <w:r>
        <w:rPr>
          <w:rFonts w:ascii="Arial" w:cs="Arial" w:eastAsia="Arial" w:hAnsi="Arial"/>
          <w:sz w:val="18"/>
          <w:szCs w:val="18"/>
          <w:color w:val="auto"/>
        </w:rPr>
        <w:t>Document emailed to Leila Alland (lalland@pmvpharma.com) for signature 2024-01-05 - 2:32:27 PM GMT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viewed by Leila Alland (lalland@pmvpharma.com)</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2024-01-05 - 2:49:54 PM GMT</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Document e-signed by Leila Alland (lalland@pmvpharma.com)</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Signature Date: 2024-01-05 - 2:52:29 PM GMT - Time Source: server</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Agreement completed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2024-01-05 - 2:52:29 PM 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1021080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120" w:top="1177" w:right="1259" w:bottom="1440" w:gutter="0" w:footer="0" w:header="0"/>
        </w:sectPr>
      </w:pPr>
    </w:p>
    <w:bookmarkStart w:id="148" w:name="page149"/>
    <w:bookmarkEnd w:id="148"/>
    <w:p>
      <w:pPr>
        <w:jc w:val="right"/>
        <w:spacing w:after="0"/>
        <w:rPr>
          <w:sz w:val="20"/>
          <w:szCs w:val="20"/>
          <w:color w:val="auto"/>
        </w:rPr>
      </w:pPr>
      <w:r>
        <w:rPr>
          <w:rFonts w:ascii="Calibri" w:cs="Calibri" w:eastAsia="Calibri" w:hAnsi="Calibri"/>
          <w:sz w:val="18"/>
          <w:szCs w:val="18"/>
          <w:b w:val="1"/>
          <w:bCs w:val="1"/>
          <w:color w:val="181818"/>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186055</wp:posOffset>
            </wp:positionV>
            <wp:extent cx="2671445" cy="5054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267144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alibri" w:cs="Calibri" w:eastAsia="Calibri" w:hAnsi="Calibri"/>
          <w:sz w:val="18"/>
          <w:szCs w:val="18"/>
          <w:color w:val="auto"/>
        </w:rPr>
        <w:t>January 05, 2024</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Michael Carulli</w:t>
      </w:r>
    </w:p>
    <w:p>
      <w:pPr>
        <w:spacing w:after="0" w:line="36" w:lineRule="exact"/>
        <w:rPr>
          <w:sz w:val="20"/>
          <w:szCs w:val="20"/>
          <w:color w:val="auto"/>
        </w:rPr>
      </w:pPr>
    </w:p>
    <w:p>
      <w:pPr>
        <w:spacing w:after="0"/>
        <w:rPr>
          <w:sz w:val="20"/>
          <w:szCs w:val="20"/>
          <w:color w:val="auto"/>
        </w:rPr>
      </w:pPr>
      <w:r>
        <w:rPr>
          <w:rFonts w:ascii="Calibri" w:cs="Calibri" w:eastAsia="Calibri" w:hAnsi="Calibri"/>
          <w:sz w:val="18"/>
          <w:szCs w:val="18"/>
          <w:color w:val="auto"/>
        </w:rPr>
        <w:t>c/o PMV Pharmaceutcals,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Dear Mike,</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 xml:space="preserve">This leter agreement (the </w:t>
      </w:r>
      <w:r>
        <w:rPr>
          <w:rFonts w:ascii="Calibri" w:cs="Calibri" w:eastAsia="Calibri" w:hAnsi="Calibri"/>
          <w:sz w:val="18"/>
          <w:szCs w:val="18"/>
          <w:i w:val="1"/>
          <w:iCs w:val="1"/>
          <w:color w:val="auto"/>
        </w:rPr>
        <w:t>"Agreement" )</w:t>
      </w:r>
      <w:r>
        <w:rPr>
          <w:rFonts w:ascii="Calibri" w:cs="Calibri" w:eastAsia="Calibri" w:hAnsi="Calibri"/>
          <w:sz w:val="18"/>
          <w:szCs w:val="18"/>
          <w:color w:val="auto"/>
        </w:rPr>
        <w:t xml:space="preserve"> is entered into between you and PMV Pharmaceutcals, Inc. (the </w:t>
      </w:r>
      <w:r>
        <w:rPr>
          <w:rFonts w:ascii="Calibri" w:cs="Calibri" w:eastAsia="Calibri" w:hAnsi="Calibri"/>
          <w:sz w:val="18"/>
          <w:szCs w:val="18"/>
          <w:i w:val="1"/>
          <w:iCs w:val="1"/>
          <w:color w:val="auto"/>
        </w:rPr>
        <w:t>"Company," "PMV Pharma,"</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"we"),</w:t>
      </w:r>
      <w:r>
        <w:rPr>
          <w:rFonts w:ascii="Calibri" w:cs="Calibri" w:eastAsia="Calibri" w:hAnsi="Calibri"/>
          <w:sz w:val="18"/>
          <w:szCs w:val="18"/>
          <w:color w:val="auto"/>
        </w:rPr>
        <w:t xml:space="preserve"> and amends and restates in full your earlier Employment Leter dated March 30, 2020, refectng your promoton and related compensaton changes. This Agreement is efectve as of the date hereof (the </w:t>
      </w:r>
      <w:r>
        <w:rPr>
          <w:rFonts w:ascii="Calibri" w:cs="Calibri" w:eastAsia="Calibri" w:hAnsi="Calibri"/>
          <w:sz w:val="18"/>
          <w:szCs w:val="18"/>
          <w:i w:val="1"/>
          <w:iCs w:val="1"/>
          <w:color w:val="auto"/>
        </w:rPr>
        <w:t>"Efectve Date") .</w:t>
      </w:r>
    </w:p>
    <w:p>
      <w:pPr>
        <w:spacing w:after="0" w:line="218" w:lineRule="exact"/>
        <w:rPr>
          <w:sz w:val="20"/>
          <w:szCs w:val="20"/>
          <w:color w:val="auto"/>
        </w:rPr>
      </w:pPr>
    </w:p>
    <w:p>
      <w:pPr>
        <w:jc w:val="both"/>
        <w:ind w:firstLine="757"/>
        <w:spacing w:after="0" w:line="235" w:lineRule="auto"/>
        <w:tabs>
          <w:tab w:leader="none" w:pos="924" w:val="left"/>
        </w:tabs>
        <w:numPr>
          <w:ilvl w:val="0"/>
          <w:numId w:val="8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Positon. </w:t>
      </w:r>
      <w:r>
        <w:rPr>
          <w:rFonts w:ascii="Calibri" w:cs="Calibri" w:eastAsia="Calibri" w:hAnsi="Calibri"/>
          <w:sz w:val="18"/>
          <w:szCs w:val="18"/>
          <w:color w:val="auto"/>
        </w:rPr>
        <w:t>Your new ttle is Chief Financial Ofcer, and you will now report to the Company's Chief Executve Ofcer. This is a full-tme positon.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While you render services to the Company, you will not engage in any other employment, consultng or other business actvity (whether full tme or part-tme) that would create a confict of interest with the Company.</w:t>
      </w:r>
    </w:p>
    <w:p>
      <w:pPr>
        <w:spacing w:after="0" w:line="217" w:lineRule="exact"/>
        <w:rPr>
          <w:rFonts w:ascii="Calibri" w:cs="Calibri" w:eastAsia="Calibri" w:hAnsi="Calibri"/>
          <w:sz w:val="18"/>
          <w:szCs w:val="18"/>
          <w:b w:val="1"/>
          <w:bCs w:val="1"/>
          <w:color w:val="auto"/>
        </w:rPr>
      </w:pPr>
    </w:p>
    <w:p>
      <w:pPr>
        <w:jc w:val="both"/>
        <w:ind w:firstLine="757"/>
        <w:spacing w:after="0" w:line="235" w:lineRule="auto"/>
        <w:tabs>
          <w:tab w:leader="none" w:pos="951" w:val="left"/>
        </w:tabs>
        <w:numPr>
          <w:ilvl w:val="0"/>
          <w:numId w:val="8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Cash Compensaton. </w:t>
      </w:r>
      <w:r>
        <w:rPr>
          <w:rFonts w:ascii="Calibri" w:cs="Calibri" w:eastAsia="Calibri" w:hAnsi="Calibri"/>
          <w:sz w:val="18"/>
          <w:szCs w:val="18"/>
          <w:color w:val="auto"/>
        </w:rPr>
        <w:t>Your 2024 base salary will be increased to $370,000, efectve as of January 1, 2024, payable in accordance with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Company's standard payroll schedule. This salary will be subject to adjustment pursuant to the Company's employee compensaton policies in efect from tme to tme. In additon, you will be eligible to be considered for an incentve bonus for each fscal year of the Company under the Company's Employee Incentve Compensaton Plan (the </w:t>
      </w:r>
      <w:r>
        <w:rPr>
          <w:rFonts w:ascii="Calibri" w:cs="Calibri" w:eastAsia="Calibri" w:hAnsi="Calibri"/>
          <w:sz w:val="18"/>
          <w:szCs w:val="18"/>
          <w:i w:val="1"/>
          <w:iCs w:val="1"/>
          <w:color w:val="auto"/>
        </w:rPr>
        <w:t>"Incentve Plan")</w:t>
      </w:r>
      <w:r>
        <w:rPr>
          <w:rFonts w:ascii="Calibri" w:cs="Calibri" w:eastAsia="Calibri" w:hAnsi="Calibri"/>
          <w:sz w:val="18"/>
          <w:szCs w:val="18"/>
          <w:color w:val="auto"/>
        </w:rPr>
        <w:t xml:space="preserve"> or any successor plan. The bonus (if any) will be awarded based on objectve or subjectve criteria established by the Company's Board of Directors (the </w:t>
      </w:r>
      <w:r>
        <w:rPr>
          <w:rFonts w:ascii="Calibri" w:cs="Calibri" w:eastAsia="Calibri" w:hAnsi="Calibri"/>
          <w:sz w:val="18"/>
          <w:szCs w:val="18"/>
          <w:i w:val="1"/>
          <w:iCs w:val="1"/>
          <w:color w:val="auto"/>
        </w:rPr>
        <w:t>"Board")</w:t>
      </w:r>
      <w:r>
        <w:rPr>
          <w:rFonts w:ascii="Calibri" w:cs="Calibri" w:eastAsia="Calibri" w:hAnsi="Calibri"/>
          <w:sz w:val="18"/>
          <w:szCs w:val="18"/>
          <w:color w:val="auto"/>
        </w:rPr>
        <w:t xml:space="preserve"> and/or the Compensaton Commitee of the Board (the </w:t>
      </w:r>
      <w:r>
        <w:rPr>
          <w:rFonts w:ascii="Calibri" w:cs="Calibri" w:eastAsia="Calibri" w:hAnsi="Calibri"/>
          <w:sz w:val="18"/>
          <w:szCs w:val="18"/>
          <w:i w:val="1"/>
          <w:iCs w:val="1"/>
          <w:color w:val="auto"/>
        </w:rPr>
        <w:t>"Compensaton Commitee" ),</w:t>
      </w:r>
      <w:r>
        <w:rPr>
          <w:rFonts w:ascii="Calibri" w:cs="Calibri" w:eastAsia="Calibri" w:hAnsi="Calibri"/>
          <w:sz w:val="18"/>
          <w:szCs w:val="18"/>
          <w:color w:val="auto"/>
        </w:rPr>
        <w:t xml:space="preserve"> as applicable. Your annual target bonus will be increased for performance years 2024 and beyond to be 40% of your annual base salary. The terms and conditons of your bonus will be set forth in the Incentve Plan, and the Board and/or the Compensaton Commitee reserves authority to pay discretonary bonuses. The determinatons of the Board and/or the Compensaton Commitee, as applicable, with respect to your bonus will be fnal and binding.</w:t>
      </w:r>
    </w:p>
    <w:p>
      <w:pPr>
        <w:spacing w:after="0" w:line="220" w:lineRule="exact"/>
        <w:rPr>
          <w:rFonts w:ascii="Calibri" w:cs="Calibri" w:eastAsia="Calibri" w:hAnsi="Calibri"/>
          <w:sz w:val="18"/>
          <w:szCs w:val="18"/>
          <w:b w:val="1"/>
          <w:bCs w:val="1"/>
          <w:color w:val="auto"/>
        </w:rPr>
      </w:pPr>
    </w:p>
    <w:p>
      <w:pPr>
        <w:ind w:firstLine="757"/>
        <w:spacing w:after="0" w:line="235" w:lineRule="auto"/>
        <w:tabs>
          <w:tab w:leader="none" w:pos="924" w:val="left"/>
        </w:tabs>
        <w:numPr>
          <w:ilvl w:val="0"/>
          <w:numId w:val="8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Employee Benefts. </w:t>
      </w:r>
      <w:r>
        <w:rPr>
          <w:rFonts w:ascii="Calibri" w:cs="Calibri" w:eastAsia="Calibri" w:hAnsi="Calibri"/>
          <w:sz w:val="18"/>
          <w:szCs w:val="18"/>
          <w:color w:val="auto"/>
        </w:rPr>
        <w:t>As a regular employee of the Company, you will contnue to be eligible to partcipate in a number of Company-sponsored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benefts. In additon, you will contnue to be enttled to paid vacaton in accordance with the Company's vacaton policy, as in efect from tme to tme.</w:t>
      </w:r>
    </w:p>
    <w:p>
      <w:pPr>
        <w:spacing w:after="0" w:line="216" w:lineRule="exact"/>
        <w:rPr>
          <w:rFonts w:ascii="Calibri" w:cs="Calibri" w:eastAsia="Calibri" w:hAnsi="Calibri"/>
          <w:sz w:val="18"/>
          <w:szCs w:val="18"/>
          <w:b w:val="1"/>
          <w:bCs w:val="1"/>
          <w:color w:val="auto"/>
        </w:rPr>
      </w:pPr>
    </w:p>
    <w:p>
      <w:pPr>
        <w:jc w:val="both"/>
        <w:ind w:firstLine="757"/>
        <w:spacing w:after="0" w:line="235" w:lineRule="auto"/>
        <w:tabs>
          <w:tab w:leader="none" w:pos="924" w:val="left"/>
        </w:tabs>
        <w:numPr>
          <w:ilvl w:val="0"/>
          <w:numId w:val="8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Equity Awards. </w:t>
      </w:r>
      <w:r>
        <w:rPr>
          <w:rFonts w:ascii="Calibri" w:cs="Calibri" w:eastAsia="Calibri" w:hAnsi="Calibri"/>
          <w:sz w:val="18"/>
          <w:szCs w:val="18"/>
          <w:color w:val="auto"/>
        </w:rPr>
        <w:t>You have received equity awards from the Company and these awards shall contnue to be in full force and efect and governed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by the terms set forth therein, as modifed by the Company's Change in Control and Severance Policy and your partcipaton agreement thereunder (the </w:t>
      </w:r>
      <w:r>
        <w:rPr>
          <w:rFonts w:ascii="Calibri" w:cs="Calibri" w:eastAsia="Calibri" w:hAnsi="Calibri"/>
          <w:sz w:val="18"/>
          <w:szCs w:val="18"/>
          <w:i w:val="1"/>
          <w:iCs w:val="1"/>
          <w:color w:val="auto"/>
        </w:rPr>
        <w:t>"Severance Policy").</w:t>
      </w:r>
    </w:p>
    <w:p>
      <w:pPr>
        <w:spacing w:after="0" w:line="217" w:lineRule="exact"/>
        <w:rPr>
          <w:rFonts w:ascii="Calibri" w:cs="Calibri" w:eastAsia="Calibri" w:hAnsi="Calibri"/>
          <w:sz w:val="18"/>
          <w:szCs w:val="18"/>
          <w:b w:val="1"/>
          <w:bCs w:val="1"/>
          <w:color w:val="auto"/>
        </w:rPr>
      </w:pPr>
    </w:p>
    <w:p>
      <w:pPr>
        <w:jc w:val="both"/>
        <w:ind w:firstLine="757"/>
        <w:spacing w:after="0" w:line="235" w:lineRule="auto"/>
        <w:tabs>
          <w:tab w:leader="none" w:pos="924" w:val="left"/>
        </w:tabs>
        <w:numPr>
          <w:ilvl w:val="0"/>
          <w:numId w:val="8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Severance &amp; Change of Control Benefts. </w:t>
      </w:r>
      <w:r>
        <w:rPr>
          <w:rFonts w:ascii="Calibri" w:cs="Calibri" w:eastAsia="Calibri" w:hAnsi="Calibri"/>
          <w:sz w:val="18"/>
          <w:szCs w:val="18"/>
          <w:color w:val="auto"/>
        </w:rPr>
        <w:t>You will contnue to be eligible for benefts in the Severance Policy. However, commencing as of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Efectve Date, you will be covered at the C-suite severance level, and the Company has provided you an amended version of your partcipaton agreement to the Severance Policy refectng this change.</w:t>
      </w:r>
    </w:p>
    <w:p>
      <w:pPr>
        <w:spacing w:after="0" w:line="217" w:lineRule="exact"/>
        <w:rPr>
          <w:rFonts w:ascii="Calibri" w:cs="Calibri" w:eastAsia="Calibri" w:hAnsi="Calibri"/>
          <w:sz w:val="18"/>
          <w:szCs w:val="18"/>
          <w:b w:val="1"/>
          <w:bCs w:val="1"/>
          <w:color w:val="auto"/>
        </w:rPr>
      </w:pPr>
    </w:p>
    <w:p>
      <w:pPr>
        <w:jc w:val="both"/>
        <w:ind w:firstLine="757"/>
        <w:spacing w:after="0" w:line="235" w:lineRule="auto"/>
        <w:tabs>
          <w:tab w:leader="none" w:pos="937" w:val="left"/>
        </w:tabs>
        <w:numPr>
          <w:ilvl w:val="0"/>
          <w:numId w:val="8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Proprietary Informaton and Inventons Agreement. </w:t>
      </w:r>
      <w:r>
        <w:rPr>
          <w:rFonts w:ascii="Calibri" w:cs="Calibri" w:eastAsia="Calibri" w:hAnsi="Calibri"/>
          <w:sz w:val="18"/>
          <w:szCs w:val="18"/>
          <w:color w:val="auto"/>
        </w:rPr>
        <w:t>As an employee of the Company, you will contnue to have access to certain confdental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informaton of the Company and you may, during the course of your employment, develop certain informaton or inventons that will be the property of the Company. To protect the interests of the Company, your acceptance of this Agreement reafrms that the terms of the Company's At-Will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9" w:name="page150"/>
    <w:bookmarkEnd w:id="149"/>
    <w:p>
      <w:pPr>
        <w:spacing w:after="0" w:line="1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Employment, Confdental Informaton, Inventon Assignment, and Arbitraton Agreement that you executed in connecton with your hire (the "</w:t>
      </w:r>
      <w:r>
        <w:rPr>
          <w:rFonts w:ascii="Calibri" w:cs="Calibri" w:eastAsia="Calibri" w:hAnsi="Calibri"/>
          <w:sz w:val="18"/>
          <w:szCs w:val="18"/>
          <w:i w:val="1"/>
          <w:iCs w:val="1"/>
          <w:color w:val="auto"/>
        </w:rPr>
        <w:t>PIAA</w:t>
      </w:r>
      <w:r>
        <w:rPr>
          <w:rFonts w:ascii="Calibri" w:cs="Calibri" w:eastAsia="Calibri" w:hAnsi="Calibri"/>
          <w:sz w:val="18"/>
          <w:szCs w:val="18"/>
          <w:color w:val="auto"/>
        </w:rPr>
        <w:t>" ) contnue to be in efect. In the event of any dispute or claim relatng to or arising out of our employment relatonship, you and the Company agree that (i) any and all disputes between you and the Company shall be fully and fnally resolved by binding arbitraton, (ii) you are waitng any and all rights to a jury trial but all court remedies will be available in arbitraton, (iii) all disputes shall be resolved by a neutral arbitrator who shall issue a writen opinion, and (iv) the arbitraton shall provide for adequate discovery, and the Company shall pay all but the frst $125 of the arbitraton fees.</w:t>
      </w:r>
    </w:p>
    <w:p>
      <w:pPr>
        <w:spacing w:after="0" w:line="219" w:lineRule="exact"/>
        <w:rPr>
          <w:sz w:val="20"/>
          <w:szCs w:val="20"/>
          <w:color w:val="auto"/>
        </w:rPr>
      </w:pPr>
    </w:p>
    <w:p>
      <w:pPr>
        <w:jc w:val="both"/>
        <w:ind w:firstLine="757"/>
        <w:spacing w:after="0" w:line="235" w:lineRule="auto"/>
        <w:tabs>
          <w:tab w:leader="none" w:pos="924" w:val="left"/>
        </w:tabs>
        <w:numPr>
          <w:ilvl w:val="0"/>
          <w:numId w:val="8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Employment Relatonship</w:t>
      </w:r>
      <w:r>
        <w:rPr>
          <w:rFonts w:ascii="Calibri" w:cs="Calibri" w:eastAsia="Calibri" w:hAnsi="Calibri"/>
          <w:sz w:val="18"/>
          <w:szCs w:val="18"/>
          <w:color w:val="auto"/>
        </w:rPr>
        <w:t>. Employment with the Company is for no specifc period of tme. Your employment with the Company contnues to be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"at will," meaning that either you or the Company may terminate your employment at any tme and for any reason, with or without cause. Any contrary representatons that may have been made to you are superseded by this Agreement. This is the full and complete Agreement between you and the Company on this term. Although your job dutes, ttle, compensaton and benefts, as well as the Company's personnel policies and procedures, may change from tme to tme, the "at will" nature of your employment may only be changed in an express writen agreement signed by you and a duly authorized ofcer of the Company (other than you).</w:t>
      </w:r>
    </w:p>
    <w:p>
      <w:pPr>
        <w:spacing w:after="0" w:line="214" w:lineRule="exact"/>
        <w:rPr>
          <w:rFonts w:ascii="Calibri" w:cs="Calibri" w:eastAsia="Calibri" w:hAnsi="Calibri"/>
          <w:sz w:val="18"/>
          <w:szCs w:val="18"/>
          <w:b w:val="1"/>
          <w:bCs w:val="1"/>
          <w:color w:val="auto"/>
        </w:rPr>
      </w:pPr>
    </w:p>
    <w:p>
      <w:pPr>
        <w:ind w:left="940" w:hanging="183"/>
        <w:spacing w:after="0"/>
        <w:tabs>
          <w:tab w:leader="none" w:pos="940" w:val="left"/>
        </w:tabs>
        <w:numPr>
          <w:ilvl w:val="0"/>
          <w:numId w:val="8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Tax Maters.</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 xml:space="preserve">a. </w:t>
      </w:r>
      <w:r>
        <w:rPr>
          <w:rFonts w:ascii="Calibri" w:cs="Calibri" w:eastAsia="Calibri" w:hAnsi="Calibri"/>
          <w:sz w:val="18"/>
          <w:szCs w:val="18"/>
          <w:u w:val="single" w:color="auto"/>
          <w:color w:val="auto"/>
        </w:rPr>
        <w:t>Withholding</w:t>
      </w:r>
      <w:r>
        <w:rPr>
          <w:rFonts w:ascii="Calibri" w:cs="Calibri" w:eastAsia="Calibri" w:hAnsi="Calibri"/>
          <w:sz w:val="18"/>
          <w:szCs w:val="18"/>
          <w:color w:val="auto"/>
        </w:rPr>
        <w:t>. All forms of compensaton referred to in this Agreement are subject to reducton to refect applicable withholding and payroll taxes and other deductons required by law.</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 xml:space="preserve">b. </w:t>
      </w:r>
      <w:r>
        <w:rPr>
          <w:rFonts w:ascii="Calibri" w:cs="Calibri" w:eastAsia="Calibri" w:hAnsi="Calibri"/>
          <w:sz w:val="18"/>
          <w:szCs w:val="18"/>
          <w:u w:val="single" w:color="auto"/>
          <w:color w:val="auto"/>
        </w:rPr>
        <w:t>Secton 409A</w:t>
      </w:r>
      <w:r>
        <w:rPr>
          <w:rFonts w:ascii="Calibri" w:cs="Calibri" w:eastAsia="Calibri" w:hAnsi="Calibri"/>
          <w:sz w:val="18"/>
          <w:szCs w:val="18"/>
          <w:color w:val="auto"/>
        </w:rPr>
        <w:t>. The partes intend that the benefts and payments provided under this Agreement shall be exempt from, or comply with, the requirements of Secton 409A of the Code (as it has been and may be amended from tme to tme) and any regulatons and guidance that has been promulgated or may be promulgated from tme to tme thereunder ("</w:t>
      </w:r>
      <w:r>
        <w:rPr>
          <w:rFonts w:ascii="Calibri" w:cs="Calibri" w:eastAsia="Calibri" w:hAnsi="Calibri"/>
          <w:sz w:val="18"/>
          <w:szCs w:val="18"/>
          <w:i w:val="1"/>
          <w:iCs w:val="1"/>
          <w:color w:val="auto"/>
        </w:rPr>
        <w:t>Secton 409A</w:t>
      </w:r>
      <w:r>
        <w:rPr>
          <w:rFonts w:ascii="Calibri" w:cs="Calibri" w:eastAsia="Calibri" w:hAnsi="Calibri"/>
          <w:sz w:val="18"/>
          <w:szCs w:val="18"/>
          <w:color w:val="auto"/>
        </w:rPr>
        <w:t>"), and any ambiguites or ambiguous terms herein will be interpreted to so comply. Each payment and beneft payable under this Agreement is intended to consttute a separate payment for purposes of Secton 1.409A-2(b)(2) of the Treasury Regulatons. The Company shall in no event be obligated to indemnify you for any taxes or interest that may be assessed under Secton 409A.</w:t>
      </w:r>
    </w:p>
    <w:p>
      <w:pPr>
        <w:spacing w:after="0" w:line="219" w:lineRule="exact"/>
        <w:rPr>
          <w:sz w:val="20"/>
          <w:szCs w:val="20"/>
          <w:color w:val="auto"/>
        </w:rPr>
      </w:pPr>
    </w:p>
    <w:p>
      <w:pPr>
        <w:jc w:val="both"/>
        <w:ind w:firstLine="757"/>
        <w:spacing w:after="0" w:line="235" w:lineRule="auto"/>
        <w:tabs>
          <w:tab w:leader="none" w:pos="931" w:val="left"/>
        </w:tabs>
        <w:numPr>
          <w:ilvl w:val="0"/>
          <w:numId w:val="8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Interpretaton, Amendment and Enforcement. </w:t>
      </w:r>
      <w:r>
        <w:rPr>
          <w:rFonts w:ascii="Calibri" w:cs="Calibri" w:eastAsia="Calibri" w:hAnsi="Calibri"/>
          <w:sz w:val="18"/>
          <w:szCs w:val="18"/>
          <w:color w:val="auto"/>
        </w:rPr>
        <w:t>This Agreement, together with the PIAA, the Severance Policy and your partcipaton agreement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under the Severance Policy and your Equity Award agreements, supersede and replace any prior agreements, representatons or understandings (whether writen, oral, implied or otherwise) between you and the Company, including, but not limited to any inital ofer leter with the Company, and consttute the complete agreement between you and the Company regarding the subject mater set forth herein. This Agreement may not be amended or modifed, except by an express writen agreement signed by both you and a duly authorized ofcer of the Company.</w:t>
      </w:r>
    </w:p>
    <w:p>
      <w:pPr>
        <w:spacing w:after="0" w:line="213" w:lineRule="exact"/>
        <w:rPr>
          <w:rFonts w:ascii="Calibri" w:cs="Calibri" w:eastAsia="Calibri" w:hAnsi="Calibri"/>
          <w:sz w:val="18"/>
          <w:szCs w:val="18"/>
          <w:b w:val="1"/>
          <w:bCs w:val="1"/>
          <w:color w:val="auto"/>
        </w:rPr>
      </w:pPr>
    </w:p>
    <w:p>
      <w:pPr>
        <w:ind w:left="5300"/>
        <w:spacing w:after="0"/>
        <w:rPr>
          <w:rFonts w:ascii="Calibri" w:cs="Calibri" w:eastAsia="Calibri" w:hAnsi="Calibri"/>
          <w:sz w:val="18"/>
          <w:szCs w:val="18"/>
          <w:b w:val="1"/>
          <w:bCs w:val="1"/>
          <w:color w:val="auto"/>
        </w:rPr>
      </w:pPr>
      <w:r>
        <w:rPr>
          <w:rFonts w:ascii="Calibri" w:cs="Calibri" w:eastAsia="Calibri" w:hAnsi="Calibri"/>
          <w:sz w:val="18"/>
          <w:szCs w:val="18"/>
          <w:color w:val="auto"/>
        </w:rPr>
        <w:t>* * * * *</w:t>
      </w:r>
    </w:p>
    <w:p>
      <w:pPr>
        <w:spacing w:after="0" w:line="212"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We are extremely excited about your promoton to CFO and your new leadership role at PMV Pharma!</w:t>
      </w:r>
    </w:p>
    <w:p>
      <w:pPr>
        <w:spacing w:after="0" w:line="212"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signature page follows</w:t>
      </w:r>
      <w:r>
        <w:rPr>
          <w:rFonts w:ascii="Calibri" w:cs="Calibri" w:eastAsia="Calibri" w:hAnsi="Calibri"/>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ind w:firstLine="749"/>
        <w:spacing w:after="0" w:line="235" w:lineRule="auto"/>
        <w:rPr>
          <w:sz w:val="20"/>
          <w:szCs w:val="20"/>
          <w:color w:val="auto"/>
        </w:rPr>
      </w:pPr>
      <w:r>
        <w:rPr>
          <w:rFonts w:ascii="Calibri" w:cs="Calibri" w:eastAsia="Calibri" w:hAnsi="Calibri"/>
          <w:sz w:val="18"/>
          <w:szCs w:val="18"/>
          <w:color w:val="auto"/>
        </w:rPr>
        <w:t>To indicate your acceptance of the Company's ofer, please sign and date this leter in the space provided below and return it to me. A duplicate original is enclosed for your records .</w:t>
      </w:r>
    </w:p>
    <w:p>
      <w:pPr>
        <w:spacing w:after="0" w:line="279"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Sincerely,</w:t>
      </w:r>
    </w:p>
    <w:p>
      <w:pPr>
        <w:spacing w:after="0" w:line="239" w:lineRule="exact"/>
        <w:rPr>
          <w:sz w:val="20"/>
          <w:szCs w:val="20"/>
          <w:color w:val="auto"/>
        </w:rPr>
      </w:pPr>
    </w:p>
    <w:p>
      <w:pPr>
        <w:ind w:left="6440"/>
        <w:spacing w:after="0"/>
        <w:tabs>
          <w:tab w:leader="none" w:pos="6980" w:val="left"/>
        </w:tabs>
        <w:rPr>
          <w:sz w:val="20"/>
          <w:szCs w:val="20"/>
          <w:color w:val="auto"/>
        </w:rPr>
      </w:pP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David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23495</wp:posOffset>
            </wp:positionV>
            <wp:extent cx="27057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2705735" cy="8255"/>
                    </a:xfrm>
                    <a:prstGeom prst="rect">
                      <a:avLst/>
                    </a:prstGeom>
                    <a:noFill/>
                  </pic:spPr>
                </pic:pic>
              </a:graphicData>
            </a:graphic>
          </wp:anchor>
        </w:drawing>
      </w:r>
    </w:p>
    <w:p>
      <w:pPr>
        <w:spacing w:after="0" w:line="70"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David Mack</w:t>
      </w:r>
    </w:p>
    <w:p>
      <w:pPr>
        <w:spacing w:after="0" w:line="77" w:lineRule="exact"/>
        <w:rPr>
          <w:sz w:val="20"/>
          <w:szCs w:val="20"/>
          <w:color w:val="auto"/>
        </w:rPr>
      </w:pPr>
    </w:p>
    <w:p>
      <w:pPr>
        <w:ind w:left="6440"/>
        <w:spacing w:after="0"/>
        <w:rPr>
          <w:sz w:val="20"/>
          <w:szCs w:val="20"/>
          <w:color w:val="auto"/>
        </w:rPr>
      </w:pPr>
      <w:r>
        <w:rPr>
          <w:rFonts w:ascii="Calibri" w:cs="Calibri" w:eastAsia="Calibri" w:hAnsi="Calibri"/>
          <w:sz w:val="18"/>
          <w:szCs w:val="18"/>
          <w:color w:val="auto"/>
        </w:rPr>
        <w:t>Chief Executve Ofcer</w:t>
      </w:r>
    </w:p>
    <w:p>
      <w:pPr>
        <w:spacing w:after="0" w:line="1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Agreed to and accepted:</w:t>
      </w:r>
    </w:p>
    <w:p>
      <w:pPr>
        <w:spacing w:after="0" w:line="131" w:lineRule="exact"/>
        <w:rPr>
          <w:sz w:val="20"/>
          <w:szCs w:val="20"/>
          <w:color w:val="auto"/>
        </w:rPr>
      </w:pPr>
    </w:p>
    <w:p>
      <w:pPr>
        <w:ind w:left="20"/>
        <w:spacing w:after="0"/>
        <w:tabs>
          <w:tab w:leader="none" w:pos="1140" w:val="left"/>
        </w:tabs>
        <w:rPr>
          <w:sz w:val="20"/>
          <w:szCs w:val="20"/>
          <w:color w:val="auto"/>
        </w:rPr>
      </w:pPr>
      <w:r>
        <w:rPr>
          <w:rFonts w:ascii="Calibri" w:cs="Calibri" w:eastAsia="Calibri" w:hAnsi="Calibri"/>
          <w:sz w:val="18"/>
          <w:szCs w:val="18"/>
          <w:color w:val="auto"/>
        </w:rPr>
        <w:t>Signature:</w:t>
      </w:r>
      <w:r>
        <w:rPr>
          <w:sz w:val="20"/>
          <w:szCs w:val="20"/>
          <w:color w:val="auto"/>
        </w:rPr>
        <w:tab/>
      </w:r>
      <w:r>
        <w:rPr>
          <w:rFonts w:ascii="Calibri" w:cs="Calibri" w:eastAsia="Calibri" w:hAnsi="Calibri"/>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23495</wp:posOffset>
            </wp:positionV>
            <wp:extent cx="286004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Printed Name: Michael Carulli</w:t>
      </w:r>
    </w:p>
    <w:p>
      <w:pPr>
        <w:spacing w:after="0" w:line="7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Date: 1/5/2024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1" w:name="page152"/>
    <w:bookmarkEnd w:id="151"/>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PMV PHARMACEUTICALS,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HIS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ONSULTING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made and entered into by and between</w:t>
      </w:r>
      <w:r>
        <w:rPr>
          <w:rFonts w:ascii="Times New Roman" w:cs="Times New Roman" w:eastAsia="Times New Roman" w:hAnsi="Times New Roman"/>
          <w:sz w:val="22"/>
          <w:szCs w:val="22"/>
          <w:b w:val="1"/>
          <w:bCs w:val="1"/>
          <w:color w:val="auto"/>
        </w:rPr>
        <w:t xml:space="preserve"> PMV P</w:t>
      </w:r>
      <w:r>
        <w:rPr>
          <w:rFonts w:ascii="Times New Roman" w:cs="Times New Roman" w:eastAsia="Times New Roman" w:hAnsi="Times New Roman"/>
          <w:sz w:val="17"/>
          <w:szCs w:val="17"/>
          <w:b w:val="1"/>
          <w:bCs w:val="1"/>
          <w:color w:val="auto"/>
        </w:rPr>
        <w:t>HARMACEUTICALS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b w:val="1"/>
          <w:bCs w:val="1"/>
          <w:color w:val="auto"/>
        </w:rPr>
        <w:t>INC</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Charles Baum, M.D., Ph.D.,</w:t>
      </w:r>
      <w:r>
        <w:rPr>
          <w:rFonts w:ascii="Times New Roman" w:cs="Times New Roman" w:eastAsia="Times New Roman" w:hAnsi="Times New Roman"/>
          <w:sz w:val="22"/>
          <w:szCs w:val="22"/>
          <w:color w:val="auto"/>
        </w:rPr>
        <w:t xml:space="preserve"> an individual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xml:space="preserve">, effective as of the date of last signature hereto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0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has unique skills and knowledge in the Company's field of endeavor and thus is well suited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 the Company; and</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desires that Consultant advise and consult with the Company and Consultant agrees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assistance to the Company through a consulting relationship with the Company;</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Now T</w:t>
      </w:r>
      <w:r>
        <w:rPr>
          <w:rFonts w:ascii="Times New Roman" w:cs="Times New Roman" w:eastAsia="Times New Roman" w:hAnsi="Times New Roman"/>
          <w:sz w:val="17"/>
          <w:szCs w:val="17"/>
          <w:b w:val="1"/>
          <w:bCs w:val="1"/>
          <w:color w:val="auto"/>
        </w:rPr>
        <w:t>HEREFORE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mutual obligations specified in this Agreement, the parties agree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51" w:lineRule="exact"/>
        <w:rPr>
          <w:sz w:val="20"/>
          <w:szCs w:val="20"/>
          <w:color w:val="auto"/>
        </w:rPr>
      </w:pPr>
    </w:p>
    <w:p>
      <w:pPr>
        <w:ind w:left="380" w:hanging="372"/>
        <w:spacing w:after="0" w:line="261" w:lineRule="auto"/>
        <w:tabs>
          <w:tab w:leader="none" w:pos="3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ONSULTING</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ERVICES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hereby retains Consultant, and Consultant hereby accepts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to perform consulting services for the Company as set forth herein.</w:t>
      </w:r>
    </w:p>
    <w:p>
      <w:pPr>
        <w:spacing w:after="0" w:line="150"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ERVICES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Consultant shall provide services described in Exhibit 1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xml:space="preserve"> for the Company.</w:t>
      </w:r>
    </w:p>
    <w:p>
      <w:pPr>
        <w:spacing w:after="0" w:line="205" w:lineRule="exact"/>
        <w:rPr>
          <w:rFonts w:ascii="Times New Roman" w:cs="Times New Roman" w:eastAsia="Times New Roman" w:hAnsi="Times New Roman"/>
          <w:sz w:val="22"/>
          <w:szCs w:val="22"/>
          <w:color w:val="auto"/>
        </w:rPr>
      </w:pPr>
    </w:p>
    <w:p>
      <w:pPr>
        <w:ind w:left="900" w:hanging="5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OMPENSATION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Company agrees to pay Consultant the compensation set forth in Exhibit 1. The parties agree that the compensation is reasonable compensation, and consistent with fair market value in arm's-length transactions for similar services. Consultant will provide the Company with a completed trade registry extract (or Internal Revenue Service form W-8EN or similar document) before any compensation is paid under this Agreement.</w:t>
      </w:r>
    </w:p>
    <w:p>
      <w:pPr>
        <w:spacing w:after="0" w:line="175" w:lineRule="exact"/>
        <w:rPr>
          <w:sz w:val="20"/>
          <w:szCs w:val="20"/>
          <w:color w:val="auto"/>
        </w:rPr>
      </w:pPr>
    </w:p>
    <w:p>
      <w:pPr>
        <w:ind w:left="900" w:hanging="509"/>
        <w:spacing w:after="0" w:line="261" w:lineRule="auto"/>
        <w:tabs>
          <w:tab w:leader="none" w:pos="8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IME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OMMITMENT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will commence on the Effective Date and will continue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unless terminated earlier by either party according to Section 1.7 below.</w:t>
      </w:r>
    </w:p>
    <w:p>
      <w:pPr>
        <w:spacing w:after="0" w:line="151" w:lineRule="exact"/>
        <w:rPr>
          <w:sz w:val="20"/>
          <w:szCs w:val="20"/>
          <w:color w:val="auto"/>
        </w:rPr>
      </w:pPr>
    </w:p>
    <w:p>
      <w:pPr>
        <w:ind w:left="380"/>
        <w:spacing w:after="0"/>
        <w:tabs>
          <w:tab w:leader="none" w:pos="8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AYMENT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ERMS AND</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XPENSE REIMBURSEMENT</w:t>
      </w:r>
      <w:r>
        <w:rPr>
          <w:rFonts w:ascii="Times New Roman" w:cs="Times New Roman" w:eastAsia="Times New Roman" w:hAnsi="Times New Roman"/>
          <w:sz w:val="20"/>
          <w:szCs w:val="20"/>
          <w:b w:val="1"/>
          <w:bCs w:val="1"/>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AYMENT</w:t>
      </w:r>
      <w:r>
        <w:rPr>
          <w:rFonts w:ascii="Times New Roman" w:cs="Times New Roman" w:eastAsia="Times New Roman" w:hAnsi="Times New Roman"/>
          <w:sz w:val="22"/>
          <w:szCs w:val="22"/>
          <w:color w:val="auto"/>
        </w:rPr>
        <w:t>. Company shall pay Consultant on a monthly basis.</w:t>
      </w:r>
    </w:p>
    <w:p>
      <w:pPr>
        <w:spacing w:after="0" w:line="205" w:lineRule="exact"/>
        <w:rPr>
          <w:sz w:val="20"/>
          <w:szCs w:val="20"/>
          <w:color w:val="auto"/>
        </w:rPr>
      </w:pPr>
    </w:p>
    <w:p>
      <w:pPr>
        <w:jc w:val="both"/>
        <w:ind w:left="1260" w:hanging="509"/>
        <w:spacing w:after="0" w:line="282"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XPENSES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Company shall reimburse Consultant for expenses actually incurred by Consultant in performing the Services, including but not limited to travel and accommodation expenses, so long as such expenses are reasonable and necessary as determined by the Company and, where such policies exist, comply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226" w:lineRule="exact"/>
        <w:rPr>
          <w:sz w:val="20"/>
          <w:szCs w:val="20"/>
          <w:color w:val="auto"/>
        </w:rPr>
      </w:pPr>
    </w:p>
    <w:p>
      <w:pPr>
        <w:jc w:val="both"/>
        <w:ind w:left="1260"/>
        <w:spacing w:after="0" w:line="244" w:lineRule="auto"/>
        <w:rPr>
          <w:sz w:val="20"/>
          <w:szCs w:val="20"/>
          <w:color w:val="auto"/>
        </w:rPr>
      </w:pPr>
      <w:r>
        <w:rPr>
          <w:rFonts w:ascii="Times New Roman" w:cs="Times New Roman" w:eastAsia="Times New Roman" w:hAnsi="Times New Roman"/>
          <w:sz w:val="22"/>
          <w:szCs w:val="22"/>
          <w:color w:val="auto"/>
        </w:rPr>
        <w:t>Company's expense policies. Consultant shall maintain adequate books and records relating to any expenses to be reimbursed. Consultant shall submit in a timely manner original receipts along with invoices and summarize expenses in a form acceptable to the Company.</w:t>
      </w:r>
    </w:p>
    <w:p>
      <w:pPr>
        <w:spacing w:after="0" w:line="168" w:lineRule="exact"/>
        <w:rPr>
          <w:sz w:val="20"/>
          <w:szCs w:val="20"/>
          <w:color w:val="auto"/>
        </w:rPr>
      </w:pPr>
    </w:p>
    <w:p>
      <w:pPr>
        <w:jc w:val="both"/>
        <w:ind w:left="900" w:hanging="509"/>
        <w:spacing w:after="0" w:line="237" w:lineRule="auto"/>
        <w:tabs>
          <w:tab w:leader="none" w:pos="8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represents that he (i) if applicable, has the approval of Consultant's employer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the Services and receive the payments detailed in this Agreement; (ii) has not been debarred, convicted, or subject to a pending debarment or conviction, pursuant to the United States Food Drug and Cosmetic Act or applicable laws and regulations; (iii) agrees to abide by all legal restrictions placed upon Consultant by applicable laws, physician codes of conduct, hospital rules or otherwise; and (iv) has no relationship with third parties, including competitors of the Company, that would present a conflict of interest with the performance of the Services.</w:t>
      </w:r>
    </w:p>
    <w:p>
      <w:pPr>
        <w:spacing w:after="0" w:line="173" w:lineRule="exact"/>
        <w:rPr>
          <w:sz w:val="20"/>
          <w:szCs w:val="20"/>
          <w:color w:val="auto"/>
        </w:rPr>
      </w:pPr>
    </w:p>
    <w:p>
      <w:pPr>
        <w:ind w:left="900" w:hanging="509"/>
        <w:spacing w:after="0" w:line="234" w:lineRule="auto"/>
        <w:tabs>
          <w:tab w:leader="none" w:pos="8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NDEPENDENCE</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7"/>
          <w:szCs w:val="17"/>
          <w:b w:val="1"/>
          <w:bCs w:val="1"/>
          <w:color w:val="auto"/>
        </w:rPr>
        <w:t>NDEPENDENT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ONTRACTOR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TATUS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is understood and agreed that (i) neither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the Services, nor his receipt of consideration under this Agreement shall require, induce, or in any way influence Consultant to promote, recommend, require the use of, or list on any formulary, any pharmaceutical product manufactured, produced or distributed by the Company, and (ii) Consultant is an independent contractor, is not an agent or employee of the Company, and is not authorized to act on behalf of the Company.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to provide services for others during the term of this Agreement and is not required to devote his services exclusively for the Company. •</w:t>
      </w:r>
    </w:p>
    <w:p>
      <w:pPr>
        <w:spacing w:after="0" w:line="180" w:lineRule="exact"/>
        <w:rPr>
          <w:sz w:val="20"/>
          <w:szCs w:val="20"/>
          <w:color w:val="auto"/>
        </w:rPr>
      </w:pPr>
    </w:p>
    <w:p>
      <w:pPr>
        <w:jc w:val="both"/>
        <w:ind w:left="900" w:hanging="509"/>
        <w:spacing w:after="0" w:line="234" w:lineRule="auto"/>
        <w:tabs>
          <w:tab w:leader="none" w:pos="8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Consultant may terminate this Agreement at any time by giving ten (10)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written notice. Company may terminate this Agreement immediately upon written notice and without prior notice if Consultant refuses to or is unable to perform the Services or is in breach of any material provision of this Agreement. In the event of such termination, Consultant shall cease work immediately after receiving such notice of termination, unless otherwise agreed to in writing with the Company. At the time of termination of this Agreement for any reason, Consultant shall return to the Company all Information, Service Product, and other materials belonging to the Company, and shall notify the Company of any compensation earned and expenses incurred up to the termination date, which compensation and expenses shall be paid by the Company within 30 days of the Company's receipt of Consultant's invoice for same.</w:t>
      </w:r>
    </w:p>
    <w:p>
      <w:pPr>
        <w:spacing w:after="0" w:line="180" w:lineRule="exact"/>
        <w:rPr>
          <w:sz w:val="20"/>
          <w:szCs w:val="20"/>
          <w:color w:val="auto"/>
        </w:rPr>
      </w:pPr>
    </w:p>
    <w:p>
      <w:pPr>
        <w:ind w:left="380" w:right="20" w:hanging="372"/>
        <w:spacing w:after="0" w:line="261" w:lineRule="auto"/>
        <w:tabs>
          <w:tab w:leader="none" w:pos="3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ONFIDENTIALITY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SSIGNMENT</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NVENTIONS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condition of this Agreement, Consultant agrees to all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Section 1, Exhibit 2 (Confidentiality) and Section 2, Exhibit 2 (Assignment of Inventions).</w:t>
      </w:r>
    </w:p>
    <w:p>
      <w:pPr>
        <w:spacing w:after="0" w:line="150" w:lineRule="exact"/>
        <w:rPr>
          <w:rFonts w:ascii="Times New Roman" w:cs="Times New Roman" w:eastAsia="Times New Roman" w:hAnsi="Times New Roman"/>
          <w:sz w:val="22"/>
          <w:szCs w:val="22"/>
          <w:color w:val="auto"/>
        </w:rPr>
      </w:pPr>
    </w:p>
    <w:p>
      <w:pPr>
        <w:ind w:left="380" w:hanging="372"/>
        <w:spacing w:after="0" w:line="261" w:lineRule="auto"/>
        <w:tabs>
          <w:tab w:leader="none" w:pos="3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URVIVING</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 (Confidentiality) and 2 (Ownership of lnventions) of Exhibit 2 of the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survive any termination of this Agreement for the period of five (5) years from the execution of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22" w:lineRule="exact"/>
        <w:rPr>
          <w:sz w:val="20"/>
          <w:szCs w:val="20"/>
          <w:color w:val="auto"/>
        </w:rPr>
      </w:pPr>
    </w:p>
    <w:p>
      <w:pPr>
        <w:jc w:val="both"/>
        <w:ind w:left="380" w:hanging="372"/>
        <w:spacing w:after="0" w:line="238" w:lineRule="auto"/>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SSIGNMENT</w:t>
      </w:r>
      <w:r>
        <w:rPr>
          <w:rFonts w:ascii="Times New Roman" w:cs="Times New Roman" w:eastAsia="Times New Roman" w:hAnsi="Times New Roman"/>
          <w:sz w:val="22"/>
          <w:szCs w:val="22"/>
          <w:b w:val="1"/>
          <w:bCs w:val="1"/>
          <w:color w:val="auto"/>
        </w:rPr>
        <w:t>; B</w:t>
      </w:r>
      <w:r>
        <w:rPr>
          <w:rFonts w:ascii="Times New Roman" w:cs="Times New Roman" w:eastAsia="Times New Roman" w:hAnsi="Times New Roman"/>
          <w:sz w:val="17"/>
          <w:szCs w:val="17"/>
          <w:b w:val="1"/>
          <w:bCs w:val="1"/>
          <w:color w:val="auto"/>
        </w:rPr>
        <w:t>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for the personal services of Consultant and may not be assigned by him, nor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be assignable by operation of law, without the prior written consent of the Company. This Agreement may not be assigned by the Company, nor shall it be assignable by operation of law, without the prior written consent of Consultant. The parties' rights and obligations under this Agreement will bind and inure to the benefit of their respective successors, heirs, executors, and administrators and permitted assigns.</w:t>
      </w:r>
    </w:p>
    <w:p>
      <w:pPr>
        <w:spacing w:after="0" w:line="174" w:lineRule="exact"/>
        <w:rPr>
          <w:rFonts w:ascii="Times New Roman" w:cs="Times New Roman" w:eastAsia="Times New Roman" w:hAnsi="Times New Roman"/>
          <w:sz w:val="22"/>
          <w:szCs w:val="22"/>
          <w:color w:val="auto"/>
        </w:rPr>
      </w:pPr>
    </w:p>
    <w:p>
      <w:pPr>
        <w:jc w:val="both"/>
        <w:ind w:left="380" w:hanging="372"/>
        <w:spacing w:after="0"/>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7"/>
          <w:szCs w:val="17"/>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AW</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7"/>
          <w:szCs w:val="17"/>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according to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Jersey without regard to its conflict of laws rules. If any provision of this Agreement is found by a court of competent jurisdiction to be unenforceable, that provision shall be severed and the remainder of this Agreement shall continue in full force and effect.</w:t>
      </w:r>
    </w:p>
    <w:p>
      <w:pPr>
        <w:spacing w:after="0" w:line="174" w:lineRule="exact"/>
        <w:rPr>
          <w:rFonts w:ascii="Times New Roman" w:cs="Times New Roman" w:eastAsia="Times New Roman" w:hAnsi="Times New Roman"/>
          <w:sz w:val="22"/>
          <w:szCs w:val="22"/>
          <w:color w:val="auto"/>
        </w:rPr>
      </w:pPr>
    </w:p>
    <w:p>
      <w:pPr>
        <w:jc w:val="both"/>
        <w:ind w:left="380" w:hanging="372"/>
        <w:spacing w:after="0"/>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OMPLETE</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NDERSTANDING</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7"/>
          <w:szCs w:val="17"/>
          <w:b w:val="1"/>
          <w:bCs w:val="1"/>
          <w:color w:val="auto"/>
        </w:rPr>
        <w:t>ODIFICATION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together with any Exhibits attached hereto, constitutes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exclusive and complete understanding and agreement of the Company and Consultant with respect to the subject matter hereof. Any waiver, modification or amendment of any provision of this Agreement shall be effective only if in writing and signed by Consultant and a Company officer.</w:t>
      </w:r>
    </w:p>
    <w:p>
      <w:pPr>
        <w:spacing w:after="0" w:line="174" w:lineRule="exact"/>
        <w:rPr>
          <w:rFonts w:ascii="Times New Roman" w:cs="Times New Roman" w:eastAsia="Times New Roman" w:hAnsi="Times New Roman"/>
          <w:sz w:val="22"/>
          <w:szCs w:val="22"/>
          <w:color w:val="auto"/>
        </w:rPr>
      </w:pPr>
    </w:p>
    <w:p>
      <w:pPr>
        <w:jc w:val="both"/>
        <w:ind w:left="380" w:hanging="372"/>
        <w:spacing w:after="0" w:line="235" w:lineRule="auto"/>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7"/>
          <w:szCs w:val="17"/>
          <w:b w:val="1"/>
          <w:bCs w:val="1"/>
          <w:color w:val="auto"/>
        </w:rPr>
        <w:t>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represents that he is experienced and qualified to perform the Services hereunder and shall use his best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to provide the Services with the highest level of skill and professionalism. Except for the foregoing, Consultant makes no warranties with regard to the Services and none shall be implied. In no event shall Consultant be liable for special or consequential damages, either in contract or tort, whether or not the possibility of such damages has been disclosed to Consultant in advance or could have been reasonably foreseen by Consultant. In the event this limitation of damages is held unenforceable, the parties agree that because of the difficulty in foreseeing possible damages, Consultant's liability to the Company shall not exceed the amount of any payments made by the Company to Consultant under this Agreement, any such liability for payment to be construed as liquidated damages and not as a penalty.</w:t>
      </w:r>
    </w:p>
    <w:p>
      <w:pPr>
        <w:spacing w:after="0" w:line="175"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required or permitted hereunder shall be given to the appropriate party at the address specified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at such other address as the party shall specify in writing. Such notice shall be deemed given upon personal delivery to the appropriate address or sent by certified or registered mail, three days after the date of mailing.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If to the Company:</w:t>
            </w:r>
          </w:p>
        </w:tc>
        <w:tc>
          <w:tcPr>
            <w:tcW w:w="804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If to the Consultant:</w:t>
            </w:r>
          </w:p>
        </w:tc>
      </w:tr>
      <w:tr>
        <w:trPr>
          <w:trHeight w:val="446"/>
        </w:trPr>
        <w:tc>
          <w:tcPr>
            <w:tcW w:w="32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PMV Pharmaceuticals, Inc.</w:t>
            </w:r>
          </w:p>
        </w:tc>
        <w:tc>
          <w:tcPr>
            <w:tcW w:w="804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Charles Baum, M.D., Ph.D</w:t>
            </w:r>
          </w:p>
        </w:tc>
      </w:tr>
      <w:tr>
        <w:trPr>
          <w:trHeight w:val="256"/>
        </w:trPr>
        <w:tc>
          <w:tcPr>
            <w:tcW w:w="32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One Research Way</w:t>
            </w:r>
          </w:p>
        </w:tc>
        <w:tc>
          <w:tcPr>
            <w:tcW w:w="804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6960 The Preserve Way</w:t>
            </w:r>
          </w:p>
        </w:tc>
      </w:tr>
      <w:tr>
        <w:trPr>
          <w:trHeight w:val="282"/>
        </w:trPr>
        <w:tc>
          <w:tcPr>
            <w:tcW w:w="32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Princeton, NJ 08540</w:t>
            </w:r>
          </w:p>
        </w:tc>
        <w:tc>
          <w:tcPr>
            <w:tcW w:w="804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San Diego, CA 92130</w:t>
            </w:r>
          </w:p>
        </w:tc>
      </w:tr>
      <w:tr>
        <w:trPr>
          <w:trHeight w:val="512"/>
        </w:trPr>
        <w:tc>
          <w:tcPr>
            <w:tcW w:w="3200" w:type="dxa"/>
            <w:vAlign w:val="bottom"/>
          </w:tcPr>
          <w:p>
            <w:pPr>
              <w:spacing w:after="0"/>
              <w:rPr>
                <w:sz w:val="24"/>
                <w:szCs w:val="24"/>
                <w:color w:val="auto"/>
              </w:rPr>
            </w:pPr>
          </w:p>
        </w:tc>
        <w:tc>
          <w:tcPr>
            <w:tcW w:w="80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tc>
      </w:tr>
      <w:tr>
        <w:trPr>
          <w:trHeight w:val="485"/>
        </w:trPr>
        <w:tc>
          <w:tcPr>
            <w:tcW w:w="3200" w:type="dxa"/>
            <w:vAlign w:val="bottom"/>
          </w:tcPr>
          <w:p>
            <w:pPr>
              <w:spacing w:after="0"/>
              <w:rPr>
                <w:sz w:val="24"/>
                <w:szCs w:val="24"/>
                <w:color w:val="auto"/>
              </w:rPr>
            </w:pPr>
          </w:p>
        </w:tc>
        <w:tc>
          <w:tcPr>
            <w:tcW w:w="8040" w:type="dxa"/>
            <w:vAlign w:val="bottom"/>
          </w:tcPr>
          <w:p>
            <w:pPr>
              <w:ind w:left="2380"/>
              <w:spacing w:after="0"/>
              <w:rPr>
                <w:sz w:val="20"/>
                <w:szCs w:val="20"/>
                <w:color w:val="auto"/>
              </w:rPr>
            </w:pPr>
            <w:r>
              <w:rPr>
                <w:rFonts w:ascii="Times New Roman" w:cs="Times New Roman" w:eastAsia="Times New Roman" w:hAnsi="Times New Roman"/>
                <w:sz w:val="22"/>
                <w:szCs w:val="22"/>
                <w:color w:val="auto"/>
              </w:rPr>
              <w:t>3</w:t>
            </w:r>
          </w:p>
        </w:tc>
      </w:tr>
      <w:tr>
        <w:trPr>
          <w:trHeight w:val="750"/>
        </w:trPr>
        <w:tc>
          <w:tcPr>
            <w:tcW w:w="320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have executed this Agreement as of the Effective Date.</w:t>
      </w:r>
    </w:p>
    <w:p>
      <w:pPr>
        <w:sectPr>
          <w:pgSz w:w="11900" w:h="16838" w:orient="portrait"/>
          <w:cols w:equalWidth="0" w:num="1">
            <w:col w:w="10119"/>
          </w:cols>
          <w:pgMar w:left="340" w:top="1440" w:right="1440" w:bottom="1440" w:gutter="0" w:footer="0" w:header="0"/>
        </w:sect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PMV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5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David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11430</wp:posOffset>
            </wp:positionV>
            <wp:extent cx="33394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333946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Mack, President &amp; CEO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&amp;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37674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3767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ha</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les</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aum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22"/>
          <w:szCs w:val="22"/>
          <w:b w:val="1"/>
          <w:bCs w:val="1"/>
          <w:color w:val="auto"/>
        </w:rPr>
        <w:t>., P</w:t>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22"/>
          <w:szCs w:val="22"/>
          <w:b w:val="1"/>
          <w:bCs w:val="1"/>
          <w:color w:val="auto"/>
        </w:rPr>
        <w:t>.D.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Charles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31337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Consultant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3133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3819"/>
          </w:cols>
          <w:pgMar w:left="340" w:top="1440" w:right="1440" w:bottom="1440" w:gutter="0" w:footer="0" w:header="0"/>
          <w:type w:val="continuous"/>
        </w:sectPr>
      </w:pPr>
    </w:p>
    <w:p>
      <w:pPr>
        <w:spacing w:after="0" w:line="356" w:lineRule="exact"/>
        <w:rPr>
          <w:sz w:val="20"/>
          <w:szCs w:val="20"/>
          <w:color w:val="auto"/>
        </w:rPr>
      </w:pPr>
    </w:p>
    <w:p>
      <w:pPr>
        <w:spacing w:after="0"/>
        <w:tabs>
          <w:tab w:leader="none" w:pos="660" w:val="left"/>
          <w:tab w:leader="none" w:pos="6280" w:val="left"/>
          <w:tab w:leader="none" w:pos="7020" w:val="left"/>
        </w:tabs>
        <w:rPr>
          <w:sz w:val="20"/>
          <w:szCs w:val="20"/>
          <w:color w:val="auto"/>
        </w:rPr>
      </w:pPr>
      <w:r>
        <w:rPr>
          <w:rFonts w:ascii="Times New Roman" w:cs="Times New Roman" w:eastAsia="Times New Roman" w:hAnsi="Times New Roman"/>
          <w:sz w:val="22"/>
          <w:szCs w:val="22"/>
          <w:color w:val="auto"/>
        </w:rPr>
        <w:t>Date:</w:t>
        <w:tab/>
        <w:t>13-Feb-2024</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0"/>
          <w:szCs w:val="20"/>
          <w:color w:val="auto"/>
        </w:rPr>
        <w:t>Feb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19685</wp:posOffset>
            </wp:positionV>
            <wp:extent cx="670433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670433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155" w:name="page156"/>
    <w:bookmarkEnd w:id="155"/>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Exhibit 1</w:t>
      </w:r>
    </w:p>
    <w:p>
      <w:pPr>
        <w:spacing w:after="0" w:line="233" w:lineRule="exact"/>
        <w:rPr>
          <w:sz w:val="20"/>
          <w:szCs w:val="20"/>
          <w:color w:val="auto"/>
        </w:rPr>
      </w:pPr>
    </w:p>
    <w:p>
      <w:pPr>
        <w:ind w:left="380" w:hanging="372"/>
        <w:spacing w:after="0" w:line="261" w:lineRule="auto"/>
        <w:tabs>
          <w:tab w:leader="none" w:pos="3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Company with senior clinical advisory services, and as to such other matters as may be mutually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by the Company and Consultant.</w:t>
      </w:r>
    </w:p>
    <w:p>
      <w:pPr>
        <w:spacing w:after="0" w:line="15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OMPENSATION:</w:t>
      </w:r>
    </w:p>
    <w:p>
      <w:pPr>
        <w:spacing w:after="0" w:line="226" w:lineRule="exact"/>
        <w:rPr>
          <w:rFonts w:ascii="Times New Roman" w:cs="Times New Roman" w:eastAsia="Times New Roman" w:hAnsi="Times New Roman"/>
          <w:sz w:val="22"/>
          <w:szCs w:val="22"/>
          <w:color w:val="auto"/>
        </w:rPr>
      </w:pPr>
    </w:p>
    <w:p>
      <w:pPr>
        <w:ind w:left="900" w:hanging="510"/>
        <w:spacing w:after="0" w:line="22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Consultant will be paid annual compensation of $100,000, payable in monthly installments,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each calendar month.</w:t>
      </w:r>
    </w:p>
    <w:p>
      <w:pPr>
        <w:spacing w:after="0" w:line="172" w:lineRule="exact"/>
        <w:rPr>
          <w:rFonts w:ascii="Times New Roman" w:cs="Times New Roman" w:eastAsia="Times New Roman" w:hAnsi="Times New Roman"/>
          <w:sz w:val="22"/>
          <w:szCs w:val="22"/>
          <w:color w:val="auto"/>
        </w:rPr>
      </w:pPr>
    </w:p>
    <w:p>
      <w:pPr>
        <w:jc w:val="both"/>
        <w:ind w:left="380" w:hanging="372"/>
        <w:spacing w:after="0"/>
        <w:tabs>
          <w:tab w:leader="none" w:pos="3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shall be reimbursed for reasonable expenses incurred in performance of Consultants'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these expenses shall be invoiced on a monthly basis and are approved by the Company. Domestic air travel, if approved by the Company, shall be reimbursed at business or comparable rate; international air travel, if approved by the Company, shall be reimbursed at business or comparable rate.</w:t>
      </w:r>
    </w:p>
    <w:p>
      <w:pPr>
        <w:spacing w:after="0" w:line="174" w:lineRule="exact"/>
        <w:rPr>
          <w:rFonts w:ascii="Times New Roman" w:cs="Times New Roman" w:eastAsia="Times New Roman" w:hAnsi="Times New Roman"/>
          <w:sz w:val="22"/>
          <w:szCs w:val="22"/>
          <w:color w:val="auto"/>
        </w:rPr>
      </w:pPr>
    </w:p>
    <w:p>
      <w:pPr>
        <w:jc w:val="both"/>
        <w:ind w:left="380" w:hanging="372"/>
        <w:spacing w:after="0" w:line="246" w:lineRule="auto"/>
        <w:tabs>
          <w:tab w:leader="none" w:pos="3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IME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OMMITMENT: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shall provide consulting services to the Company at Company's reasonable request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of the agreement of approximately up to 8-10 hours per month, and as mutually agreed between Consultant and Company.</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ONTACT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David Mack, Ph.D., Company's President &amp; CEO</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Exhibit 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Confidentiality and Assignment of Invention</w:t>
      </w:r>
    </w:p>
    <w:p>
      <w:pPr>
        <w:spacing w:after="0" w:line="205" w:lineRule="exact"/>
        <w:rPr>
          <w:sz w:val="20"/>
          <w:szCs w:val="20"/>
          <w:color w:val="auto"/>
        </w:rPr>
      </w:pPr>
    </w:p>
    <w:p>
      <w:pPr>
        <w:ind w:left="380" w:hanging="372"/>
        <w:spacing w:after="0"/>
        <w:tabs>
          <w:tab w:leader="none" w:pos="3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Information.</w:t>
      </w:r>
    </w:p>
    <w:p>
      <w:pPr>
        <w:spacing w:after="0" w:line="209" w:lineRule="exact"/>
        <w:rPr>
          <w:rFonts w:ascii="Times New Roman" w:cs="Times New Roman" w:eastAsia="Times New Roman" w:hAnsi="Times New Roman"/>
          <w:sz w:val="22"/>
          <w:szCs w:val="22"/>
          <w:color w:val="auto"/>
        </w:rPr>
      </w:pPr>
    </w:p>
    <w:p>
      <w:pPr>
        <w:ind w:left="900" w:hanging="51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1.1. Subject to the limitations set forth in Paragraph 1.2, all information disclosed by Company to Consultant or generated by Consultant in the course of performing the Services shall be "Confidential Information." In particular, Confidential Information shall include, but not be limited to, information relating to any compound, chemical, peptide, protein, complex, conjugate, assay, biological material, virus, extract, media, vector, gene sequence, cell, cell component, cell line, formulation or sample; any procedure, discovery, invention, formula, data, result, process, idea or technique; any trade secret, trade dress, copyright, patent or other intellectual property right, or any registration or application therefore, or materials relating thereto; and any information relating to any of the foregoing or to any research, development (including pre-clinical and clinical development), manufacturing, engineering, marketing, servicing, sales, financing, legal or other business activities or to any present or future products, prices, plans, forecasts, suppliers, clients, customers, employees, consultants or investors; whether in oral, written, graphic or electronic form.</w:t>
      </w:r>
    </w:p>
    <w:p>
      <w:pPr>
        <w:spacing w:after="0" w:line="161" w:lineRule="exact"/>
        <w:rPr>
          <w:rFonts w:ascii="Times New Roman" w:cs="Times New Roman" w:eastAsia="Times New Roman" w:hAnsi="Times New Roman"/>
          <w:sz w:val="22"/>
          <w:szCs w:val="22"/>
          <w:color w:val="auto"/>
        </w:rPr>
      </w:pPr>
    </w:p>
    <w:p>
      <w:pPr>
        <w:ind w:left="900" w:hanging="51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The term "Confidential Information" shall not include information which Consultant can demonstrate by competent written proof: (a) is now, or hereafter becomes, through no act or failure to act on the part of Consultant, generally known or available in the public domain; (b) is known by Consultant at the time of receiving such information as evidenced by his/her records or other reasonable proof; or (c) is hereafter furnished to Consultant by a third party, as a matter of right and without restriction on disclosure.</w:t>
      </w:r>
    </w:p>
    <w:p>
      <w:pPr>
        <w:spacing w:after="0" w:line="180" w:lineRule="exact"/>
        <w:rPr>
          <w:rFonts w:ascii="Times New Roman" w:cs="Times New Roman" w:eastAsia="Times New Roman" w:hAnsi="Times New Roman"/>
          <w:sz w:val="22"/>
          <w:szCs w:val="22"/>
          <w:color w:val="auto"/>
        </w:rPr>
      </w:pPr>
    </w:p>
    <w:p>
      <w:pPr>
        <w:ind w:left="900" w:hanging="51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Consultant shall maintain all Confidential Information received from Company in trust and confidence and shall not disclose without the prior written permission of the Company any such Confidential Information to any third party or use any such Confidential Information for any unauthorized purpose. In particular and without limitation, Consultant shall not use any Confidential Information to support any patent application or related filing. Consultant may use such Confidential Information only to the extent required to perform the Services. Consultant shall not use Confidential Information for any purpose or in any manner, which would constitute a violation of any laws or regulations, including without limitation the export control laws of the United States. Nothing in this Agreement shall be construed to grant Consultant any rights or licenses (a) under Company's trade secrets, trademarks, inventions, copyrights, patents or other intellectual property rights, or (b) to retain, distribute or commercialize any Confidential Information belonging to Company, in either case, except as necessary to perform the Services.</w:t>
      </w:r>
    </w:p>
    <w:p>
      <w:pPr>
        <w:spacing w:after="0" w:line="172" w:lineRule="exact"/>
        <w:rPr>
          <w:rFonts w:ascii="Times New Roman" w:cs="Times New Roman" w:eastAsia="Times New Roman" w:hAnsi="Times New Roman"/>
          <w:sz w:val="22"/>
          <w:szCs w:val="22"/>
          <w:color w:val="auto"/>
        </w:rPr>
      </w:pPr>
    </w:p>
    <w:p>
      <w:pPr>
        <w:ind w:left="900" w:hanging="51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color w:val="auto"/>
        </w:rPr>
        <w:t>Other Employer Information.</w:t>
      </w:r>
      <w:r>
        <w:rPr>
          <w:rFonts w:ascii="Times New Roman" w:cs="Times New Roman" w:eastAsia="Times New Roman" w:hAnsi="Times New Roman"/>
          <w:sz w:val="22"/>
          <w:szCs w:val="22"/>
          <w:color w:val="auto"/>
        </w:rPr>
        <w:t xml:space="preserve"> Consultant agrees that he will not, during his engagement with the Company, improperly use or disclose any proprietary information or trade secrets of his former or concurrent employers, companies or clients, if any,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p>
    <w:p>
      <w:pPr>
        <w:spacing w:after="0" w:line="226" w:lineRule="exact"/>
        <w:rPr>
          <w:sz w:val="20"/>
          <w:szCs w:val="20"/>
          <w:color w:val="auto"/>
        </w:rPr>
      </w:pPr>
    </w:p>
    <w:p>
      <w:pPr>
        <w:jc w:val="both"/>
        <w:ind w:left="900" w:right="20"/>
        <w:spacing w:after="0" w:line="244" w:lineRule="auto"/>
        <w:rPr>
          <w:sz w:val="20"/>
          <w:szCs w:val="20"/>
          <w:color w:val="auto"/>
        </w:rPr>
      </w:pPr>
      <w:r>
        <w:rPr>
          <w:rFonts w:ascii="Times New Roman" w:cs="Times New Roman" w:eastAsia="Times New Roman" w:hAnsi="Times New Roman"/>
          <w:sz w:val="22"/>
          <w:szCs w:val="22"/>
          <w:color w:val="auto"/>
        </w:rPr>
        <w:t>that he will not bring onto the premises of the Company any unpublished documents or any property belonging to his former or concurrent employers, companies or clients unless consented to in writing by said employers, companies or clients.</w:t>
      </w:r>
    </w:p>
    <w:p>
      <w:pPr>
        <w:spacing w:after="0" w:line="168" w:lineRule="exact"/>
        <w:rPr>
          <w:sz w:val="20"/>
          <w:szCs w:val="20"/>
          <w:color w:val="auto"/>
        </w:rPr>
      </w:pPr>
    </w:p>
    <w:p>
      <w:pPr>
        <w:jc w:val="both"/>
        <w:ind w:left="900" w:hanging="509"/>
        <w:spacing w:after="0" w:line="235" w:lineRule="auto"/>
        <w:tabs>
          <w:tab w:leader="none" w:pos="8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b w:val="1"/>
          <w:bCs w:val="1"/>
          <w:color w:val="auto"/>
        </w:rPr>
        <w:t xml:space="preserve">Third Party Information. </w:t>
      </w:r>
      <w:r>
        <w:rPr>
          <w:rFonts w:ascii="Times New Roman" w:cs="Times New Roman" w:eastAsia="Times New Roman" w:hAnsi="Times New Roman"/>
          <w:sz w:val="22"/>
          <w:szCs w:val="22"/>
          <w:color w:val="auto"/>
        </w:rPr>
        <w:t>Consultant recognizes that the Company has received and in the future will receive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parties their confidential or proprietary information subject to a duty on the Company's part to maintain the confidentiality of such information and, in some cases, to use it only for certain limited purposes. Consultant agrees that he owes the Company and such third parties, both during the term of his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76"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of Inventions.</w:t>
      </w:r>
    </w:p>
    <w:p>
      <w:pPr>
        <w:spacing w:after="0" w:line="205" w:lineRule="exact"/>
        <w:rPr>
          <w:rFonts w:ascii="Times New Roman" w:cs="Times New Roman" w:eastAsia="Times New Roman" w:hAnsi="Times New Roman"/>
          <w:sz w:val="22"/>
          <w:szCs w:val="22"/>
          <w:color w:val="auto"/>
        </w:rPr>
      </w:pPr>
    </w:p>
    <w:p>
      <w:pPr>
        <w:ind w:left="900" w:hanging="51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Disclosure of Inventions.</w:t>
      </w:r>
      <w:r>
        <w:rPr>
          <w:rFonts w:ascii="Times New Roman" w:cs="Times New Roman" w:eastAsia="Times New Roman" w:hAnsi="Times New Roman"/>
          <w:sz w:val="22"/>
          <w:szCs w:val="22"/>
          <w:color w:val="auto"/>
        </w:rPr>
        <w:t xml:space="preserve"> Consultant shall promptly and fully disclose to the Company any and all ideas, improvements, inventions, know-how, techniques and works of authorship developed by Consultant during his performance of the Services for the Company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173" w:lineRule="exact"/>
        <w:rPr>
          <w:rFonts w:ascii="Times New Roman" w:cs="Times New Roman" w:eastAsia="Times New Roman" w:hAnsi="Times New Roman"/>
          <w:sz w:val="22"/>
          <w:szCs w:val="22"/>
          <w:color w:val="auto"/>
        </w:rPr>
      </w:pPr>
    </w:p>
    <w:p>
      <w:pPr>
        <w:ind w:left="900" w:hanging="51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Inventions Assigned to the Company.</w:t>
      </w:r>
      <w:r>
        <w:rPr>
          <w:rFonts w:ascii="Times New Roman" w:cs="Times New Roman" w:eastAsia="Times New Roman" w:hAnsi="Times New Roman"/>
          <w:sz w:val="22"/>
          <w:szCs w:val="22"/>
          <w:color w:val="auto"/>
        </w:rPr>
        <w:t xml:space="preserve"> Consultant agrees that any and all Service Product shall be the sole and exclusive property of the Company. Consultant hereby assigns to the Company all his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w:t>
      </w:r>
    </w:p>
    <w:p>
      <w:pPr>
        <w:spacing w:after="0" w:line="179" w:lineRule="exact"/>
        <w:rPr>
          <w:sz w:val="20"/>
          <w:szCs w:val="20"/>
          <w:color w:val="auto"/>
        </w:rPr>
      </w:pPr>
    </w:p>
    <w:p>
      <w:pPr>
        <w:ind w:left="1020"/>
        <w:spacing w:after="0" w:line="258" w:lineRule="auto"/>
        <w:rPr>
          <w:sz w:val="20"/>
          <w:szCs w:val="20"/>
          <w:color w:val="auto"/>
        </w:rPr>
      </w:pPr>
      <w:r>
        <w:rPr>
          <w:rFonts w:ascii="Times New Roman" w:cs="Times New Roman" w:eastAsia="Times New Roman" w:hAnsi="Times New Roman"/>
          <w:sz w:val="22"/>
          <w:szCs w:val="22"/>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153" w:lineRule="exact"/>
        <w:rPr>
          <w:sz w:val="20"/>
          <w:szCs w:val="20"/>
          <w:color w:val="auto"/>
        </w:rPr>
      </w:pPr>
    </w:p>
    <w:p>
      <w:pPr>
        <w:jc w:val="both"/>
        <w:ind w:left="900" w:hanging="509"/>
        <w:spacing w:after="0" w:line="236" w:lineRule="auto"/>
        <w:tabs>
          <w:tab w:leader="none" w:pos="8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b w:val="1"/>
          <w:bCs w:val="1"/>
          <w:color w:val="auto"/>
        </w:rPr>
        <w:t xml:space="preserve">Obtaining Intellectual Property Protection. </w:t>
      </w:r>
      <w:r>
        <w:rPr>
          <w:rFonts w:ascii="Times New Roman" w:cs="Times New Roman" w:eastAsia="Times New Roman" w:hAnsi="Times New Roman"/>
          <w:sz w:val="22"/>
          <w:szCs w:val="22"/>
          <w:color w:val="auto"/>
        </w:rPr>
        <w:t>Consultant agrees to assist the Company in every proper way to obtain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 United States and foreign proprietary rights relating to the Service Product in any and all countries. To that end, Consultant agrees to execute, verify and deliver such documents and perform such other acts (including appearing as a witness) as the Company may reasonably request for use in applying for, obtaining, perfecting, evidencing, sustaining and enforcing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p>
    <w:p>
      <w:pPr>
        <w:spacing w:after="0" w:line="226"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countries shall continue beyond the termination of his engagement, but the Company shall compensate Consultant at a reasonable rate after such termination for the time actually spent by Consultant at the Company's request on such assistance.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his agent and attorney in fact, to act for and in his behalf to execute, verify and file, with the same legal force and effect as if executed by him,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pacing w:after="0" w:line="2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477520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59" w:name="page160"/>
    <w:bookmarkEnd w:id="159"/>
    <w:p>
      <w:pPr>
        <w:jc w:val="right"/>
        <w:spacing w:after="0"/>
        <w:rPr>
          <w:sz w:val="20"/>
          <w:szCs w:val="20"/>
          <w:color w:val="auto"/>
        </w:rPr>
      </w:pPr>
      <w:r>
        <w:rPr>
          <w:rFonts w:ascii="Calibri" w:cs="Calibri" w:eastAsia="Calibri" w:hAnsi="Calibri"/>
          <w:sz w:val="18"/>
          <w:szCs w:val="18"/>
          <w:b w:val="1"/>
          <w:bCs w:val="1"/>
          <w:color w:val="auto"/>
        </w:rPr>
        <w:t>Exhibit 10.24</w:t>
      </w:r>
    </w:p>
    <w:p>
      <w:pPr>
        <w:spacing w:after="0" w:line="212"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Change in Control and Severance Policy (the "Policy")</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Amended and Restated Partcipaton Agreement</w:t>
      </w:r>
    </w:p>
    <w:p>
      <w:pPr>
        <w:spacing w:after="0" w:line="217"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 xml:space="preserve">This Amended and Restated Partcipaton Agreement </w:t>
      </w:r>
      <w:r>
        <w:rPr>
          <w:rFonts w:ascii="Calibri" w:cs="Calibri" w:eastAsia="Calibri" w:hAnsi="Calibri"/>
          <w:sz w:val="18"/>
          <w:szCs w:val="18"/>
          <w:b w:val="1"/>
          <w:bCs w:val="1"/>
          <w:color w:val="auto"/>
        </w:rPr>
        <w:t>("Agreement")</w:t>
      </w:r>
      <w:r>
        <w:rPr>
          <w:rFonts w:ascii="Calibri" w:cs="Calibri" w:eastAsia="Calibri" w:hAnsi="Calibri"/>
          <w:sz w:val="18"/>
          <w:szCs w:val="18"/>
          <w:color w:val="auto"/>
        </w:rPr>
        <w:t xml:space="preserve"> is made and entered into by and between Michael Carulli, on the one hand, and PMV Pharmaceutcals, Inc.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xml:space="preserve"> on the other.</w:t>
      </w:r>
    </w:p>
    <w:p>
      <w:pPr>
        <w:spacing w:after="0" w:line="217"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In connecton with your appointment as a Company ofcer, you are enttled to receive certain severance benefts upon a Qualifed Terminaton, subject to the terms and conditons of the Policy, as set forth herein.</w:t>
      </w:r>
    </w:p>
    <w:p>
      <w:pPr>
        <w:spacing w:after="0" w:line="217" w:lineRule="exact"/>
        <w:rPr>
          <w:sz w:val="20"/>
          <w:szCs w:val="20"/>
          <w:color w:val="auto"/>
        </w:rPr>
      </w:pPr>
    </w:p>
    <w:p>
      <w:pPr>
        <w:ind w:right="120" w:firstLine="749"/>
        <w:spacing w:after="0" w:line="235" w:lineRule="auto"/>
        <w:rPr>
          <w:sz w:val="20"/>
          <w:szCs w:val="20"/>
          <w:color w:val="auto"/>
        </w:rPr>
      </w:pPr>
      <w:r>
        <w:rPr>
          <w:rFonts w:ascii="Calibri" w:cs="Calibri" w:eastAsia="Calibri" w:hAnsi="Calibri"/>
          <w:sz w:val="18"/>
          <w:szCs w:val="18"/>
          <w:b w:val="1"/>
          <w:bCs w:val="1"/>
          <w:i w:val="1"/>
          <w:iCs w:val="1"/>
          <w:color w:val="auto"/>
        </w:rPr>
        <w:t xml:space="preserve">CIC Qualifed Terminaton. </w:t>
      </w:r>
      <w:r>
        <w:rPr>
          <w:rFonts w:ascii="Calibri" w:cs="Calibri" w:eastAsia="Calibri" w:hAnsi="Calibri"/>
          <w:sz w:val="18"/>
          <w:szCs w:val="18"/>
          <w:color w:val="auto"/>
        </w:rPr>
        <w:t>Upon your CIC Qualifed Terminaton, you will be enttled to the following benefts, subject to the terms and conditons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 the Policy:</w:t>
      </w:r>
    </w:p>
    <w:p>
      <w:pPr>
        <w:spacing w:after="0" w:line="123" w:lineRule="exact"/>
        <w:rPr>
          <w:sz w:val="20"/>
          <w:szCs w:val="20"/>
          <w:color w:val="auto"/>
        </w:rPr>
      </w:pPr>
    </w:p>
    <w:p>
      <w:pPr>
        <w:ind w:left="1260" w:right="100" w:hanging="503"/>
        <w:spacing w:after="0" w:line="235" w:lineRule="auto"/>
        <w:tabs>
          <w:tab w:leader="none" w:pos="1260" w:val="left"/>
        </w:tabs>
        <w:numPr>
          <w:ilvl w:val="0"/>
          <w:numId w:val="92"/>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Equity Vestng: </w:t>
      </w:r>
      <w:r>
        <w:rPr>
          <w:rFonts w:ascii="Calibri" w:cs="Calibri" w:eastAsia="Calibri" w:hAnsi="Calibri"/>
          <w:sz w:val="18"/>
          <w:szCs w:val="18"/>
          <w:color w:val="auto"/>
        </w:rPr>
        <w:t>100% of the then-unvested shares subject to each of your then-outstanding equity awards will immediately vest and, in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case of optons and stock appreciaton rights, will become exercisable (for avoidance of doubt, no more than 100% of the shares subject to the outstanding porton of an equity award may vest and become exercisable under this provision). In the case of equity awards with performance-based vestng, unless otherwise determined by the Company and set forth in your equity award agreement, all performance goals and other vestng criteria will be deemed achieved at 100% of target levels.</w:t>
      </w:r>
    </w:p>
    <w:p>
      <w:pPr>
        <w:spacing w:after="0" w:line="11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92"/>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Salary Severance: </w:t>
      </w:r>
      <w:r>
        <w:rPr>
          <w:rFonts w:ascii="Calibri" w:cs="Calibri" w:eastAsia="Calibri" w:hAnsi="Calibri"/>
          <w:sz w:val="18"/>
          <w:szCs w:val="18"/>
          <w:i w:val="1"/>
          <w:iCs w:val="1"/>
          <w:color w:val="auto"/>
        </w:rPr>
        <w:t>12</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months of your Base Salary, payable in a lump sum on the 61st dayfollowing your CIC Qualifed Terminaton.</w:t>
      </w:r>
    </w:p>
    <w:p>
      <w:pPr>
        <w:spacing w:after="0" w:line="122" w:lineRule="exact"/>
        <w:rPr>
          <w:rFonts w:ascii="Times New Roman" w:cs="Times New Roman" w:eastAsia="Times New Roman" w:hAnsi="Times New Roman"/>
          <w:sz w:val="18"/>
          <w:szCs w:val="18"/>
          <w:color w:val="auto"/>
        </w:rPr>
      </w:pPr>
    </w:p>
    <w:p>
      <w:pPr>
        <w:ind w:left="1260" w:right="260" w:hanging="503"/>
        <w:spacing w:after="0" w:line="235" w:lineRule="auto"/>
        <w:tabs>
          <w:tab w:leader="none" w:pos="1260" w:val="left"/>
        </w:tabs>
        <w:numPr>
          <w:ilvl w:val="0"/>
          <w:numId w:val="92"/>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Bonus Severance: </w:t>
      </w:r>
      <w:r>
        <w:rPr>
          <w:rFonts w:ascii="Calibri" w:cs="Calibri" w:eastAsia="Calibri" w:hAnsi="Calibri"/>
          <w:sz w:val="18"/>
          <w:szCs w:val="18"/>
          <w:color w:val="auto"/>
        </w:rPr>
        <w:t>100% of your target bonus for the performance year in which your CIC Qualifed Terminaton occurs, payable in a lump</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sum on the 61st day following your CIC Qualifed Terminaton.</w:t>
      </w:r>
    </w:p>
    <w:p>
      <w:pPr>
        <w:spacing w:after="0" w:line="122" w:lineRule="exact"/>
        <w:rPr>
          <w:rFonts w:ascii="Times New Roman" w:cs="Times New Roman" w:eastAsia="Times New Roman" w:hAnsi="Times New Roman"/>
          <w:sz w:val="18"/>
          <w:szCs w:val="18"/>
          <w:color w:val="auto"/>
        </w:rPr>
      </w:pPr>
    </w:p>
    <w:p>
      <w:pPr>
        <w:ind w:left="1260" w:right="160" w:hanging="503"/>
        <w:spacing w:after="0" w:line="235" w:lineRule="auto"/>
        <w:tabs>
          <w:tab w:leader="none" w:pos="1260" w:val="left"/>
        </w:tabs>
        <w:numPr>
          <w:ilvl w:val="0"/>
          <w:numId w:val="92"/>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COBRA Coverage: </w:t>
      </w:r>
      <w:r>
        <w:rPr>
          <w:rFonts w:ascii="Calibri" w:cs="Calibri" w:eastAsia="Calibri" w:hAnsi="Calibri"/>
          <w:sz w:val="18"/>
          <w:szCs w:val="18"/>
          <w:color w:val="auto"/>
        </w:rPr>
        <w:t>Payment or reimbursement of the COBRA Coverage or COBRA Beneft, as applicable, for up to 12 months following your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CIC Qualifed Terminaton.</w:t>
      </w:r>
    </w:p>
    <w:p>
      <w:pPr>
        <w:spacing w:after="0" w:line="217" w:lineRule="exact"/>
        <w:rPr>
          <w:sz w:val="20"/>
          <w:szCs w:val="20"/>
          <w:color w:val="auto"/>
        </w:rPr>
      </w:pPr>
    </w:p>
    <w:p>
      <w:pPr>
        <w:ind w:right="180" w:firstLine="749"/>
        <w:spacing w:after="0" w:line="235" w:lineRule="auto"/>
        <w:rPr>
          <w:sz w:val="20"/>
          <w:szCs w:val="20"/>
          <w:color w:val="auto"/>
        </w:rPr>
      </w:pPr>
      <w:r>
        <w:rPr>
          <w:rFonts w:ascii="Calibri" w:cs="Calibri" w:eastAsia="Calibri" w:hAnsi="Calibri"/>
          <w:sz w:val="18"/>
          <w:szCs w:val="18"/>
          <w:b w:val="1"/>
          <w:bCs w:val="1"/>
          <w:i w:val="1"/>
          <w:iCs w:val="1"/>
          <w:color w:val="auto"/>
        </w:rPr>
        <w:t xml:space="preserve">Non-CIC Qualifed Terminaton. </w:t>
      </w:r>
      <w:r>
        <w:rPr>
          <w:rFonts w:ascii="Calibri" w:cs="Calibri" w:eastAsia="Calibri" w:hAnsi="Calibri"/>
          <w:sz w:val="18"/>
          <w:szCs w:val="18"/>
          <w:color w:val="auto"/>
        </w:rPr>
        <w:t>Upon your Non-CIC Qualifed Terminaton, you will be enttled to the following benefts, subject to the terms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conditons of the Policy:</w:t>
      </w:r>
    </w:p>
    <w:p>
      <w:pPr>
        <w:spacing w:after="0" w:line="123" w:lineRule="exact"/>
        <w:rPr>
          <w:sz w:val="20"/>
          <w:szCs w:val="20"/>
          <w:color w:val="auto"/>
        </w:rPr>
      </w:pPr>
    </w:p>
    <w:p>
      <w:pPr>
        <w:ind w:left="1260" w:right="260" w:hanging="503"/>
        <w:spacing w:after="0" w:line="235" w:lineRule="auto"/>
        <w:tabs>
          <w:tab w:leader="none" w:pos="1260" w:val="left"/>
        </w:tabs>
        <w:numPr>
          <w:ilvl w:val="0"/>
          <w:numId w:val="9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Equity Vestng: </w:t>
      </w:r>
      <w:r>
        <w:rPr>
          <w:rFonts w:ascii="Calibri" w:cs="Calibri" w:eastAsia="Calibri" w:hAnsi="Calibri"/>
          <w:sz w:val="18"/>
          <w:szCs w:val="18"/>
          <w:color w:val="auto"/>
        </w:rPr>
        <w:t>A number of then-unvested shares subject to each of your then-outstanding equity awards (excluding equity awards with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performance-based vestng and excluding any equity awards granted on or afer the IPO Date) equal to the number of such shares otherwise scheduled to vest during the 6-month period following the date of your Non-CIC Qualifed Terminaton had you remained employed with the Company (or any of its subsidiaries) through such date will immediately vest and, in the case of optons and stock appreciaton rights, will become exercisable.</w:t>
      </w:r>
    </w:p>
    <w:p>
      <w:pPr>
        <w:spacing w:after="0" w:line="11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9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Salary Severance : </w:t>
      </w:r>
      <w:r>
        <w:rPr>
          <w:rFonts w:ascii="Calibri" w:cs="Calibri" w:eastAsia="Calibri" w:hAnsi="Calibri"/>
          <w:sz w:val="18"/>
          <w:szCs w:val="18"/>
          <w:color w:val="auto"/>
        </w:rPr>
        <w:t>9 months of your Base Salary, payable in a lump sum on the 61st day following your Non-CIC Qualifed Terminaton.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9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Bonus Severance: </w:t>
      </w:r>
      <w:r>
        <w:rPr>
          <w:rFonts w:ascii="Calibri" w:cs="Calibri" w:eastAsia="Calibri" w:hAnsi="Calibri"/>
          <w:sz w:val="18"/>
          <w:szCs w:val="18"/>
          <w:color w:val="auto"/>
        </w:rPr>
        <w:t>None.</w:t>
      </w:r>
    </w:p>
    <w:p>
      <w:pPr>
        <w:spacing w:after="0" w:line="122" w:lineRule="exact"/>
        <w:rPr>
          <w:rFonts w:ascii="Times New Roman" w:cs="Times New Roman" w:eastAsia="Times New Roman" w:hAnsi="Times New Roman"/>
          <w:sz w:val="18"/>
          <w:szCs w:val="18"/>
          <w:color w:val="auto"/>
        </w:rPr>
      </w:pPr>
    </w:p>
    <w:p>
      <w:pPr>
        <w:ind w:left="1260" w:right="260" w:hanging="503"/>
        <w:spacing w:after="0" w:line="235" w:lineRule="auto"/>
        <w:tabs>
          <w:tab w:leader="none" w:pos="1260" w:val="left"/>
        </w:tabs>
        <w:numPr>
          <w:ilvl w:val="0"/>
          <w:numId w:val="9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COBRA Coverage: </w:t>
      </w:r>
      <w:r>
        <w:rPr>
          <w:rFonts w:ascii="Calibri" w:cs="Calibri" w:eastAsia="Calibri" w:hAnsi="Calibri"/>
          <w:sz w:val="18"/>
          <w:szCs w:val="18"/>
          <w:color w:val="auto"/>
        </w:rPr>
        <w:t>Payment or reimbursement of the COBRA Coverage or COBRA Beneft, as applicable, for up to 9 months following your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Non-CIC Qualifed Terminaton.</w:t>
      </w:r>
    </w:p>
    <w:p>
      <w:pPr>
        <w:spacing w:after="0" w:line="217"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b w:val="1"/>
          <w:bCs w:val="1"/>
          <w:color w:val="auto"/>
        </w:rPr>
        <w:t xml:space="preserve">"IPO Date" </w:t>
      </w:r>
      <w:r>
        <w:rPr>
          <w:rFonts w:ascii="Calibri" w:cs="Calibri" w:eastAsia="Calibri" w:hAnsi="Calibri"/>
          <w:sz w:val="18"/>
          <w:szCs w:val="18"/>
          <w:color w:val="auto"/>
        </w:rPr>
        <w:t>means the efectve date of the frst registraton statement that is fled by the Company and declared efectve pursuant to Secton 12(b)</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 the Exchange Act of 1934, with respect to the Company's common stock.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0" w:name="page161"/>
    <w:bookmarkEnd w:id="160"/>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Provisions</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You agree that the Policy and the Agreement consttute the entre agreement of the partes hereto and supersede in their entrety all prior representatons, understandings, undertakings or agreements (whether oral or writen and whether expressed or implied) of the partes, and will specifcally supersede any severance and/or change of control provisions of any ofer leter, employment agreement, or equity award agreement entered into between you and the Company and/or any of its subsidiaries.</w:t>
      </w:r>
    </w:p>
    <w:p>
      <w:pPr>
        <w:spacing w:after="0" w:line="218" w:lineRule="exact"/>
        <w:rPr>
          <w:sz w:val="20"/>
          <w:szCs w:val="20"/>
          <w:color w:val="auto"/>
        </w:rPr>
      </w:pPr>
    </w:p>
    <w:p>
      <w:pPr>
        <w:ind w:right="220" w:firstLine="749"/>
        <w:spacing w:after="0" w:line="235" w:lineRule="auto"/>
        <w:rPr>
          <w:sz w:val="20"/>
          <w:szCs w:val="20"/>
          <w:color w:val="auto"/>
        </w:rPr>
      </w:pPr>
      <w:r>
        <w:rPr>
          <w:rFonts w:ascii="Calibri" w:cs="Calibri" w:eastAsia="Calibri" w:hAnsi="Calibri"/>
          <w:sz w:val="18"/>
          <w:szCs w:val="18"/>
          <w:color w:val="auto"/>
        </w:rPr>
        <w:t>This Agreement may be executed in counterparts, each of which will be deemed an original, but all of which together will consttute one and the same instrument.</w:t>
      </w:r>
    </w:p>
    <w:p>
      <w:pPr>
        <w:spacing w:after="0" w:line="217"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By signing below, each of the partes signifes his, her, or its acceptance of the terms of this Agreement, in the case of the Company by its duly authorized ofcer, efectve as of the last date set forth below.</w:t>
      </w:r>
    </w:p>
    <w:p>
      <w:pPr>
        <w:spacing w:after="0" w:line="212"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i w:val="1"/>
          <w:iCs w:val="1"/>
          <w:color w:val="auto"/>
        </w:rPr>
        <w:t>[Signature Page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8" w:lineRule="exact"/>
        <w:rPr>
          <w:sz w:val="20"/>
          <w:szCs w:val="20"/>
          <w:color w:val="auto"/>
        </w:rPr>
      </w:pPr>
    </w:p>
    <w:p>
      <w:pPr>
        <w:ind w:right="420" w:firstLine="749"/>
        <w:spacing w:after="0" w:line="235" w:lineRule="auto"/>
        <w:rPr>
          <w:sz w:val="20"/>
          <w:szCs w:val="20"/>
          <w:color w:val="auto"/>
        </w:rPr>
      </w:pPr>
      <w:r>
        <w:rPr>
          <w:rFonts w:ascii="Calibri" w:cs="Calibri" w:eastAsia="Calibri" w:hAnsi="Calibri"/>
          <w:sz w:val="18"/>
          <w:szCs w:val="18"/>
          <w:color w:val="auto"/>
        </w:rPr>
        <w:t>By signing below, each of the partes signifes his, her, or its acceptance of the terms of this Agreement, in the case of the Company by its duly authorized ofcer, efectve as of the last date set forth below.</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480" w:type="dxa"/>
            <w:vAlign w:val="bottom"/>
            <w:gridSpan w:val="2"/>
          </w:tcPr>
          <w:p>
            <w:pPr>
              <w:spacing w:after="0"/>
              <w:rPr>
                <w:sz w:val="20"/>
                <w:szCs w:val="20"/>
                <w:color w:val="auto"/>
              </w:rPr>
            </w:pPr>
            <w:r>
              <w:rPr>
                <w:rFonts w:ascii="Calibri" w:cs="Calibri" w:eastAsia="Calibri" w:hAnsi="Calibri"/>
                <w:sz w:val="18"/>
                <w:szCs w:val="18"/>
                <w:b w:val="1"/>
                <w:bCs w:val="1"/>
                <w:color w:val="auto"/>
              </w:rPr>
              <w:t>PMV PHARMACEUTICALS, INC.</w:t>
            </w:r>
          </w:p>
        </w:tc>
        <w:tc>
          <w:tcPr>
            <w:tcW w:w="5720" w:type="dxa"/>
            <w:vAlign w:val="bottom"/>
            <w:gridSpan w:val="2"/>
          </w:tcPr>
          <w:p>
            <w:pPr>
              <w:ind w:left="260"/>
              <w:spacing w:after="0"/>
              <w:rPr>
                <w:sz w:val="20"/>
                <w:szCs w:val="20"/>
                <w:color w:val="auto"/>
              </w:rPr>
            </w:pPr>
            <w:r>
              <w:rPr>
                <w:rFonts w:ascii="Calibri" w:cs="Calibri" w:eastAsia="Calibri" w:hAnsi="Calibri"/>
                <w:sz w:val="18"/>
                <w:szCs w:val="18"/>
                <w:b w:val="1"/>
                <w:bCs w:val="1"/>
                <w:color w:val="auto"/>
              </w:rPr>
              <w:t>ELIGIBLE EMPLOYEE</w:t>
            </w:r>
          </w:p>
        </w:tc>
      </w:tr>
      <w:tr>
        <w:trPr>
          <w:trHeight w:val="485"/>
        </w:trPr>
        <w:tc>
          <w:tcPr>
            <w:tcW w:w="680" w:type="dxa"/>
            <w:vAlign w:val="bottom"/>
          </w:tcPr>
          <w:p>
            <w:pPr>
              <w:spacing w:after="0"/>
              <w:rPr>
                <w:sz w:val="20"/>
                <w:szCs w:val="20"/>
                <w:color w:val="auto"/>
              </w:rPr>
            </w:pPr>
            <w:r>
              <w:rPr>
                <w:rFonts w:ascii="Calibri" w:cs="Calibri" w:eastAsia="Calibri" w:hAnsi="Calibri"/>
                <w:sz w:val="18"/>
                <w:szCs w:val="18"/>
                <w:color w:val="auto"/>
              </w:rPr>
              <w:t>By:</w:t>
            </w:r>
          </w:p>
        </w:tc>
        <w:tc>
          <w:tcPr>
            <w:tcW w:w="4800" w:type="dxa"/>
            <w:vAlign w:val="bottom"/>
          </w:tcPr>
          <w:p>
            <w:pPr>
              <w:jc w:val="right"/>
              <w:ind w:right="3610"/>
              <w:spacing w:after="0"/>
              <w:rPr>
                <w:sz w:val="20"/>
                <w:szCs w:val="20"/>
                <w:color w:val="auto"/>
              </w:rPr>
            </w:pPr>
            <w:r>
              <w:rPr>
                <w:rFonts w:ascii="Calibri" w:cs="Calibri" w:eastAsia="Calibri" w:hAnsi="Calibri"/>
                <w:sz w:val="18"/>
                <w:szCs w:val="18"/>
                <w:color w:val="auto"/>
                <w:w w:val="97"/>
              </w:rPr>
              <w:t>/s/ David Mack</w:t>
            </w:r>
          </w:p>
        </w:tc>
        <w:tc>
          <w:tcPr>
            <w:tcW w:w="920" w:type="dxa"/>
            <w:vAlign w:val="bottom"/>
          </w:tcPr>
          <w:p>
            <w:pPr>
              <w:ind w:left="260"/>
              <w:spacing w:after="0"/>
              <w:rPr>
                <w:sz w:val="20"/>
                <w:szCs w:val="20"/>
                <w:color w:val="auto"/>
              </w:rPr>
            </w:pPr>
            <w:r>
              <w:rPr>
                <w:rFonts w:ascii="Calibri" w:cs="Calibri" w:eastAsia="Calibri" w:hAnsi="Calibri"/>
                <w:sz w:val="18"/>
                <w:szCs w:val="18"/>
                <w:color w:val="auto"/>
              </w:rPr>
              <w:t>By:</w:t>
            </w:r>
          </w:p>
        </w:tc>
        <w:tc>
          <w:tcPr>
            <w:tcW w:w="4800" w:type="dxa"/>
            <w:vAlign w:val="bottom"/>
          </w:tcPr>
          <w:p>
            <w:pPr>
              <w:jc w:val="right"/>
              <w:ind w:right="3370"/>
              <w:spacing w:after="0"/>
              <w:rPr>
                <w:sz w:val="20"/>
                <w:szCs w:val="20"/>
                <w:color w:val="auto"/>
              </w:rPr>
            </w:pPr>
            <w:r>
              <w:rPr>
                <w:rFonts w:ascii="Calibri" w:cs="Calibri" w:eastAsia="Calibri" w:hAnsi="Calibri"/>
                <w:sz w:val="18"/>
                <w:szCs w:val="18"/>
                <w:color w:val="auto"/>
                <w:w w:val="98"/>
              </w:rPr>
              <w:t>/s/ Michael Carulli</w:t>
            </w:r>
          </w:p>
        </w:tc>
      </w:tr>
      <w:tr>
        <w:trPr>
          <w:trHeight w:val="37"/>
        </w:trPr>
        <w:tc>
          <w:tcPr>
            <w:tcW w:w="680" w:type="dxa"/>
            <w:vAlign w:val="bottom"/>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r>
      <w:tr>
        <w:trPr>
          <w:trHeight w:val="213"/>
        </w:trPr>
        <w:tc>
          <w:tcPr>
            <w:tcW w:w="680" w:type="dxa"/>
            <w:vAlign w:val="bottom"/>
          </w:tcPr>
          <w:p>
            <w:pPr>
              <w:spacing w:after="0" w:line="213" w:lineRule="exact"/>
              <w:rPr>
                <w:sz w:val="20"/>
                <w:szCs w:val="20"/>
                <w:color w:val="auto"/>
              </w:rPr>
            </w:pPr>
            <w:r>
              <w:rPr>
                <w:rFonts w:ascii="Calibri" w:cs="Calibri" w:eastAsia="Calibri" w:hAnsi="Calibri"/>
                <w:sz w:val="18"/>
                <w:szCs w:val="18"/>
                <w:color w:val="auto"/>
              </w:rPr>
              <w:t>Date:</w:t>
            </w:r>
          </w:p>
        </w:tc>
        <w:tc>
          <w:tcPr>
            <w:tcW w:w="4800" w:type="dxa"/>
            <w:vAlign w:val="bottom"/>
          </w:tcPr>
          <w:p>
            <w:pPr>
              <w:jc w:val="right"/>
              <w:ind w:right="4050"/>
              <w:spacing w:after="0" w:line="213" w:lineRule="exact"/>
              <w:rPr>
                <w:sz w:val="20"/>
                <w:szCs w:val="20"/>
                <w:color w:val="auto"/>
              </w:rPr>
            </w:pPr>
            <w:r>
              <w:rPr>
                <w:rFonts w:ascii="Calibri" w:cs="Calibri" w:eastAsia="Calibri" w:hAnsi="Calibri"/>
                <w:sz w:val="18"/>
                <w:szCs w:val="18"/>
                <w:color w:val="auto"/>
                <w:w w:val="93"/>
              </w:rPr>
              <w:t>1/5/2024</w:t>
            </w:r>
          </w:p>
        </w:tc>
        <w:tc>
          <w:tcPr>
            <w:tcW w:w="920" w:type="dxa"/>
            <w:vAlign w:val="bottom"/>
          </w:tcPr>
          <w:p>
            <w:pPr>
              <w:ind w:left="260"/>
              <w:spacing w:after="0" w:line="213" w:lineRule="exact"/>
              <w:rPr>
                <w:sz w:val="20"/>
                <w:szCs w:val="20"/>
                <w:color w:val="auto"/>
              </w:rPr>
            </w:pPr>
            <w:r>
              <w:rPr>
                <w:rFonts w:ascii="Calibri" w:cs="Calibri" w:eastAsia="Calibri" w:hAnsi="Calibri"/>
                <w:sz w:val="18"/>
                <w:szCs w:val="18"/>
                <w:color w:val="auto"/>
              </w:rPr>
              <w:t>Date:</w:t>
            </w:r>
          </w:p>
        </w:tc>
        <w:tc>
          <w:tcPr>
            <w:tcW w:w="4800" w:type="dxa"/>
            <w:vAlign w:val="bottom"/>
          </w:tcPr>
          <w:p>
            <w:pPr>
              <w:jc w:val="right"/>
              <w:ind w:right="4030"/>
              <w:spacing w:after="0" w:line="213" w:lineRule="exact"/>
              <w:rPr>
                <w:sz w:val="20"/>
                <w:szCs w:val="20"/>
                <w:color w:val="auto"/>
              </w:rPr>
            </w:pPr>
            <w:r>
              <w:rPr>
                <w:rFonts w:ascii="Calibri" w:cs="Calibri" w:eastAsia="Calibri" w:hAnsi="Calibri"/>
                <w:sz w:val="18"/>
                <w:szCs w:val="18"/>
                <w:color w:val="auto"/>
                <w:w w:val="96"/>
              </w:rPr>
              <w:t>1/5/2024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[Signature Page of the Partcipaton Agreement (M.Carulli)]</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60" w:hanging="378"/>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333-260012) of PMV Pharmaceuticals, Inc.,</w:t>
      </w:r>
    </w:p>
    <w:p>
      <w:pPr>
        <w:spacing w:after="0" w:line="22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333-249094) pertaining to the 2013 Equity Incentive Plan, 2020 Equity Incentive Plan and 2020 Employee Stock Purchase Plan of PMV Pharmaceuticals, Inc.,</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333-256346, 333-269394 and 333-276667) pertaining to the 2020 Equity Incentive Plan and 2020 Employee Stock Purchase Plan of PMV Pharmaceuticals, Inc.,</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333-262308) pertaining to the 2020 Equity Incentive Plan of PMV Pharmaceuticals, Inc.;</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of our report dated February 29, 2024, with respect to the consolidated financial statements of PMV Pharmaceuticals, Inc. included in this Annual Report (Form 10-K) of PMV Pharmaceuticals, Inc.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380" w:hanging="372"/>
        <w:spacing w:after="0"/>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4" w:lineRule="exact"/>
        <w:rPr>
          <w:rFonts w:ascii="Times New Roman" w:cs="Times New Roman" w:eastAsia="Times New Roman" w:hAnsi="Times New Roman"/>
          <w:sz w:val="18"/>
          <w:szCs w:val="18"/>
          <w:color w:val="auto"/>
        </w:rPr>
      </w:pPr>
    </w:p>
    <w:p>
      <w:pPr>
        <w:jc w:val="both"/>
        <w:ind w:left="380" w:right="140" w:hanging="372"/>
        <w:spacing w:after="0" w:line="265"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20" w:hanging="378"/>
        <w:spacing w:after="0" w:line="265"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120" w:hanging="372"/>
        <w:spacing w:after="0" w:line="281"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15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40"/>
        </w:trPr>
        <w:tc>
          <w:tcPr>
            <w:tcW w:w="7480" w:type="dxa"/>
            <w:vAlign w:val="bottom"/>
            <w:vMerge w:val="restart"/>
          </w:tcPr>
          <w:p>
            <w:pPr>
              <w:ind w:left="68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480" w:type="dxa"/>
            <w:vAlign w:val="bottom"/>
            <w:vMerge w:val="continue"/>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346"/>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247"/>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225"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4" w:lineRule="exact"/>
        <w:rPr>
          <w:rFonts w:ascii="Times New Roman" w:cs="Times New Roman" w:eastAsia="Times New Roman" w:hAnsi="Times New Roman"/>
          <w:sz w:val="18"/>
          <w:szCs w:val="18"/>
          <w:color w:val="auto"/>
        </w:rPr>
      </w:pPr>
    </w:p>
    <w:p>
      <w:pPr>
        <w:jc w:val="both"/>
        <w:ind w:left="380" w:right="140" w:hanging="372"/>
        <w:spacing w:after="0" w:line="265"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20" w:hanging="378"/>
        <w:spacing w:after="0" w:line="265"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120" w:hanging="372"/>
        <w:spacing w:after="0" w:line="281"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6" w:name="page167"/>
    <w:bookmarkEnd w:id="16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15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Carulli</w:t>
            </w:r>
          </w:p>
        </w:tc>
        <w:tc>
          <w:tcPr>
            <w:tcW w:w="0" w:type="dxa"/>
            <w:vAlign w:val="bottom"/>
          </w:tcPr>
          <w:p>
            <w:pPr>
              <w:spacing w:after="0"/>
              <w:rPr>
                <w:sz w:val="1"/>
                <w:szCs w:val="1"/>
                <w:color w:val="auto"/>
              </w:rPr>
            </w:pPr>
          </w:p>
        </w:tc>
      </w:tr>
      <w:tr>
        <w:trPr>
          <w:trHeight w:val="40"/>
        </w:trPr>
        <w:tc>
          <w:tcPr>
            <w:tcW w:w="7480" w:type="dxa"/>
            <w:vAlign w:val="bottom"/>
            <w:vMerge w:val="restart"/>
          </w:tcPr>
          <w:p>
            <w:pPr>
              <w:ind w:left="68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480" w:type="dxa"/>
            <w:vAlign w:val="bottom"/>
            <w:vMerge w:val="continue"/>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Carulli</w:t>
            </w:r>
          </w:p>
        </w:tc>
        <w:tc>
          <w:tcPr>
            <w:tcW w:w="0" w:type="dxa"/>
            <w:vAlign w:val="bottom"/>
          </w:tcPr>
          <w:p>
            <w:pPr>
              <w:spacing w:after="0"/>
              <w:rPr>
                <w:sz w:val="1"/>
                <w:szCs w:val="1"/>
                <w:color w:val="auto"/>
              </w:rPr>
            </w:pPr>
          </w:p>
        </w:tc>
      </w:tr>
      <w:tr>
        <w:trPr>
          <w:trHeight w:val="292"/>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1490"/>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3"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year ended December 31, 2023 as filed with the Securities and Exchange Commission on the date hereof (the “Report”), I, David H. Mack, hereby certify, pursuant to 18 U.S.C. § 1350, as adopted pursuant to § 906 of the Sarbanes-Oxley Act of 2002, that:</w:t>
      </w:r>
    </w:p>
    <w:p>
      <w:pPr>
        <w:spacing w:after="0" w:line="204" w:lineRule="exact"/>
        <w:rPr>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6500" w:type="dxa"/>
        <w:tblCellMar>
          <w:top w:w="0" w:type="dxa"/>
          <w:left w:w="0" w:type="dxa"/>
          <w:bottom w:w="0" w:type="dxa"/>
          <w:right w:w="0" w:type="dxa"/>
        </w:tblCellMar>
      </w:tblP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40"/>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00" w:type="dxa"/>
            <w:vAlign w:val="bottom"/>
            <w:vMerge w:val="continue"/>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3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FILENAME  \* MERGEFORMAT Normal.dotm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3"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year ended December 31, 2023 as filed with the Securities and Exchange Commission on the date hereof (the “Report”), I, Michael Carulli, hereby certify, pursuant to 18 U.S.C. § 1350, as adopted pursuant to § 906 of the Sarbanes-Oxley Act of 2002, that:</w:t>
      </w:r>
    </w:p>
    <w:p>
      <w:pPr>
        <w:spacing w:after="0" w:line="204" w:lineRule="exact"/>
        <w:rPr>
          <w:sz w:val="20"/>
          <w:szCs w:val="20"/>
          <w:color w:val="auto"/>
        </w:rPr>
      </w:pPr>
    </w:p>
    <w:p>
      <w:pPr>
        <w:ind w:left="760" w:hanging="378"/>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6500" w:type="dxa"/>
        <w:tblCellMar>
          <w:top w:w="0" w:type="dxa"/>
          <w:left w:w="0" w:type="dxa"/>
          <w:bottom w:w="0" w:type="dxa"/>
          <w:right w:w="0" w:type="dxa"/>
        </w:tblCellMar>
      </w:tblP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Michael Carulli</w:t>
            </w:r>
          </w:p>
        </w:tc>
        <w:tc>
          <w:tcPr>
            <w:tcW w:w="0" w:type="dxa"/>
            <w:vAlign w:val="bottom"/>
          </w:tcPr>
          <w:p>
            <w:pPr>
              <w:spacing w:after="0"/>
              <w:rPr>
                <w:sz w:val="1"/>
                <w:szCs w:val="1"/>
                <w:color w:val="auto"/>
              </w:rPr>
            </w:pPr>
          </w:p>
        </w:tc>
      </w:tr>
      <w:tr>
        <w:trPr>
          <w:trHeight w:val="40"/>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00" w:type="dxa"/>
            <w:vAlign w:val="bottom"/>
            <w:vMerge w:val="continue"/>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Carulli</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FILENAME  \* MERGEFORMAT Normal.dotm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ind w:left="10260"/>
        <w:spacing w:after="0"/>
        <w:rPr>
          <w:sz w:val="20"/>
          <w:szCs w:val="20"/>
          <w:color w:val="auto"/>
        </w:rPr>
      </w:pPr>
      <w:r>
        <w:rPr>
          <w:rFonts w:ascii="Calibri" w:cs="Calibri" w:eastAsia="Calibri" w:hAnsi="Calibri"/>
          <w:sz w:val="20"/>
          <w:szCs w:val="20"/>
          <w:b w:val="1"/>
          <w:bCs w:val="1"/>
          <w:color w:val="auto"/>
        </w:rPr>
        <w:t>Exhibit 97.1</w:t>
      </w:r>
    </w:p>
    <w:p>
      <w:pPr>
        <w:spacing w:after="0" w:line="187" w:lineRule="exact"/>
        <w:rPr>
          <w:sz w:val="20"/>
          <w:szCs w:val="20"/>
          <w:color w:val="auto"/>
        </w:rPr>
      </w:pPr>
    </w:p>
    <w:p>
      <w:pPr>
        <w:ind w:left="10700"/>
        <w:spacing w:after="0"/>
        <w:rPr>
          <w:sz w:val="20"/>
          <w:szCs w:val="20"/>
          <w:color w:val="auto"/>
        </w:rPr>
      </w:pPr>
      <w:r>
        <w:rPr>
          <w:rFonts w:ascii="Calibri" w:cs="Calibri" w:eastAsia="Calibri" w:hAnsi="Calibri"/>
          <w:sz w:val="20"/>
          <w:szCs w:val="20"/>
          <w:b w:val="1"/>
          <w:bCs w:val="1"/>
          <w:color w:val="auto"/>
        </w:rPr>
        <w:t>FINAL</w:t>
      </w:r>
    </w:p>
    <w:p>
      <w:pPr>
        <w:spacing w:after="0" w:line="174"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b w:val="1"/>
          <w:bCs w:val="1"/>
          <w:color w:val="auto"/>
        </w:rPr>
        <w:t>PMV PHARMACEUTICALS, INC.</w:t>
      </w:r>
    </w:p>
    <w:p>
      <w:pPr>
        <w:spacing w:after="0" w:line="174"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b w:val="1"/>
          <w:bCs w:val="1"/>
          <w:color w:val="auto"/>
        </w:rPr>
        <w:t>COMPENSATION RECOVERY POLICY</w:t>
      </w:r>
    </w:p>
    <w:p>
      <w:pPr>
        <w:spacing w:after="0" w:line="187"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color w:val="auto"/>
        </w:rPr>
        <w:t>As adopted on July 26, 2023</w:t>
      </w:r>
    </w:p>
    <w:p>
      <w:pPr>
        <w:spacing w:after="0" w:line="224"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PMV Pharmaceutcals, Inc.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is commited to strong corporate governance. As part of this commitment, the Compensaton Commitee (“</w:t>
      </w:r>
      <w:r>
        <w:rPr>
          <w:rFonts w:ascii="Calibri" w:cs="Calibri" w:eastAsia="Calibri" w:hAnsi="Calibri"/>
          <w:sz w:val="20"/>
          <w:szCs w:val="20"/>
          <w:b w:val="1"/>
          <w:bCs w:val="1"/>
          <w:color w:val="auto"/>
        </w:rPr>
        <w:t>Compensaton Commitee</w:t>
      </w:r>
      <w:r>
        <w:rPr>
          <w:rFonts w:ascii="Calibri" w:cs="Calibri" w:eastAsia="Calibri" w:hAnsi="Calibri"/>
          <w:sz w:val="20"/>
          <w:szCs w:val="20"/>
          <w:color w:val="auto"/>
        </w:rPr>
        <w:t>”) of the Company’s Board of Directors (the “</w:t>
      </w:r>
      <w:r>
        <w:rPr>
          <w:rFonts w:ascii="Calibri" w:cs="Calibri" w:eastAsia="Calibri" w:hAnsi="Calibri"/>
          <w:sz w:val="20"/>
          <w:szCs w:val="20"/>
          <w:b w:val="1"/>
          <w:bCs w:val="1"/>
          <w:color w:val="auto"/>
        </w:rPr>
        <w:t>Board</w:t>
      </w:r>
      <w:r>
        <w:rPr>
          <w:rFonts w:ascii="Calibri" w:cs="Calibri" w:eastAsia="Calibri" w:hAnsi="Calibri"/>
          <w:sz w:val="20"/>
          <w:szCs w:val="20"/>
          <w:color w:val="auto"/>
        </w:rPr>
        <w:t>”) has adopted this clawback policy called the Compensaton Recovery Policy (the “</w:t>
      </w:r>
      <w:r>
        <w:rPr>
          <w:rFonts w:ascii="Calibri" w:cs="Calibri" w:eastAsia="Calibri" w:hAnsi="Calibri"/>
          <w:sz w:val="20"/>
          <w:szCs w:val="20"/>
          <w:b w:val="1"/>
          <w:bCs w:val="1"/>
          <w:color w:val="auto"/>
        </w:rPr>
        <w:t>Policy</w:t>
      </w:r>
      <w:r>
        <w:rPr>
          <w:rFonts w:ascii="Calibri" w:cs="Calibri" w:eastAsia="Calibri" w:hAnsi="Calibri"/>
          <w:sz w:val="20"/>
          <w:szCs w:val="20"/>
          <w:color w:val="auto"/>
        </w:rPr>
        <w:t>”). The Policy is intended to further the Company’s pay-for-performance philosophy and to comply with applicable law by providing for the reasonably prompt recovery of certain executve compensaton in the event of an Accountng Restatement.</w:t>
      </w:r>
    </w:p>
    <w:p>
      <w:pPr>
        <w:spacing w:after="0" w:line="229"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The Policy is intended to comply with Secton 10D of the Securites Exchange Act of 1934 (the “</w:t>
      </w:r>
      <w:r>
        <w:rPr>
          <w:rFonts w:ascii="Calibri" w:cs="Calibri" w:eastAsia="Calibri" w:hAnsi="Calibri"/>
          <w:sz w:val="20"/>
          <w:szCs w:val="20"/>
          <w:b w:val="1"/>
          <w:bCs w:val="1"/>
          <w:color w:val="auto"/>
        </w:rPr>
        <w:t>Exchange Act</w:t>
      </w:r>
      <w:r>
        <w:rPr>
          <w:rFonts w:ascii="Calibri" w:cs="Calibri" w:eastAsia="Calibri" w:hAnsi="Calibri"/>
          <w:sz w:val="20"/>
          <w:szCs w:val="20"/>
          <w:color w:val="auto"/>
        </w:rPr>
        <w:t>”), with Exchange Act Rule 10D-1 and with the NASDAQ listng standards (the “</w:t>
      </w:r>
      <w:r>
        <w:rPr>
          <w:rFonts w:ascii="Calibri" w:cs="Calibri" w:eastAsia="Calibri" w:hAnsi="Calibri"/>
          <w:sz w:val="20"/>
          <w:szCs w:val="20"/>
          <w:b w:val="1"/>
          <w:bCs w:val="1"/>
          <w:color w:val="auto"/>
        </w:rPr>
        <w:t>Exchange</w:t>
      </w:r>
      <w:r>
        <w:rPr>
          <w:rFonts w:ascii="Calibri" w:cs="Calibri" w:eastAsia="Calibri" w:hAnsi="Calibri"/>
          <w:sz w:val="20"/>
          <w:szCs w:val="20"/>
          <w:color w:val="auto"/>
        </w:rPr>
        <w:t>”) on which the securites of the Company are listed. The Policy will be interpreted in a manner that is consistent with the requirements of Secton 10D of the Exchange Act, Exchange Act Rule 10D-1 and with the listng standards of the Exchange, including any interpretve guidance provided by the Exchange.</w:t>
      </w:r>
    </w:p>
    <w:p>
      <w:pPr>
        <w:spacing w:after="0" w:line="226" w:lineRule="exact"/>
        <w:rPr>
          <w:sz w:val="20"/>
          <w:szCs w:val="20"/>
          <w:color w:val="auto"/>
        </w:rPr>
      </w:pPr>
    </w:p>
    <w:p>
      <w:pPr>
        <w:jc w:val="both"/>
        <w:ind w:firstLine="738"/>
        <w:spacing w:after="0" w:line="235" w:lineRule="auto"/>
        <w:rPr>
          <w:sz w:val="20"/>
          <w:szCs w:val="20"/>
          <w:color w:val="auto"/>
        </w:rPr>
      </w:pPr>
      <w:r>
        <w:rPr>
          <w:rFonts w:ascii="Calibri" w:cs="Calibri" w:eastAsia="Calibri" w:hAnsi="Calibri"/>
          <w:sz w:val="20"/>
          <w:szCs w:val="20"/>
          <w:color w:val="auto"/>
        </w:rPr>
        <w:t>In summary, the Policy provides rules related to the reasonably prompt recovery of certain incentve-based compensaton received by Executve Ofcers. The applicaton of the Policy to Executve Ofcers is not discretonary, except to the limited extent provided below, and applies without regard to whether an Executve Ofcer was at fault.</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Persons Covered by the Policy</w:t>
      </w:r>
    </w:p>
    <w:p>
      <w:pPr>
        <w:spacing w:after="0" w:line="224"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262626"/>
        </w:rPr>
        <w:t>The Policy is binding and enforceable against all Executve Ofcers. “</w:t>
      </w:r>
      <w:r>
        <w:rPr>
          <w:rFonts w:ascii="Calibri" w:cs="Calibri" w:eastAsia="Calibri" w:hAnsi="Calibri"/>
          <w:sz w:val="20"/>
          <w:szCs w:val="20"/>
          <w:b w:val="1"/>
          <w:bCs w:val="1"/>
          <w:color w:val="262626"/>
        </w:rPr>
        <w:t>Executve Ofcer</w:t>
      </w:r>
      <w:r>
        <w:rPr>
          <w:rFonts w:ascii="Calibri" w:cs="Calibri" w:eastAsia="Calibri" w:hAnsi="Calibri"/>
          <w:sz w:val="20"/>
          <w:szCs w:val="20"/>
          <w:color w:val="262626"/>
        </w:rPr>
        <w:t xml:space="preserve">” means each individual who is or was ever designated as an “ofcer” by the Board in accordance with Exchange Act Rule 16a-1(f). Each Executve Ofcer will be required to sign and return to the Company an acknowledgement, substantally in the form atached as </w:t>
      </w:r>
      <w:r>
        <w:rPr>
          <w:rFonts w:ascii="Calibri" w:cs="Calibri" w:eastAsia="Calibri" w:hAnsi="Calibri"/>
          <w:sz w:val="20"/>
          <w:szCs w:val="20"/>
          <w:b w:val="1"/>
          <w:bCs w:val="1"/>
          <w:color w:val="262626"/>
        </w:rPr>
        <w:t>Exhibit A</w:t>
      </w:r>
      <w:r>
        <w:rPr>
          <w:rFonts w:ascii="Calibri" w:cs="Calibri" w:eastAsia="Calibri" w:hAnsi="Calibri"/>
          <w:sz w:val="20"/>
          <w:szCs w:val="20"/>
          <w:color w:val="262626"/>
        </w:rPr>
        <w:t>, that such Executve Ofcer will be bound by the terms and comply with the Policy. The failure to obtain such acknowledgement will have no impact on the applicability or enforceability of the Policy.</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Administraton of the Policy</w:t>
      </w:r>
    </w:p>
    <w:p>
      <w:pPr>
        <w:spacing w:after="0" w:line="224" w:lineRule="exact"/>
        <w:rPr>
          <w:sz w:val="20"/>
          <w:szCs w:val="20"/>
          <w:color w:val="auto"/>
        </w:rPr>
      </w:pPr>
    </w:p>
    <w:p>
      <w:pPr>
        <w:jc w:val="both"/>
        <w:ind w:firstLine="738"/>
        <w:spacing w:after="0" w:line="237" w:lineRule="auto"/>
        <w:rPr>
          <w:sz w:val="20"/>
          <w:szCs w:val="20"/>
          <w:color w:val="auto"/>
        </w:rPr>
      </w:pPr>
      <w:r>
        <w:rPr>
          <w:rFonts w:ascii="Calibri" w:cs="Calibri" w:eastAsia="Calibri" w:hAnsi="Calibri"/>
          <w:sz w:val="20"/>
          <w:szCs w:val="20"/>
          <w:color w:val="auto"/>
        </w:rPr>
        <w:t>The Compensaton Commitee has full delegated authority to administer the Policy. The Compensaton Commitee is authorized to interpret and construe the Policy and to make all determinatons necessary, appropriate, or advisable for the administraton of the Policy. In additon, if determined in the discreton of the Board, the Policy may be administered by the independent members of the Board or another commitee of the Board made up of independent members of the Board, in which case all references to the Compensaton Commitee will be deemed to refer to the independent members of the Board or the other Board commitee. All determinatons of the Compensaton Commitee will be fnal and binding and will be given the maximum deference permited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70" w:name="page171"/>
    <w:bookmarkEnd w:id="170"/>
    <w:p>
      <w:pPr>
        <w:spacing w:after="0"/>
        <w:rPr>
          <w:sz w:val="20"/>
          <w:szCs w:val="20"/>
          <w:color w:val="auto"/>
        </w:rPr>
      </w:pPr>
      <w:r>
        <w:rPr>
          <w:rFonts w:ascii="Calibri" w:cs="Calibri" w:eastAsia="Calibri" w:hAnsi="Calibri"/>
          <w:sz w:val="20"/>
          <w:szCs w:val="20"/>
          <w:b w:val="1"/>
          <w:bCs w:val="1"/>
          <w:color w:val="auto"/>
        </w:rPr>
        <w:t>Events Requiring Applicaton of the Policy</w:t>
      </w:r>
    </w:p>
    <w:p>
      <w:pPr>
        <w:spacing w:after="0" w:line="224"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If the Company is required to prepare an accountng restatement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(an “</w:t>
      </w:r>
      <w:r>
        <w:rPr>
          <w:rFonts w:ascii="Calibri" w:cs="Calibri" w:eastAsia="Calibri" w:hAnsi="Calibri"/>
          <w:sz w:val="20"/>
          <w:szCs w:val="20"/>
          <w:b w:val="1"/>
          <w:bCs w:val="1"/>
          <w:color w:val="auto"/>
        </w:rPr>
        <w:t>Accountng Restatement</w:t>
      </w:r>
      <w:r>
        <w:rPr>
          <w:rFonts w:ascii="Calibri" w:cs="Calibri" w:eastAsia="Calibri" w:hAnsi="Calibri"/>
          <w:sz w:val="20"/>
          <w:szCs w:val="20"/>
          <w:color w:val="auto"/>
        </w:rPr>
        <w:t>”), then the Compensaton Commitee must determine what compensaton, if any, must be recovered.</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Compensaton Covered by the Policy</w:t>
      </w:r>
    </w:p>
    <w:p>
      <w:pPr>
        <w:spacing w:after="0" w:line="224" w:lineRule="exact"/>
        <w:rPr>
          <w:sz w:val="20"/>
          <w:szCs w:val="20"/>
          <w:color w:val="auto"/>
        </w:rPr>
      </w:pPr>
    </w:p>
    <w:p>
      <w:pPr>
        <w:jc w:val="both"/>
        <w:ind w:firstLine="738"/>
        <w:spacing w:after="0" w:line="237" w:lineRule="auto"/>
        <w:rPr>
          <w:sz w:val="20"/>
          <w:szCs w:val="20"/>
          <w:color w:val="auto"/>
        </w:rPr>
      </w:pPr>
      <w:r>
        <w:rPr>
          <w:rFonts w:ascii="Calibri" w:cs="Calibri" w:eastAsia="Calibri" w:hAnsi="Calibri"/>
          <w:sz w:val="20"/>
          <w:szCs w:val="20"/>
          <w:color w:val="auto"/>
        </w:rPr>
        <w:t xml:space="preserve">The Policy applies to certain </w:t>
      </w:r>
      <w:r>
        <w:rPr>
          <w:rFonts w:ascii="Calibri" w:cs="Calibri" w:eastAsia="Calibri" w:hAnsi="Calibri"/>
          <w:sz w:val="20"/>
          <w:szCs w:val="20"/>
          <w:b w:val="1"/>
          <w:bCs w:val="1"/>
          <w:color w:val="auto"/>
        </w:rPr>
        <w:t>Incentve-Based Compensaton</w:t>
      </w:r>
      <w:r>
        <w:rPr>
          <w:rFonts w:ascii="Calibri" w:cs="Calibri" w:eastAsia="Calibri" w:hAnsi="Calibri"/>
          <w:sz w:val="20"/>
          <w:szCs w:val="20"/>
          <w:color w:val="auto"/>
        </w:rPr>
        <w:t xml:space="preserve"> (certain terms used in this Secton are defned below) that is </w:t>
      </w:r>
      <w:r>
        <w:rPr>
          <w:rFonts w:ascii="Calibri" w:cs="Calibri" w:eastAsia="Calibri" w:hAnsi="Calibri"/>
          <w:sz w:val="20"/>
          <w:szCs w:val="20"/>
          <w:b w:val="1"/>
          <w:bCs w:val="1"/>
          <w:color w:val="auto"/>
        </w:rPr>
        <w:t xml:space="preserve">Received </w:t>
      </w:r>
      <w:r>
        <w:rPr>
          <w:rFonts w:ascii="Calibri" w:cs="Calibri" w:eastAsia="Calibri" w:hAnsi="Calibri"/>
          <w:sz w:val="20"/>
          <w:szCs w:val="20"/>
          <w:color w:val="auto"/>
        </w:rPr>
        <w:t>on or afer October 2, 2023 (the “</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during the</w:t>
      </w:r>
      <w:r>
        <w:rPr>
          <w:rFonts w:ascii="Calibri" w:cs="Calibri" w:eastAsia="Calibri" w:hAnsi="Calibri"/>
          <w:sz w:val="20"/>
          <w:szCs w:val="20"/>
          <w:b w:val="1"/>
          <w:bCs w:val="1"/>
          <w:color w:val="auto"/>
        </w:rPr>
        <w:t xml:space="preserve"> Covered Period </w:t>
      </w:r>
      <w:r>
        <w:rPr>
          <w:rFonts w:ascii="Calibri" w:cs="Calibri" w:eastAsia="Calibri" w:hAnsi="Calibri"/>
          <w:sz w:val="20"/>
          <w:szCs w:val="20"/>
          <w:color w:val="auto"/>
        </w:rPr>
        <w:t>while the Company has a class of securites listed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on a natonal securites exchange. Such Incentve-Based Compensaton is considered “</w:t>
      </w:r>
      <w:r>
        <w:rPr>
          <w:rFonts w:ascii="Calibri" w:cs="Calibri" w:eastAsia="Calibri" w:hAnsi="Calibri"/>
          <w:sz w:val="20"/>
          <w:szCs w:val="20"/>
          <w:b w:val="1"/>
          <w:bCs w:val="1"/>
          <w:color w:val="auto"/>
        </w:rPr>
        <w:t>Clawback Eligible Incentve-Based Compensaton</w:t>
      </w:r>
      <w:r>
        <w:rPr>
          <w:rFonts w:ascii="Calibri" w:cs="Calibri" w:eastAsia="Calibri" w:hAnsi="Calibri"/>
          <w:sz w:val="20"/>
          <w:szCs w:val="20"/>
          <w:color w:val="auto"/>
        </w:rPr>
        <w:t>” if the Incentve-Based Compensaton is Received by a person afer such person became an Executve Ofcer and the person served as an Executve Ofcer at any tme during the performance period for the Incentve-Based Compensaton. The Incentve-Based Compensaton that must be recovered is the amount of Clawback Eligible Incentve-Based Compensaton that exceeds the amount of Clawback Eligible Incentve-Based Compensaton that otherwise would have been Received had such Clawback Eligible Incentve-Based Compensaton been determined based on the restated amounts (such compensaton, as computed without regard to any taxes paid, the “</w:t>
      </w:r>
      <w:r>
        <w:rPr>
          <w:rFonts w:ascii="Calibri" w:cs="Calibri" w:eastAsia="Calibri" w:hAnsi="Calibri"/>
          <w:sz w:val="20"/>
          <w:szCs w:val="20"/>
          <w:b w:val="1"/>
          <w:bCs w:val="1"/>
          <w:color w:val="auto"/>
        </w:rPr>
        <w:t>Excess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Compensaton</w:t>
      </w:r>
      <w:r>
        <w:rPr>
          <w:rFonts w:ascii="Calibri" w:cs="Calibri" w:eastAsia="Calibri" w:hAnsi="Calibri"/>
          <w:sz w:val="20"/>
          <w:szCs w:val="20"/>
          <w:color w:val="auto"/>
        </w:rPr>
        <w:t>,” is referred to in the listngs standards as “erroneously awarded incentve-based compensaton”).</w:t>
      </w:r>
    </w:p>
    <w:p>
      <w:pPr>
        <w:spacing w:after="0" w:line="230"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To determine the amount of Excess Compensaton for Incentve-Based Compensaton based on stock price or total shareholder return, where it is not subject to mathematcal recalculaton directly from the informaton in an Accountng Restatement, the amount must be based on a reasonable estmate of the efect of the Accountng Restatement on the stock price or total shareholder return upon which the Incentve-Based Compensaton was Received and the Company must maintain documentaton of the determinaton of that reasonable estmate and provide such documentaton to the Exchange.</w:t>
      </w:r>
    </w:p>
    <w:p>
      <w:pPr>
        <w:spacing w:after="0" w:line="229" w:lineRule="exact"/>
        <w:rPr>
          <w:sz w:val="20"/>
          <w:szCs w:val="20"/>
          <w:color w:val="auto"/>
        </w:rPr>
      </w:pPr>
    </w:p>
    <w:p>
      <w:pPr>
        <w:jc w:val="both"/>
        <w:ind w:firstLine="73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Incentve-Based Compensaton</w:t>
      </w:r>
      <w:r>
        <w:rPr>
          <w:rFonts w:ascii="Calibri" w:cs="Calibri" w:eastAsia="Calibri" w:hAnsi="Calibri"/>
          <w:sz w:val="20"/>
          <w:szCs w:val="20"/>
          <w:color w:val="auto"/>
        </w:rPr>
        <w:t>” means any compensaton that is granted, earned, or vested based wholly or in part upon the atainment of a Financial Reportng Measure. For the avoidance of doubt, no compensaton that is potentally subject to recovery under the Policy will be earned untl the Company’s right to recover under the Policy has lapsed.</w:t>
      </w:r>
    </w:p>
    <w:p>
      <w:pPr>
        <w:spacing w:after="0" w:line="225"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Financial Reportng Measures</w:t>
      </w:r>
      <w:r>
        <w:rPr>
          <w:rFonts w:ascii="Calibri" w:cs="Calibri" w:eastAsia="Calibri" w:hAnsi="Calibri"/>
          <w:sz w:val="20"/>
          <w:szCs w:val="20"/>
          <w:color w:val="auto"/>
        </w:rPr>
        <w:t>” are measures that are determined and presented in accordance with the accountng principles used in preparing the Company’s fnancial statements, and any measures that are derived wholly or in part from such measures. Stock price and total shareholder return are also Financial Reportng Measures. A Financial Reportng Measure need not be presented within the fnancial statements or included in a fling with the Securites and Exchange Commission.</w:t>
      </w:r>
    </w:p>
    <w:p>
      <w:pPr>
        <w:spacing w:after="0" w:line="226"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Incentve-Based Compensaton is “</w:t>
      </w:r>
      <w:r>
        <w:rPr>
          <w:rFonts w:ascii="Calibri" w:cs="Calibri" w:eastAsia="Calibri" w:hAnsi="Calibri"/>
          <w:sz w:val="20"/>
          <w:szCs w:val="20"/>
          <w:b w:val="1"/>
          <w:bCs w:val="1"/>
          <w:color w:val="auto"/>
        </w:rPr>
        <w:t>Received</w:t>
      </w:r>
      <w:r>
        <w:rPr>
          <w:rFonts w:ascii="Calibri" w:cs="Calibri" w:eastAsia="Calibri" w:hAnsi="Calibri"/>
          <w:sz w:val="20"/>
          <w:szCs w:val="20"/>
          <w:color w:val="auto"/>
        </w:rPr>
        <w:t>” under the Policy in the Company’s fscal period during which the Financial Reportng Measure specifed in the Incentve-Based Compensaton award is atained, even if the payment, vestng, setlement or grant of the Incentve-Based Compensaton occurs afer the end of that period. For the avoidance of doubt, the Policy does not apply to Incentve-Based Compensaton for which the Financial Reportng Measure is atained prior to the Efectve Date.</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1" w:name="page172"/>
    <w:bookmarkEnd w:id="171"/>
    <w:p>
      <w:pPr>
        <w:jc w:val="both"/>
        <w:ind w:firstLine="734"/>
        <w:spacing w:after="0" w:line="23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Covered Period</w:t>
      </w:r>
      <w:r>
        <w:rPr>
          <w:rFonts w:ascii="Calibri" w:cs="Calibri" w:eastAsia="Calibri" w:hAnsi="Calibri"/>
          <w:sz w:val="20"/>
          <w:szCs w:val="20"/>
          <w:color w:val="auto"/>
        </w:rPr>
        <w:t>” means the three completed fscal years immediately preceding the Accountng Restatement Determinaton Date. In additon, Covered Period can include certain transiton periods resultng from a change in the Company’s fscal year. The Company’s obligaton to recover Excess Compensaton is not dependent on if or when the restated fnancial statements are fled.</w:t>
      </w:r>
    </w:p>
    <w:p>
      <w:pPr>
        <w:spacing w:after="0" w:line="227"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Accountng Restatement Determinaton Date</w:t>
      </w:r>
      <w:r>
        <w:rPr>
          <w:rFonts w:ascii="Calibri" w:cs="Calibri" w:eastAsia="Calibri" w:hAnsi="Calibri"/>
          <w:sz w:val="20"/>
          <w:szCs w:val="20"/>
          <w:color w:val="auto"/>
        </w:rPr>
        <w:t>” means the earliest to occur of: (a) the date the Board, a commitee of the Board, or one or more of the ofcers of the Company authorized to take such acton if Board acton is not required, concludes, or reasonably should have concluded, that the Company is required to prepare an Accountng Restatement; and (b) the date a court, regulator, or other legally authorized body directs the Company to prepare an Accountng Restatement.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Repayment of Excess Compensaton</w:t>
      </w:r>
    </w:p>
    <w:p>
      <w:pPr>
        <w:spacing w:after="0" w:line="224"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The Company must recover such Excess Compensaton reasonably promptly and Executve Ofcers are required to repay Excess Compensaton to the Company. Subject to applicable law, the Company may recover such Excess Compensaton by requiring the Executve Ofcer to repay such amount to the Company by direct payment to the Company or such other means or combinaton of means as the Compensaton Commitee determines to be appropriate (these determinatons do not need to be identcal as to each Executve Ofcer). These means may include:</w:t>
      </w:r>
    </w:p>
    <w:p>
      <w:pPr>
        <w:spacing w:after="0" w:line="219" w:lineRule="exact"/>
        <w:rPr>
          <w:sz w:val="20"/>
          <w:szCs w:val="20"/>
          <w:color w:val="auto"/>
        </w:rPr>
      </w:pPr>
    </w:p>
    <w:p>
      <w:pPr>
        <w:ind w:left="1500" w:hanging="743"/>
        <w:spacing w:after="0"/>
        <w:tabs>
          <w:tab w:leader="none" w:pos="1500"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requiring reimbursement of cash Incentve-Based Compensaton previously paid;</w:t>
      </w:r>
    </w:p>
    <w:p>
      <w:pPr>
        <w:spacing w:after="0" w:line="224"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seeking recovery of any gain realized on the vestng, exercise, setlement, sale, transfer, or other dispositon of any equity-based awards;</w:t>
      </w:r>
    </w:p>
    <w:p>
      <w:pPr>
        <w:spacing w:after="0" w:line="225"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ofsetng the amount to be recovered from any unpaid or future compensaton to be paid by the Company or any afliate of the Company to the Executve Ofcer;</w:t>
      </w:r>
    </w:p>
    <w:p>
      <w:pPr>
        <w:spacing w:after="0" w:line="215" w:lineRule="exact"/>
        <w:rPr>
          <w:rFonts w:ascii="Calibri" w:cs="Calibri" w:eastAsia="Calibri" w:hAnsi="Calibri"/>
          <w:sz w:val="20"/>
          <w:szCs w:val="20"/>
          <w:color w:val="auto"/>
        </w:rPr>
      </w:pPr>
    </w:p>
    <w:p>
      <w:pPr>
        <w:ind w:left="1500" w:hanging="743"/>
        <w:spacing w:after="0"/>
        <w:tabs>
          <w:tab w:leader="none" w:pos="1500"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cancelling outstanding vested or unvested equity awards; and/or</w:t>
      </w:r>
    </w:p>
    <w:p>
      <w:pPr>
        <w:spacing w:after="0" w:line="214" w:lineRule="exact"/>
        <w:rPr>
          <w:rFonts w:ascii="Calibri" w:cs="Calibri" w:eastAsia="Calibri" w:hAnsi="Calibri"/>
          <w:sz w:val="20"/>
          <w:szCs w:val="20"/>
          <w:color w:val="auto"/>
        </w:rPr>
      </w:pPr>
    </w:p>
    <w:p>
      <w:pPr>
        <w:ind w:left="1500" w:hanging="743"/>
        <w:spacing w:after="0"/>
        <w:tabs>
          <w:tab w:leader="none" w:pos="1500" w:val="left"/>
        </w:tabs>
        <w:numPr>
          <w:ilvl w:val="0"/>
          <w:numId w:val="99"/>
        </w:numPr>
        <w:rPr>
          <w:rFonts w:ascii="Calibri" w:cs="Calibri" w:eastAsia="Calibri" w:hAnsi="Calibri"/>
          <w:sz w:val="20"/>
          <w:szCs w:val="20"/>
          <w:color w:val="auto"/>
        </w:rPr>
      </w:pPr>
      <w:r>
        <w:rPr>
          <w:rFonts w:ascii="Calibri" w:cs="Calibri" w:eastAsia="Calibri" w:hAnsi="Calibri"/>
          <w:sz w:val="20"/>
          <w:szCs w:val="20"/>
          <w:color w:val="auto"/>
        </w:rPr>
        <w:t>taking any other remedial and recovery acton permited by law, as determined by the Compensaton Commitee.</w:t>
      </w:r>
    </w:p>
    <w:p>
      <w:pPr>
        <w:spacing w:after="0" w:line="224" w:lineRule="exact"/>
        <w:rPr>
          <w:sz w:val="20"/>
          <w:szCs w:val="20"/>
          <w:color w:val="auto"/>
        </w:rPr>
      </w:pPr>
    </w:p>
    <w:p>
      <w:pPr>
        <w:jc w:val="both"/>
        <w:ind w:firstLine="738"/>
        <w:spacing w:after="0" w:line="235" w:lineRule="auto"/>
        <w:rPr>
          <w:sz w:val="20"/>
          <w:szCs w:val="20"/>
          <w:color w:val="auto"/>
        </w:rPr>
      </w:pPr>
      <w:r>
        <w:rPr>
          <w:rFonts w:ascii="Calibri" w:cs="Calibri" w:eastAsia="Calibri" w:hAnsi="Calibri"/>
          <w:sz w:val="20"/>
          <w:szCs w:val="20"/>
          <w:color w:val="auto"/>
        </w:rPr>
        <w:t>The repayment of Excess Compensaton must be made by an Executve Ofcer notwithstanding any Executve Ofcer’s belief (whether legitmate or non-legitmate) that the Excess Compensaton had been previously earned under applicable law and therefore is not subject to clawback.</w:t>
      </w:r>
    </w:p>
    <w:p>
      <w:pPr>
        <w:spacing w:after="0" w:line="227" w:lineRule="exact"/>
        <w:rPr>
          <w:sz w:val="20"/>
          <w:szCs w:val="20"/>
          <w:color w:val="auto"/>
        </w:rPr>
      </w:pPr>
    </w:p>
    <w:p>
      <w:pPr>
        <w:jc w:val="both"/>
        <w:ind w:firstLine="738"/>
        <w:spacing w:after="0" w:line="237" w:lineRule="auto"/>
        <w:rPr>
          <w:sz w:val="20"/>
          <w:szCs w:val="20"/>
          <w:color w:val="auto"/>
        </w:rPr>
      </w:pPr>
      <w:r>
        <w:rPr>
          <w:rFonts w:ascii="Calibri" w:cs="Calibri" w:eastAsia="Calibri" w:hAnsi="Calibri"/>
          <w:sz w:val="20"/>
          <w:szCs w:val="20"/>
          <w:color w:val="auto"/>
        </w:rPr>
        <w:t>In additon to its rights to recovery under the Policy, the Company or any afliate of the Company may take any legal actons it determines appropriate to enforce an Executve Ofcer’s obligatons to the Company or to discipline an Executve Ofcer, including (without limitaton) terminaton of employment, insttuton of civil proceedings, reportng of misconduct to appropriate governmental authorites, reducton of future compensaton opportunites or change in role. The decision to take any actons described in the preceding sentence will not be subject to the approval of the Compensaton Commitee and can be made by the Board, any commitee of the Board, or any duly authorized ofcer of the Company or of any applicable afliate of the Company.</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72" w:name="page173"/>
    <w:bookmarkEnd w:id="172"/>
    <w:p>
      <w:pPr>
        <w:spacing w:after="0"/>
        <w:rPr>
          <w:sz w:val="20"/>
          <w:szCs w:val="20"/>
          <w:color w:val="auto"/>
        </w:rPr>
      </w:pPr>
      <w:r>
        <w:rPr>
          <w:rFonts w:ascii="Calibri" w:cs="Calibri" w:eastAsia="Calibri" w:hAnsi="Calibri"/>
          <w:sz w:val="20"/>
          <w:szCs w:val="20"/>
          <w:b w:val="1"/>
          <w:bCs w:val="1"/>
          <w:color w:val="auto"/>
        </w:rPr>
        <w:t>Limited Exceptons to the Policy</w:t>
      </w:r>
    </w:p>
    <w:p>
      <w:pPr>
        <w:spacing w:after="0" w:line="224" w:lineRule="exact"/>
        <w:rPr>
          <w:sz w:val="20"/>
          <w:szCs w:val="20"/>
          <w:color w:val="auto"/>
        </w:rPr>
      </w:pPr>
    </w:p>
    <w:p>
      <w:pPr>
        <w:jc w:val="both"/>
        <w:ind w:firstLine="738"/>
        <w:spacing w:after="0" w:line="247" w:lineRule="auto"/>
        <w:rPr>
          <w:sz w:val="20"/>
          <w:szCs w:val="20"/>
          <w:color w:val="auto"/>
        </w:rPr>
      </w:pPr>
      <w:r>
        <w:rPr>
          <w:rFonts w:ascii="Calibri" w:cs="Calibri" w:eastAsia="Calibri" w:hAnsi="Calibri"/>
          <w:sz w:val="20"/>
          <w:szCs w:val="20"/>
          <w:color w:val="auto"/>
        </w:rPr>
        <w:t>The Company must recover the Excess Compensaton in accordance with the Policy except to the limited extent that the conditons of Exchange Act Rule 10D-1(b)(1)(iv) and the Exchange listng standards are met, and the Compensaton Commitee has made a determinaton that recovery of the Excess Compensaton would be impractcable.</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 Important Informaton in the Policy</w:t>
      </w:r>
    </w:p>
    <w:p>
      <w:pPr>
        <w:spacing w:after="0" w:line="224" w:lineRule="exact"/>
        <w:rPr>
          <w:sz w:val="20"/>
          <w:szCs w:val="20"/>
          <w:color w:val="auto"/>
        </w:rPr>
      </w:pPr>
    </w:p>
    <w:p>
      <w:pPr>
        <w:jc w:val="both"/>
        <w:ind w:firstLine="738"/>
        <w:spacing w:after="0" w:line="235" w:lineRule="auto"/>
        <w:rPr>
          <w:sz w:val="20"/>
          <w:szCs w:val="20"/>
          <w:color w:val="auto"/>
        </w:rPr>
      </w:pPr>
      <w:r>
        <w:rPr>
          <w:rFonts w:ascii="Calibri" w:cs="Calibri" w:eastAsia="Calibri" w:hAnsi="Calibri"/>
          <w:sz w:val="20"/>
          <w:szCs w:val="20"/>
          <w:color w:val="auto"/>
        </w:rPr>
        <w:t>The Policy is in additon to the requirements of Secton 304 of the Sarbanes-Oxley Act of 2002 that are applicable to the Company’s Chief Executve Ofcer and Chief Financial Ofcer, as well as any other applicable laws, regulatory requirements, rules, or pursuant to the terms of any existng Company policy or agreement providing for the recovery of compensaton.</w:t>
      </w:r>
    </w:p>
    <w:p>
      <w:pPr>
        <w:spacing w:after="0" w:line="227" w:lineRule="exact"/>
        <w:rPr>
          <w:sz w:val="20"/>
          <w:szCs w:val="20"/>
          <w:color w:val="auto"/>
        </w:rPr>
      </w:pPr>
    </w:p>
    <w:p>
      <w:pPr>
        <w:jc w:val="both"/>
        <w:ind w:firstLine="738"/>
        <w:spacing w:after="0" w:line="237" w:lineRule="auto"/>
        <w:rPr>
          <w:sz w:val="20"/>
          <w:szCs w:val="20"/>
          <w:color w:val="auto"/>
        </w:rPr>
      </w:pPr>
      <w:r>
        <w:rPr>
          <w:rFonts w:ascii="Calibri" w:cs="Calibri" w:eastAsia="Calibri" w:hAnsi="Calibri"/>
          <w:sz w:val="20"/>
          <w:szCs w:val="20"/>
          <w:color w:val="auto"/>
        </w:rPr>
        <w:t>Notwithstanding the terms of any of the Company’s organizatonal documents (including, but not limited to, the Company’s bylaws), any corporate policy or any contract (including, but not limited to, any indemnifcaton agreement), neither the Company nor any afliate of the Company will indemnify or provide advancement for any Executve Ofcer against any loss of Excess Compensaton. Neither the Company nor any afliate of the Company will pay for or reimburse insurance premiums for an insurance policy that covers potental recovery obligatons. In the event the Company is required to recover Excess Compensaton from an Executve Ofcer who is no longer an employee pursuant to the Policy, the Company will be enttled to seek such recovery in order to comply with applicable law, regardless of the terms of any release of claims or separaton agreement such individual may have signed.</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The Compensaton Commitee or Board may review and modify the Policy from tme to tme.</w:t>
      </w:r>
    </w:p>
    <w:p>
      <w:pPr>
        <w:spacing w:after="0" w:line="224" w:lineRule="exact"/>
        <w:rPr>
          <w:sz w:val="20"/>
          <w:szCs w:val="20"/>
          <w:color w:val="auto"/>
        </w:rPr>
      </w:pPr>
    </w:p>
    <w:p>
      <w:pPr>
        <w:jc w:val="both"/>
        <w:ind w:firstLine="738"/>
        <w:spacing w:after="0" w:line="236" w:lineRule="auto"/>
        <w:rPr>
          <w:sz w:val="20"/>
          <w:szCs w:val="20"/>
          <w:color w:val="auto"/>
        </w:rPr>
      </w:pPr>
      <w:r>
        <w:rPr>
          <w:rFonts w:ascii="Calibri" w:cs="Calibri" w:eastAsia="Calibri" w:hAnsi="Calibri"/>
          <w:sz w:val="20"/>
          <w:szCs w:val="20"/>
          <w:color w:val="auto"/>
        </w:rPr>
        <w:t>If any provision of the Policy or the applicaton of any such provision to any Executve Ofcer is adjudicated to be invalid, illegal or unenforceable in any respect, such invalidity, illegality or unenforceability will not afect any other provisions of the Policy or the applicaton of such provision to another Executve Ofcer, and the invalid, illegal or unenforceable provisions will be deemed amended to the minimum extent necessary to render any such provision or applicaton enforceable.</w:t>
      </w:r>
    </w:p>
    <w:p>
      <w:pPr>
        <w:spacing w:after="0" w:line="226" w:lineRule="exact"/>
        <w:rPr>
          <w:sz w:val="20"/>
          <w:szCs w:val="20"/>
          <w:color w:val="auto"/>
        </w:rPr>
      </w:pPr>
    </w:p>
    <w:p>
      <w:pPr>
        <w:jc w:val="both"/>
        <w:ind w:firstLine="738"/>
        <w:spacing w:after="0" w:line="234" w:lineRule="auto"/>
        <w:rPr>
          <w:sz w:val="20"/>
          <w:szCs w:val="20"/>
          <w:color w:val="auto"/>
        </w:rPr>
      </w:pPr>
      <w:r>
        <w:rPr>
          <w:rFonts w:ascii="Calibri" w:cs="Calibri" w:eastAsia="Calibri" w:hAnsi="Calibri"/>
          <w:sz w:val="20"/>
          <w:szCs w:val="20"/>
          <w:color w:val="auto"/>
        </w:rPr>
        <w:t>The Policy will terminate and no longer be enforceable when the Company ceases to be listed issuer within the meaning of Secton 10D of the Exchange Act.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73" w:name="page174"/>
    <w:bookmarkEnd w:id="173"/>
    <w:p>
      <w:pPr>
        <w:jc w:val="center"/>
        <w:ind w:right="40"/>
        <w:spacing w:after="0"/>
        <w:rPr>
          <w:sz w:val="20"/>
          <w:szCs w:val="20"/>
          <w:color w:val="auto"/>
        </w:rPr>
      </w:pPr>
      <w:r>
        <w:rPr>
          <w:rFonts w:ascii="Calibri" w:cs="Calibri" w:eastAsia="Calibri" w:hAnsi="Calibri"/>
          <w:sz w:val="20"/>
          <w:szCs w:val="20"/>
          <w:b w:val="1"/>
          <w:bCs w:val="1"/>
          <w:u w:val="single" w:color="auto"/>
          <w:color w:val="auto"/>
        </w:rPr>
        <w:t>EXHIBIT A</w:t>
      </w:r>
    </w:p>
    <w:p>
      <w:pPr>
        <w:spacing w:after="0" w:line="214"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ACKNOWLEDGEMENT</w:t>
      </w:r>
    </w:p>
    <w:p>
      <w:pPr>
        <w:spacing w:after="0" w:line="238" w:lineRule="exact"/>
        <w:rPr>
          <w:sz w:val="20"/>
          <w:szCs w:val="20"/>
          <w:color w:val="auto"/>
        </w:rPr>
      </w:pPr>
    </w:p>
    <w:p>
      <w:pPr>
        <w:ind w:left="760" w:right="20" w:hanging="752"/>
        <w:spacing w:after="0" w:line="234" w:lineRule="auto"/>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acknowledge that I have received and read the Compensaton Recovery Policy (the “</w:t>
      </w:r>
      <w:r>
        <w:rPr>
          <w:rFonts w:ascii="Calibri" w:cs="Calibri" w:eastAsia="Calibri" w:hAnsi="Calibri"/>
          <w:sz w:val="20"/>
          <w:szCs w:val="20"/>
          <w:b w:val="1"/>
          <w:bCs w:val="1"/>
          <w:color w:val="auto"/>
        </w:rPr>
        <w:t>Policy</w:t>
      </w:r>
      <w:r>
        <w:rPr>
          <w:rFonts w:ascii="Calibri" w:cs="Calibri" w:eastAsia="Calibri" w:hAnsi="Calibri"/>
          <w:sz w:val="20"/>
          <w:szCs w:val="20"/>
          <w:color w:val="auto"/>
        </w:rPr>
        <w:t>”) of PMV Pharmaceutcals, Inc.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w:t>
      </w:r>
    </w:p>
    <w:p>
      <w:pPr>
        <w:spacing w:after="0" w:line="238" w:lineRule="exact"/>
        <w:rPr>
          <w:rFonts w:ascii="Times New Roman" w:cs="Times New Roman" w:eastAsia="Times New Roman" w:hAnsi="Times New Roman"/>
          <w:sz w:val="20"/>
          <w:szCs w:val="20"/>
          <w:color w:val="auto"/>
        </w:rPr>
      </w:pPr>
    </w:p>
    <w:p>
      <w:pPr>
        <w:jc w:val="both"/>
        <w:ind w:left="760" w:hanging="752"/>
        <w:spacing w:after="0" w:line="235" w:lineRule="auto"/>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and acknowledge that the Policy applies to me, and all of my benefciaries, heirs, executors, administrators or other legal representatves and that the Company’s right to recovery in order to comply with applicable law will apply, regardless of the terms of any release of claims or separaton agreement I have signed or will sign in the future.</w:t>
      </w:r>
    </w:p>
    <w:p>
      <w:pPr>
        <w:spacing w:after="0" w:line="240" w:lineRule="exact"/>
        <w:rPr>
          <w:rFonts w:ascii="Times New Roman" w:cs="Times New Roman" w:eastAsia="Times New Roman" w:hAnsi="Times New Roman"/>
          <w:sz w:val="20"/>
          <w:szCs w:val="20"/>
          <w:color w:val="auto"/>
        </w:rPr>
      </w:pPr>
    </w:p>
    <w:p>
      <w:pPr>
        <w:ind w:left="760" w:right="20" w:hanging="752"/>
        <w:spacing w:after="0" w:line="234" w:lineRule="auto"/>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agree to be bound by and to comply with the Policy and understand that determinatons of the Compensaton Commitee (as such term is used in the Policy) will be fnal and binding and will be given the maximum deference permited by law.</w:t>
      </w:r>
    </w:p>
    <w:p>
      <w:pPr>
        <w:spacing w:after="0" w:line="238" w:lineRule="exact"/>
        <w:rPr>
          <w:rFonts w:ascii="Times New Roman" w:cs="Times New Roman" w:eastAsia="Times New Roman" w:hAnsi="Times New Roman"/>
          <w:sz w:val="20"/>
          <w:szCs w:val="20"/>
          <w:color w:val="auto"/>
        </w:rPr>
      </w:pPr>
    </w:p>
    <w:p>
      <w:pPr>
        <w:ind w:left="760" w:hanging="752"/>
        <w:spacing w:after="0" w:line="234" w:lineRule="auto"/>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and agree that my current indemnifcaton rights, whether in an individual agreement or the Company’s organizatonal documents, exclude the right to be indemnifed for amounts required to be recovered under the Policy.</w:t>
      </w:r>
    </w:p>
    <w:p>
      <w:pPr>
        <w:spacing w:after="0" w:line="238" w:lineRule="exact"/>
        <w:rPr>
          <w:rFonts w:ascii="Times New Roman" w:cs="Times New Roman" w:eastAsia="Times New Roman" w:hAnsi="Times New Roman"/>
          <w:sz w:val="20"/>
          <w:szCs w:val="20"/>
          <w:color w:val="auto"/>
        </w:rPr>
      </w:pPr>
    </w:p>
    <w:p>
      <w:pPr>
        <w:ind w:left="760" w:right="20" w:hanging="752"/>
        <w:spacing w:after="0" w:line="234" w:lineRule="auto"/>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that my failure to comply in all respects with the Policy is a basis for terminaton of my employment with the Company and any afliate of the Company as well as any other appropriate discipline.</w:t>
      </w:r>
    </w:p>
    <w:p>
      <w:pPr>
        <w:spacing w:after="0" w:line="238" w:lineRule="exact"/>
        <w:rPr>
          <w:rFonts w:ascii="Times New Roman" w:cs="Times New Roman" w:eastAsia="Times New Roman" w:hAnsi="Times New Roman"/>
          <w:sz w:val="20"/>
          <w:szCs w:val="20"/>
          <w:color w:val="auto"/>
        </w:rPr>
      </w:pPr>
    </w:p>
    <w:p>
      <w:pPr>
        <w:ind w:left="760" w:hanging="752"/>
        <w:spacing w:after="0" w:line="234" w:lineRule="auto"/>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understand that neither the Policy, nor the applicaton of the Policy to me, gives rise to a resignaton for good reason (or similar concept) by me under any applicable employment agreement or arrangement.</w:t>
      </w:r>
    </w:p>
    <w:p>
      <w:pPr>
        <w:spacing w:after="0" w:line="238" w:lineRule="exact"/>
        <w:rPr>
          <w:rFonts w:ascii="Times New Roman" w:cs="Times New Roman" w:eastAsia="Times New Roman" w:hAnsi="Times New Roman"/>
          <w:sz w:val="20"/>
          <w:szCs w:val="20"/>
          <w:color w:val="auto"/>
        </w:rPr>
      </w:pPr>
    </w:p>
    <w:p>
      <w:pPr>
        <w:ind w:left="760" w:hanging="752"/>
        <w:spacing w:after="0" w:line="234" w:lineRule="auto"/>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acknowledge that if I have questons concerning the meaning or applicaton of the Policy, it is my responsibility to seek guidance from the Company’s General Counsel, VP of HR and/or my own personal advisers.</w:t>
      </w:r>
    </w:p>
    <w:p>
      <w:pPr>
        <w:spacing w:after="0" w:line="228"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00"/>
        </w:numPr>
        <w:rPr>
          <w:rFonts w:ascii="Times New Roman" w:cs="Times New Roman" w:eastAsia="Times New Roman" w:hAnsi="Times New Roman"/>
          <w:sz w:val="20"/>
          <w:szCs w:val="20"/>
          <w:color w:val="auto"/>
        </w:rPr>
      </w:pPr>
      <w:r>
        <w:rPr>
          <w:rFonts w:ascii="Calibri" w:cs="Calibri" w:eastAsia="Calibri" w:hAnsi="Calibri"/>
          <w:sz w:val="20"/>
          <w:szCs w:val="20"/>
          <w:color w:val="auto"/>
        </w:rPr>
        <w:t>I acknowledge that neither this Acknowledgement nor the Policy is meant to consttute an employment contract.</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color w:val="auto"/>
        </w:rPr>
        <w:t>Please review, sign and return this form to the Company’s HR department.</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32023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print name</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32023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signature</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32023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Calibri" w:cs="Calibri" w:eastAsia="Calibri" w:hAnsi="Calibri"/>
          <w:sz w:val="20"/>
          <w:szCs w:val="20"/>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74" w:name="page175"/>
    <w:bookmarkEnd w:id="1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1)"/>
      <w:numFmt w:val="decimal"/>
      <w:start w:val="2"/>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decimal"/>
      <w:start w:val="2"/>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lowerRoman"/>
      <w:start w:val="2"/>
    </w:lvl>
  </w:abstractNum>
  <w:abstractNum w:abstractNumId="61">
    <w:nsid w:val="60B6DF70"/>
    <w:multiLevelType w:val="hybridMultilevel"/>
    <w:lvl w:ilvl="0">
      <w:lvlJc w:val="left"/>
      <w:lvlText w:val="(%1)"/>
      <w:numFmt w:val="lowerRoman"/>
      <w:start w:val="3"/>
    </w:lvl>
  </w:abstractNum>
  <w:abstractNum w:abstractNumId="62">
    <w:nsid w:val="6A5EE64"/>
    <w:multiLevelType w:val="hybridMultilevel"/>
    <w:lvl w:ilvl="0">
      <w:lvlJc w:val="left"/>
      <w:lvlText w:val="*"/>
      <w:numFmt w:val="bullet"/>
      <w:start w:val="1"/>
    </w:lvl>
    <w:lvl w:ilvl="1">
      <w:lvlJc w:val="left"/>
      <w:lvlText w:val="%2"/>
      <w:numFmt w:val="decimal"/>
      <w:start w:val="104"/>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2"/>
    </w:lvl>
  </w:abstractNum>
  <w:abstractNum w:abstractNumId="67">
    <w:nsid w:val="100F59DC"/>
    <w:multiLevelType w:val="hybridMultilevel"/>
    <w:lvl w:ilvl="0">
      <w:lvlJc w:val="left"/>
      <w:lvlText w:val="(%1)"/>
      <w:numFmt w:val="lowerLetter"/>
      <w:start w:val="1"/>
    </w:lvl>
  </w:abstractNum>
  <w:abstractNum w:abstractNumId="68">
    <w:nsid w:val="7FB7E0AA"/>
    <w:multiLevelType w:val="hybridMultilevel"/>
    <w:lvl w:ilvl="0">
      <w:lvlJc w:val="left"/>
      <w:lvlText w:val="(%1)"/>
      <w:numFmt w:val="lowerLetter"/>
      <w:start w:val="3"/>
    </w:lvl>
  </w:abstractNum>
  <w:abstractNum w:abstractNumId="69">
    <w:nsid w:val="6EB5BD4"/>
    <w:multiLevelType w:val="hybridMultilevel"/>
    <w:lvl w:ilvl="0">
      <w:lvlJc w:val="left"/>
      <w:lvlText w:val="%1."/>
      <w:numFmt w:val="decimal"/>
      <w:start w:val="3"/>
    </w:lvl>
  </w:abstractNum>
  <w:abstractNum w:abstractNumId="70">
    <w:nsid w:val="6F6DD9AC"/>
    <w:multiLevelType w:val="hybridMultilevel"/>
    <w:lvl w:ilvl="0">
      <w:lvlJc w:val="left"/>
      <w:lvlText w:val="%1."/>
      <w:numFmt w:val="decimal"/>
      <w:start w:val="4"/>
    </w:lvl>
  </w:abstractNum>
  <w:abstractNum w:abstractNumId="71">
    <w:nsid w:val="94211F2"/>
    <w:multiLevelType w:val="hybridMultilevel"/>
    <w:lvl w:ilvl="0">
      <w:lvlJc w:val="left"/>
      <w:lvlText w:val="%1."/>
      <w:numFmt w:val="decimal"/>
      <w:start w:val="5"/>
    </w:lvl>
  </w:abstractNum>
  <w:abstractNum w:abstractNumId="72">
    <w:nsid w:val="885E1B"/>
    <w:multiLevelType w:val="hybridMultilevel"/>
    <w:lvl w:ilvl="0">
      <w:lvlJc w:val="left"/>
      <w:lvlText w:val="%1."/>
      <w:numFmt w:val="decimal"/>
      <w:start w:val="6"/>
    </w:lvl>
  </w:abstractNum>
  <w:abstractNum w:abstractNumId="73">
    <w:nsid w:val="76272110"/>
    <w:multiLevelType w:val="hybridMultilevel"/>
    <w:lvl w:ilvl="0">
      <w:lvlJc w:val="left"/>
      <w:lvlText w:val="%1."/>
      <w:numFmt w:val="decimal"/>
      <w:start w:val="7"/>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decimal"/>
      <w:start w:val="2"/>
    </w:lvl>
  </w:abstractNum>
  <w:abstractNum w:abstractNumId="76">
    <w:nsid w:val="14E17E33"/>
    <w:multiLevelType w:val="hybridMultilevel"/>
    <w:lvl w:ilvl="0">
      <w:lvlJc w:val="left"/>
      <w:lvlText w:val="%1."/>
      <w:numFmt w:val="decimal"/>
      <w:start w:val="3"/>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decimal"/>
      <w:start w:val="2"/>
    </w:lvl>
  </w:abstractNum>
  <w:abstractNum w:abstractNumId="80">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1">
    <w:nsid w:val="46B7D447"/>
    <w:multiLevelType w:val="hybridMultilevel"/>
    <w:lvl w:ilvl="0">
      <w:lvlJc w:val="left"/>
      <w:lvlText w:val="%1."/>
      <w:numFmt w:val="lowerLetter"/>
      <w:start w:val="3"/>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decimal"/>
      <w:start w:val="7"/>
    </w:lvl>
  </w:abstractNum>
  <w:abstractNum w:abstractNumId="84">
    <w:nsid w:val="57FC4FBB"/>
    <w:multiLevelType w:val="hybridMultilevel"/>
    <w:lvl w:ilvl="0">
      <w:lvlJc w:val="left"/>
      <w:lvlText w:val="%1."/>
      <w:numFmt w:val="decimal"/>
      <w:start w:val="9"/>
    </w:lvl>
    <w:lvl w:ilvl="1">
      <w:lvlJc w:val="left"/>
      <w:lvlText w:val="*"/>
      <w:numFmt w:val="bullet"/>
      <w:start w:val="1"/>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2"/>
    </w:lvl>
  </w:abstractNum>
  <w:abstractNum w:abstractNumId="87">
    <w:nsid w:val="60EF0119"/>
    <w:multiLevelType w:val="hybridMultilevel"/>
    <w:lvl w:ilvl="0">
      <w:lvlJc w:val="left"/>
      <w:lvlText w:val="%1."/>
      <w:numFmt w:val="decimal"/>
      <w:start w:val="4"/>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decimal"/>
      <w:start w:val="2"/>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1."/>
      <w:numFmt w:val="decimal"/>
      <w:start w:val="1"/>
    </w:lvl>
    <w:lvl w:ilvl="1">
      <w:lvlJc w:val="left"/>
      <w:lvlText w:val="(%2)"/>
      <w:numFmt w:val="lowerLetter"/>
      <w:start w:val="1"/>
    </w:lvl>
  </w:abstractNum>
  <w:abstractNum w:abstractNumId="95">
    <w:nsid w:val="5FB8011C"/>
    <w:multiLevelType w:val="hybridMultilevel"/>
    <w:lvl w:ilvl="0">
      <w:lvlJc w:val="left"/>
      <w:lvlText w:val="%1."/>
      <w:numFmt w:val="decimal"/>
      <w:start w:val="1"/>
    </w:lvl>
    <w:lvl w:ilvl="1">
      <w:lvlJc w:val="left"/>
      <w:lvlText w:val="(%2)"/>
      <w:numFmt w:val="lowerLetter"/>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lowerLetter"/>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53"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jpeg"/><Relationship Id="rId384" Type="http://schemas.openxmlformats.org/officeDocument/2006/relationships/image" Target="media/image354.png"/><Relationship Id="rId385" Type="http://schemas.openxmlformats.org/officeDocument/2006/relationships/image" Target="media/image355.jpe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jpe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337" Type="http://schemas.openxmlformats.org/officeDocument/2006/relationships/hyperlink" Target="https://www.sec.gov/Archives/edgar/data/1699382/000119312520257820/d95525dex31.htm" TargetMode="External"/><Relationship Id="rId338" Type="http://schemas.openxmlformats.org/officeDocument/2006/relationships/hyperlink" Target="https://www.sec.gov/Archives/edgar/data/1699382/000119312520257820/d95525dex32.htm" TargetMode="External"/><Relationship Id="rId339" Type="http://schemas.openxmlformats.org/officeDocument/2006/relationships/hyperlink" Target="https://www.sec.gov/Archives/edgar/data/1699382/000156459021010578/pmvp-ex41_260.htm" TargetMode="External"/><Relationship Id="rId340" Type="http://schemas.openxmlformats.org/officeDocument/2006/relationships/hyperlink" Target="https://www.sec.gov/Archives/edgar/data/0001699382/000119312520240132/d922470dex41.htm" TargetMode="External"/><Relationship Id="rId341" Type="http://schemas.openxmlformats.org/officeDocument/2006/relationships/hyperlink" Target="https://www.sec.gov/Archives/edgar/data/0001699382/000119312520249570/d922470dex42.htm" TargetMode="External"/><Relationship Id="rId342" Type="http://schemas.openxmlformats.org/officeDocument/2006/relationships/hyperlink" Target="https://www.sec.gov/Archives/edgar/data/1699382/000119312521290972/d231282dex44.htm" TargetMode="External"/><Relationship Id="rId343" Type="http://schemas.openxmlformats.org/officeDocument/2006/relationships/hyperlink" Target="https://www.sec.gov/Archives/edgar/data/0001699382/000119312520240132/d922470dex101.htm" TargetMode="External"/><Relationship Id="rId344" Type="http://schemas.openxmlformats.org/officeDocument/2006/relationships/hyperlink" Target="https://www.sec.gov/Archives/edgar/data/0001699382/000119312520249570/d922470dex102.htm" TargetMode="External"/><Relationship Id="rId345" Type="http://schemas.openxmlformats.org/officeDocument/2006/relationships/hyperlink" Target="https://www.sec.gov/Archives/edgar/data/0001699382/000119312520249570/d922470dex103.htm" TargetMode="External"/><Relationship Id="rId346" Type="http://schemas.openxmlformats.org/officeDocument/2006/relationships/hyperlink" Target="https://www.sec.gov/Archives/edgar/data/0001699382/000119312520249570/d922470dex104.htm" TargetMode="External"/><Relationship Id="rId347" Type="http://schemas.openxmlformats.org/officeDocument/2006/relationships/hyperlink" Target="https://www.sec.gov/Archives/edgar/data/0001699382/000119312520240132/d922470dex105.htm" TargetMode="External"/><Relationship Id="rId348" Type="http://schemas.openxmlformats.org/officeDocument/2006/relationships/hyperlink" Target="https://www.sec.gov/Archives/edgar/data/0001699382/000119312520240132/d922470dex106.htm" TargetMode="External"/><Relationship Id="rId349" Type="http://schemas.openxmlformats.org/officeDocument/2006/relationships/hyperlink" Target="https://www.sec.gov/Archives/edgar/data/0001699382/000119312520240132/d922470dex107.htm" TargetMode="External"/><Relationship Id="rId350" Type="http://schemas.openxmlformats.org/officeDocument/2006/relationships/hyperlink" Target="https://www.sec.gov/Archives/edgar/data/1699382/000156459022007860/pmvp-ex108_331.htm" TargetMode="External"/><Relationship Id="rId351" Type="http://schemas.openxmlformats.org/officeDocument/2006/relationships/hyperlink" Target="https://www.sec.gov/Archives/edgar/data/0001699382/000119312520240132/d922470dex109.htm" TargetMode="External"/><Relationship Id="rId352" Type="http://schemas.openxmlformats.org/officeDocument/2006/relationships/hyperlink" Target="https://www.sec.gov/Archives/edgar/data/0001699382/000119312520240132/d922470dex1010.htm" TargetMode="External"/><Relationship Id="rId354" Type="http://schemas.openxmlformats.org/officeDocument/2006/relationships/hyperlink" Target="https://www.sec.gov/Archives/edgar/data/0001699382/000119312520240132/d922470dex1011.htm" TargetMode="External"/><Relationship Id="rId355" Type="http://schemas.openxmlformats.org/officeDocument/2006/relationships/hyperlink" Target="https://www.sec.gov/Archives/edgar/data/1699382/000156459022007860/pmvp-ex1014_338.htm" TargetMode="External"/><Relationship Id="rId356" Type="http://schemas.openxmlformats.org/officeDocument/2006/relationships/hyperlink" Target="https://www.sec.gov/Archives/edgar/data/0001699382/000119312520240132/d922470dex1016.htm" TargetMode="External"/><Relationship Id="rId357" Type="http://schemas.openxmlformats.org/officeDocument/2006/relationships/hyperlink" Target="https://www.sec.gov/Archives/edgar/data/1699382/000156459022007860/pmvp-ex1017_538.htm" TargetMode="External"/><Relationship Id="rId358" Type="http://schemas.openxmlformats.org/officeDocument/2006/relationships/hyperlink" Target="https://www.sec.gov/Archives/edgar/data/1699382/000156459021010578/pmvp-ex1019_261.htm" TargetMode="External"/><Relationship Id="rId359" Type="http://schemas.openxmlformats.org/officeDocument/2006/relationships/hyperlink" Target="https://www.sec.gov/Archives/edgar/data/1699382/000119312521290972/d231282dex12.htm" TargetMode="External"/><Relationship Id="rId360" Type="http://schemas.openxmlformats.org/officeDocument/2006/relationships/hyperlink" Target="https://www.sec.gov/Archives/edgar/data/1699382/000156459022007860/pmvp-ex211_3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2024-02-29T15:34:28Z</dcterms:created>
  <dcterms:modified xsi:type="dcterms:W3CDTF">2024-02-29T15:34:28Z</dcterms:modified>
</cp:coreProperties>
</file>