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0001055951</w:t>
            </w:r>
          </w:p>
        </w:tc>
        <w:tc>
          <w:tcPr>
            <w:tcW w:w="38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835"/>
        </w:trPr>
        <w:tc>
          <w:tcPr>
            <w:tcW w:w="65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PMV Pharmaceuticals,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001-39539</w:t>
            </w:r>
          </w:p>
        </w:tc>
      </w:tr>
      <w:tr>
        <w:trPr>
          <w:trHeight w:val="258"/>
        </w:trPr>
        <w:tc>
          <w:tcPr>
            <w:tcW w:w="3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400 Alexander Park Drive</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6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Suite 301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20" w:type="dxa"/>
            <w:vAlign w:val="bottom"/>
          </w:tcPr>
          <w:p>
            <w:pPr>
              <w:spacing w:after="0"/>
              <w:rPr>
                <w:sz w:val="21"/>
                <w:szCs w:val="21"/>
                <w:color w:val="auto"/>
              </w:rPr>
            </w:pPr>
          </w:p>
        </w:tc>
        <w:tc>
          <w:tcPr>
            <w:tcW w:w="386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Princeton</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6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NEW JERSEY</w:t>
            </w:r>
          </w:p>
        </w:tc>
      </w:tr>
      <w:tr>
        <w:trPr>
          <w:trHeight w:val="282"/>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08540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609-642-6670</w:t>
            </w:r>
          </w:p>
        </w:tc>
      </w:tr>
      <w:tr>
        <w:trPr>
          <w:trHeight w:val="29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w w:val="96"/>
              </w:rPr>
              <w:t>OrbiMed Private Investments V,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1585 Broadway</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10036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1"/>
        </w:trPr>
        <w:tc>
          <w:tcPr>
            <w:tcW w:w="116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w w:val="96"/>
              </w:rPr>
              <w:t>1000000</w:t>
            </w:r>
          </w:p>
        </w:tc>
        <w:tc>
          <w:tcPr>
            <w:tcW w:w="128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rPr>
              <w:t>1520000.00</w:t>
            </w:r>
          </w:p>
        </w:tc>
        <w:tc>
          <w:tcPr>
            <w:tcW w:w="132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52990864</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10/23/2025</w:t>
            </w: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5"/>
              </w:rPr>
              <w:t>Nasdaq Stock</w:t>
            </w:r>
          </w:p>
        </w:tc>
        <w:tc>
          <w:tcPr>
            <w:tcW w:w="0" w:type="dxa"/>
            <w:vAlign w:val="bottom"/>
          </w:tcPr>
          <w:p>
            <w:pPr>
              <w:spacing w:after="0"/>
              <w:rPr>
                <w:sz w:val="1"/>
                <w:szCs w:val="1"/>
                <w:color w:val="auto"/>
              </w:rPr>
            </w:pPr>
          </w:p>
        </w:tc>
      </w:tr>
      <w:tr>
        <w:trPr>
          <w:trHeight w:val="161"/>
        </w:trPr>
        <w:tc>
          <w:tcPr>
            <w:tcW w:w="116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Market</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443"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50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09/29/2020</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Initial Public</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rPr>
              <w:t>1000000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09/29/2020 Cash</w:t>
            </w:r>
          </w:p>
        </w:tc>
        <w:tc>
          <w:tcPr>
            <w:tcW w:w="0" w:type="dxa"/>
            <w:vAlign w:val="bottom"/>
          </w:tcPr>
          <w:p>
            <w:pPr>
              <w:spacing w:after="0"/>
              <w:rPr>
                <w:sz w:val="1"/>
                <w:szCs w:val="1"/>
                <w:color w:val="auto"/>
              </w:rPr>
            </w:pPr>
          </w:p>
        </w:tc>
      </w:tr>
      <w:tr>
        <w:trPr>
          <w:trHeight w:val="282"/>
        </w:trPr>
        <w:tc>
          <w:tcPr>
            <w:tcW w:w="250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Offering</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OrbiMed Private Investments V, LP</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 Lexington Ave.</w:t>
            </w:r>
          </w:p>
        </w:tc>
        <w:tc>
          <w:tcPr>
            <w:tcW w:w="350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492"/>
              <w:spacing w:after="0"/>
              <w:rPr>
                <w:sz w:val="20"/>
                <w:szCs w:val="20"/>
                <w:color w:val="auto"/>
              </w:rPr>
            </w:pPr>
            <w:r>
              <w:rPr>
                <w:rFonts w:ascii="Times New Roman" w:cs="Times New Roman" w:eastAsia="Times New Roman" w:hAnsi="Times New Roman"/>
                <w:sz w:val="22"/>
                <w:szCs w:val="22"/>
                <w:color w:val="auto"/>
              </w:rPr>
              <w:t>09/10/2025 500000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900000.00</w:t>
            </w:r>
          </w:p>
        </w:tc>
        <w:tc>
          <w:tcPr>
            <w:tcW w:w="0" w:type="dxa"/>
            <w:vAlign w:val="bottom"/>
          </w:tcPr>
          <w:p>
            <w:pPr>
              <w:spacing w:after="0"/>
              <w:rPr>
                <w:sz w:val="1"/>
                <w:szCs w:val="1"/>
                <w:color w:val="auto"/>
              </w:rPr>
            </w:pPr>
          </w:p>
        </w:tc>
      </w:tr>
      <w:tr>
        <w:trPr>
          <w:trHeight w:val="161"/>
        </w:trPr>
        <w:tc>
          <w:tcPr>
            <w:tcW w:w="3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54th Floor</w:t>
            </w: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60" w:type="dxa"/>
            <w:vAlign w:val="bottom"/>
            <w:vMerge w:val="continue"/>
          </w:tcPr>
          <w:p>
            <w:pPr>
              <w:spacing w:after="0"/>
              <w:rPr>
                <w:sz w:val="9"/>
                <w:szCs w:val="9"/>
                <w:color w:val="auto"/>
              </w:rPr>
            </w:pPr>
          </w:p>
        </w:tc>
        <w:tc>
          <w:tcPr>
            <w:tcW w:w="35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292" w:lineRule="exact"/>
        <w:rPr>
          <w:sz w:val="20"/>
          <w:szCs w:val="20"/>
          <w:color w:val="auto"/>
        </w:rPr>
      </w:pPr>
    </w:p>
    <w:p>
      <w:pPr>
        <w:ind w:left="960" w:right="180" w:hanging="919"/>
        <w:spacing w:after="0" w:line="189" w:lineRule="auto"/>
        <w:tabs>
          <w:tab w:leader="none" w:pos="940" w:val="left"/>
        </w:tabs>
        <w:rPr>
          <w:sz w:val="20"/>
          <w:szCs w:val="20"/>
          <w:color w:val="auto"/>
        </w:rPr>
      </w:pPr>
      <w:r>
        <w:rPr>
          <w:rFonts w:ascii="Times New Roman" w:cs="Times New Roman" w:eastAsia="Times New Roman" w:hAnsi="Times New Roman"/>
          <w:sz w:val="38"/>
          <w:szCs w:val="38"/>
          <w:color w:val="auto"/>
          <w:vertAlign w:val="subscript"/>
        </w:rPr>
        <w:t>Remarks</w:t>
      </w:r>
      <w:r>
        <w:rPr>
          <w:sz w:val="20"/>
          <w:szCs w:val="20"/>
          <w:color w:val="auto"/>
        </w:rPr>
        <w:tab/>
      </w:r>
      <w:r>
        <w:rPr>
          <w:rFonts w:ascii="Times New Roman" w:cs="Times New Roman" w:eastAsia="Times New Roman" w:hAnsi="Times New Roman"/>
          <w:sz w:val="20"/>
          <w:szCs w:val="20"/>
          <w:color w:val="auto"/>
        </w:rPr>
        <w:t>OrbiMed Capital GP V LLC is the general partner of OrbiMed Private Investments V, LP. OrbiMed Advisors LLC is the managing member of OrbiMed Capital GP V LLC.</w:t>
      </w:r>
    </w:p>
    <w:p>
      <w:pPr>
        <w:spacing w:after="0" w:line="6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10/23/2025</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9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ind w:left="960" w:right="360" w:hanging="917"/>
        <w:spacing w:after="0" w:line="181" w:lineRule="auto"/>
        <w:rPr>
          <w:sz w:val="20"/>
          <w:szCs w:val="20"/>
          <w:color w:val="auto"/>
        </w:rPr>
      </w:pPr>
      <w:r>
        <w:rPr>
          <w:rFonts w:ascii="Times New Roman" w:cs="Times New Roman" w:eastAsia="Times New Roman" w:hAnsi="Times New Roman"/>
          <w:sz w:val="41"/>
          <w:szCs w:val="41"/>
          <w:color w:val="auto"/>
          <w:vertAlign w:val="subscript"/>
        </w:rPr>
        <w:t>Signature</w:t>
      </w:r>
      <w:r>
        <w:rPr>
          <w:rFonts w:ascii="Times New Roman" w:cs="Times New Roman" w:eastAsia="Times New Roman" w:hAnsi="Times New Roman"/>
          <w:sz w:val="21"/>
          <w:szCs w:val="21"/>
          <w:color w:val="auto"/>
        </w:rPr>
        <w:t xml:space="preserve"> /s/ Douglas Coon, Chief Compliance Officer, OrbiMed Advisors LLC, managing member of the general partner of OrbiMed Private Investments V, LP</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2025-10-23T17:41:54Z</dcterms:created>
  <dcterms:modified xsi:type="dcterms:W3CDTF">2025-10-23T17:41:54Z</dcterms:modified>
</cp:coreProperties>
</file>