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100" w:type="dxa"/>
        <w:tblCellMar>
          <w:top w:w="0" w:type="dxa"/>
          <w:left w:w="0" w:type="dxa"/>
          <w:bottom w:w="0" w:type="dxa"/>
          <w:right w:w="0" w:type="dxa"/>
        </w:tblCellMar>
      </w:tblPr>
      <w:tr>
        <w:trPr>
          <w:trHeight w:val="22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4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92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92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9"/>
              </w:rPr>
              <w:t>Clarke Drive, Suite 3,</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Cranbury, NJ</w:t>
            </w:r>
          </w:p>
        </w:tc>
        <w:tc>
          <w:tcPr>
            <w:tcW w:w="2920" w:type="dxa"/>
            <w:vAlign w:val="bottom"/>
          </w:tcPr>
          <w:p>
            <w:pPr>
              <w:spacing w:after="0"/>
              <w:rPr>
                <w:sz w:val="19"/>
                <w:szCs w:val="19"/>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08512</w:t>
            </w:r>
          </w:p>
        </w:tc>
      </w:tr>
      <w:tr>
        <w:trPr>
          <w:trHeight w:val="178"/>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20" w:type="dxa"/>
            <w:vAlign w:val="bottom"/>
          </w:tcPr>
          <w:p>
            <w:pPr>
              <w:spacing w:after="0"/>
              <w:rPr>
                <w:sz w:val="15"/>
                <w:szCs w:val="15"/>
                <w:color w:val="auto"/>
              </w:rPr>
            </w:pP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162560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20" w:type="dxa"/>
            <w:vAlign w:val="bottom"/>
            <w:gridSpan w:val="2"/>
            <w:vMerge w:val="continue"/>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May 10, 2022, PMV Pharmaceuticals, Inc. issued a press release announcing its financial results for the first quarter ended June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attached as Exhibit 99.1 to this Current Report on Form 8-K and is incorporated herein by reference.</w:t>
      </w:r>
    </w:p>
    <w:p>
      <w:pPr>
        <w:spacing w:after="0" w:line="20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0440" w:type="dxa"/>
            <w:vAlign w:val="bottom"/>
            <w:gridSpan w:val="2"/>
            <w:vMerge w:val="restart"/>
          </w:tcPr>
          <w:p>
            <w:pPr>
              <w:ind w:left="4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4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PMV Pharmaceuticals, Inc., dated May 10, 2022.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580" w:right="4620" w:hanging="5572"/>
        <w:spacing w:after="0" w:line="783" w:lineRule="auto"/>
        <w:tabs>
          <w:tab w:leader="none" w:pos="8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52"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Winston Kung</w:t>
      </w:r>
    </w:p>
    <w:p>
      <w:pPr>
        <w:spacing w:after="0" w:line="3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Chief Operating Officer, and</w:t>
      </w:r>
    </w:p>
    <w:p>
      <w:pPr>
        <w:spacing w:after="0" w:line="23"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54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PMV Pharmaceuticals Reports First Quarter 2022 Financial Results and Corporate Highlights</w:t>
      </w:r>
    </w:p>
    <w:p>
      <w:pPr>
        <w:spacing w:after="0" w:line="322" w:lineRule="exact"/>
        <w:rPr>
          <w:sz w:val="20"/>
          <w:szCs w:val="20"/>
          <w:color w:val="auto"/>
        </w:rPr>
      </w:pPr>
    </w:p>
    <w:p>
      <w:pPr>
        <w:ind w:left="880" w:right="20" w:hanging="440"/>
        <w:spacing w:after="0" w:line="268" w:lineRule="auto"/>
        <w:tabs>
          <w:tab w:leader="none" w:pos="8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Oral presentation at 2022 ASCO annual meeting to highlight initial data from ongoing Phase 1/2 PYNNACLE study of PC14586 in patients with advanced solid tumors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CRANBURY, N.J., May 10, 2022 (GLOBE NEWSWIRE) -- PMV Pharmaceuticals, Inc. (Nasdaq: PMVP), a precision oncology company pioneering the discovery and development of small molecule, tumor-agnostic therapies targeting p53, today reported financial results for the first quarter ended March 31, 2022, and provided a corporate update.</w:t>
      </w:r>
    </w:p>
    <w:p>
      <w:pPr>
        <w:spacing w:after="0" w:line="19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priority in 2022 is execution of the ongoing Phase 1/2 trial evaluating PC14586, our investigational first-in-class p53 Y220C reactivator, in patients with solid tumors, as well as continued progress on our pipeline” said David Mack, Ph.D., President, and Chief Executive Officer. “We look forward to presenting initial data from the Phase 1 dose escalation trial at the 2022 ASCO annual meeting.”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w:t>
      </w:r>
    </w:p>
    <w:p>
      <w:pPr>
        <w:spacing w:after="0" w:line="320" w:lineRule="exact"/>
        <w:rPr>
          <w:sz w:val="20"/>
          <w:szCs w:val="20"/>
          <w:color w:val="auto"/>
        </w:rPr>
      </w:pPr>
    </w:p>
    <w:p>
      <w:pPr>
        <w:jc w:val="both"/>
        <w:ind w:left="880" w:right="20" w:hanging="440"/>
        <w:spacing w:after="0" w:line="252" w:lineRule="auto"/>
        <w:tabs>
          <w:tab w:leader="none" w:pos="8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PC14586 initial data from the dose escalation portion of the Phase 1/2 PYNNACLE study selected for an oral presentation at the 2022 ASCO annual meeting on June 7</w:t>
      </w:r>
      <w:r>
        <w:rPr>
          <w:rFonts w:ascii="Arial" w:cs="Arial" w:eastAsia="Arial" w:hAnsi="Arial"/>
          <w:sz w:val="15"/>
          <w:szCs w:val="15"/>
          <w:color w:val="auto"/>
        </w:rPr>
        <w:t>th</w:t>
      </w:r>
      <w:r>
        <w:rPr>
          <w:rFonts w:ascii="Arial" w:cs="Arial" w:eastAsia="Arial" w:hAnsi="Arial"/>
          <w:sz w:val="18"/>
          <w:szCs w:val="18"/>
          <w:color w:val="auto"/>
        </w:rPr>
        <w:t>. For more information on the Phase 1/2 trial, refer to www.clinicaltrials.gov (NCT study identifier NCT04585750).</w:t>
      </w:r>
    </w:p>
    <w:p>
      <w:pPr>
        <w:spacing w:after="0" w:line="62" w:lineRule="exact"/>
        <w:rPr>
          <w:rFonts w:ascii="Times New Roman" w:cs="Times New Roman" w:eastAsia="Times New Roman" w:hAnsi="Times New Roman"/>
          <w:sz w:val="18"/>
          <w:szCs w:val="18"/>
          <w:color w:val="auto"/>
        </w:rPr>
      </w:pPr>
    </w:p>
    <w:p>
      <w:pPr>
        <w:ind w:left="880" w:right="20" w:hanging="440"/>
        <w:spacing w:after="0" w:line="270" w:lineRule="auto"/>
        <w:tabs>
          <w:tab w:leader="none" w:pos="8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Poster titled “Small Molecule Reactivators of Y220C Mutant p53 Modulate Tumor Infiltrating Leukocytes and Synergize with Immune Checkpoint Inhibitors” presented at the American Association of Cancer Research Annual Meeting 2022.</w:t>
      </w:r>
    </w:p>
    <w:p>
      <w:pPr>
        <w:spacing w:after="0" w:line="46" w:lineRule="exact"/>
        <w:rPr>
          <w:rFonts w:ascii="Times New Roman" w:cs="Times New Roman" w:eastAsia="Times New Roman" w:hAnsi="Times New Roman"/>
          <w:sz w:val="18"/>
          <w:szCs w:val="18"/>
          <w:color w:val="auto"/>
        </w:rPr>
      </w:pPr>
    </w:p>
    <w:p>
      <w:pPr>
        <w:ind w:left="880" w:right="20" w:hanging="440"/>
        <w:spacing w:after="0" w:line="254" w:lineRule="auto"/>
        <w:tabs>
          <w:tab w:leader="none" w:pos="8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Continued progress on research pipeline with WIP1 (Wild-Type p53-Induced Phosphatase) inhibitor and p53 mutant programs.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Financial Results</w:t>
      </w:r>
    </w:p>
    <w:p>
      <w:pPr>
        <w:spacing w:after="0" w:line="320" w:lineRule="exact"/>
        <w:rPr>
          <w:sz w:val="20"/>
          <w:szCs w:val="20"/>
          <w:color w:val="auto"/>
        </w:rPr>
      </w:pPr>
    </w:p>
    <w:p>
      <w:pPr>
        <w:jc w:val="both"/>
        <w:ind w:left="880" w:right="20" w:hanging="440"/>
        <w:spacing w:after="0" w:line="252" w:lineRule="auto"/>
        <w:tabs>
          <w:tab w:leader="none" w:pos="8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As of March 31, 2022, PMV Pharma had $294.8 million in cash, cash equivalents, and marketable securities, compared to $314.1 million as of December 31, 2021. Net cash used in operations was $18.0 million for the three months ended March 31, 2022 compared to $12.9 million for the three months ended March 31, 2021.</w:t>
      </w:r>
    </w:p>
    <w:p>
      <w:pPr>
        <w:spacing w:after="0" w:line="62" w:lineRule="exact"/>
        <w:rPr>
          <w:rFonts w:ascii="Times New Roman" w:cs="Times New Roman" w:eastAsia="Times New Roman" w:hAnsi="Times New Roman"/>
          <w:sz w:val="18"/>
          <w:szCs w:val="18"/>
          <w:color w:val="auto"/>
        </w:rPr>
      </w:pPr>
    </w:p>
    <w:p>
      <w:pPr>
        <w:ind w:left="880" w:right="20" w:hanging="440"/>
        <w:spacing w:after="0" w:line="254" w:lineRule="auto"/>
        <w:tabs>
          <w:tab w:leader="none" w:pos="8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quarter ended March 31, 2022 was $18.4 million compared to $11.6 million for the quarter ended March 31, 2021.</w:t>
      </w:r>
    </w:p>
    <w:p>
      <w:pPr>
        <w:spacing w:after="0" w:line="293" w:lineRule="exact"/>
        <w:rPr>
          <w:rFonts w:ascii="Times New Roman" w:cs="Times New Roman" w:eastAsia="Times New Roman" w:hAnsi="Times New Roman"/>
          <w:sz w:val="18"/>
          <w:szCs w:val="18"/>
          <w:color w:val="auto"/>
        </w:rPr>
      </w:pPr>
    </w:p>
    <w:p>
      <w:pPr>
        <w:jc w:val="both"/>
        <w:ind w:left="880" w:right="20" w:hanging="440"/>
        <w:spacing w:after="0" w:line="252" w:lineRule="auto"/>
        <w:tabs>
          <w:tab w:leader="none" w:pos="8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$11.8 million for the quarter ended March 31, 2022 compared to $7.5 million for the quarter ended March 31, 2021. The increase in R&amp;D expenses was primarily related to increased headcount and clinical development expenses to advance PC14586, the Company’s lead drug candidate.</w:t>
      </w:r>
    </w:p>
    <w:p>
      <w:pPr>
        <w:spacing w:after="0" w:line="62" w:lineRule="exact"/>
        <w:rPr>
          <w:rFonts w:ascii="Times New Roman" w:cs="Times New Roman" w:eastAsia="Times New Roman" w:hAnsi="Times New Roman"/>
          <w:sz w:val="18"/>
          <w:szCs w:val="18"/>
          <w:color w:val="auto"/>
        </w:rPr>
      </w:pPr>
    </w:p>
    <w:p>
      <w:pPr>
        <w:jc w:val="both"/>
        <w:ind w:left="880" w:hanging="440"/>
        <w:spacing w:after="0" w:line="252" w:lineRule="auto"/>
        <w:tabs>
          <w:tab w:leader="none" w:pos="8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(G&amp;A) expenses were $6.8 million for the quarter ended March 31, 2022, compared to $4.2 million for the quarter ended March 31, 2021. The increase in G&amp;A expenses was primarily due to expanding the infrastructure necessary for operating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PC14586</w:t>
      </w:r>
    </w:p>
    <w:p>
      <w:pPr>
        <w:spacing w:after="0" w:line="3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PC14586 is a first-in-class, small molecule, p53 reactivator designed to selectively bind to the crevice present in the p53 Y220C mutant protein, hence, restoring the wild -type, or normal, p53 protein structure and tumor-suppressing function. PC14586 is being developed for the treatment of patients with locally advanced or metastatic solid tumors that have a p53 Y220C mutation. For more information on the Phase 1/2 PYNNACLE trial (PMV-586-101), refer to www.clinicaltrials.gov (NCT study identifier NCT04585750).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320"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 xml:space="preserve">PMV Pharma is a precision oncology company pioneering the discovery and development of small molecule, tumor-agnostic therapies targeting p53.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pharmaceutical development focus. PMV Pharma is headquartered in Cranbury, New Jersey. For more information, please visit </w:t>
      </w:r>
      <w:r>
        <w:rPr>
          <w:rFonts w:ascii="Arial" w:cs="Arial" w:eastAsia="Arial" w:hAnsi="Arial"/>
          <w:sz w:val="18"/>
          <w:szCs w:val="18"/>
          <w:u w:val="single" w:color="auto"/>
          <w:color w:val="03AFFD"/>
        </w:rPr>
        <w:t>www.pmvpharma.com</w:t>
      </w:r>
      <w:r>
        <w:rPr>
          <w:rFonts w:ascii="Arial" w:cs="Arial" w:eastAsia="Arial" w:hAnsi="Arial"/>
          <w:sz w:val="18"/>
          <w:szCs w:val="18"/>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Statements contained in this press release regarding matters that are not historical facts are “forward -looking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success of its current clinical trial for PC14586 and any future commercialization plans for the product candidate; and the future plans or expectations for the Company’s discovery platform for its other early-stage and clinical candidates.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1, 2022, the Company’s Quarterly Report on Form 10-Q filed with the SEC on May 10, 2022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PMV Pharmaceuticals,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w:t>
      </w:r>
    </w:p>
    <w:p>
      <w:pPr>
        <w:jc w:val="center"/>
        <w:ind w:right="2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72"/>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7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4"/>
                <w:szCs w:val="14"/>
                <w:color w:val="auto"/>
              </w:rPr>
            </w:pPr>
          </w:p>
        </w:tc>
        <w:tc>
          <w:tcPr>
            <w:tcW w:w="134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76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CFF"/>
          </w:tcPr>
          <w:p>
            <w:pPr>
              <w:spacing w:after="0"/>
              <w:rPr>
                <w:sz w:val="18"/>
                <w:szCs w:val="18"/>
                <w:color w:val="auto"/>
              </w:rPr>
            </w:pPr>
          </w:p>
        </w:tc>
        <w:tc>
          <w:tcPr>
            <w:tcW w:w="1340" w:type="dxa"/>
            <w:vAlign w:val="bottom"/>
            <w:tcBorders>
              <w:top w:val="single" w:sz="8" w:color="auto"/>
            </w:tcBorders>
            <w:shd w:val="clear" w:color="auto" w:fill="CCECFF"/>
          </w:tcPr>
          <w:p>
            <w:pPr>
              <w:spacing w:after="0"/>
              <w:rPr>
                <w:sz w:val="18"/>
                <w:szCs w:val="18"/>
                <w:color w:val="auto"/>
              </w:rPr>
            </w:pPr>
          </w:p>
        </w:tc>
        <w:tc>
          <w:tcPr>
            <w:tcW w:w="340" w:type="dxa"/>
            <w:vAlign w:val="bottom"/>
            <w:tcBorders>
              <w:top w:val="single" w:sz="8" w:color="CCECFF"/>
            </w:tcBorders>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1340" w:type="dxa"/>
            <w:vAlign w:val="bottom"/>
            <w:tcBorders>
              <w:top w:val="single" w:sz="8" w:color="auto"/>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115,772</w:t>
            </w:r>
          </w:p>
        </w:tc>
        <w:tc>
          <w:tcPr>
            <w:tcW w:w="340" w:type="dxa"/>
            <w:vAlign w:val="bottom"/>
            <w:shd w:val="clear" w:color="auto" w:fill="CCECFF"/>
          </w:tcPr>
          <w:p>
            <w:pPr>
              <w:spacing w:after="0"/>
              <w:rPr>
                <w:sz w:val="18"/>
                <w:szCs w:val="18"/>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172,467</w:t>
            </w:r>
          </w:p>
        </w:tc>
        <w:tc>
          <w:tcPr>
            <w:tcW w:w="100" w:type="dxa"/>
            <w:vAlign w:val="bottom"/>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Marketable securities, current</w:t>
            </w:r>
          </w:p>
        </w:tc>
        <w:tc>
          <w:tcPr>
            <w:tcW w:w="240" w:type="dxa"/>
            <w:vAlign w:val="bottom"/>
            <w:shd w:val="clear" w:color="auto" w:fill="CCECFF"/>
          </w:tcPr>
          <w:p>
            <w:pPr>
              <w:spacing w:after="0"/>
              <w:rPr>
                <w:sz w:val="18"/>
                <w:szCs w:val="18"/>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167,221</w:t>
            </w:r>
          </w:p>
        </w:tc>
        <w:tc>
          <w:tcPr>
            <w:tcW w:w="3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124,696</w:t>
            </w:r>
          </w:p>
        </w:tc>
        <w:tc>
          <w:tcPr>
            <w:tcW w:w="100" w:type="dxa"/>
            <w:vAlign w:val="bottom"/>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tcBorders>
              <w:bottom w:val="single" w:sz="8" w:color="CCECFF"/>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340" w:type="dxa"/>
            <w:vAlign w:val="bottom"/>
            <w:tcBorders>
              <w:bottom w:val="single" w:sz="8" w:color="CCEC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CFF"/>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7680" w:type="dxa"/>
            <w:vAlign w:val="bottom"/>
            <w:shd w:val="clear" w:color="auto" w:fill="CCEC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CFF"/>
          </w:tcPr>
          <w:p>
            <w:pPr>
              <w:spacing w:after="0"/>
              <w:rPr>
                <w:sz w:val="18"/>
                <w:szCs w:val="18"/>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288,040</w:t>
            </w:r>
          </w:p>
        </w:tc>
        <w:tc>
          <w:tcPr>
            <w:tcW w:w="3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301,286</w:t>
            </w:r>
          </w:p>
        </w:tc>
        <w:tc>
          <w:tcPr>
            <w:tcW w:w="100" w:type="dxa"/>
            <w:vAlign w:val="bottom"/>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5,238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shd w:val="clear" w:color="auto" w:fill="CCECFF"/>
          </w:tcPr>
          <w:p>
            <w:pPr>
              <w:spacing w:after="0"/>
              <w:rPr>
                <w:sz w:val="20"/>
                <w:szCs w:val="20"/>
                <w:color w:val="auto"/>
              </w:rPr>
            </w:pPr>
            <w:r>
              <w:rPr>
                <w:rFonts w:ascii="Arial" w:cs="Arial" w:eastAsia="Arial" w:hAnsi="Arial"/>
                <w:sz w:val="18"/>
                <w:szCs w:val="18"/>
                <w:color w:val="auto"/>
              </w:rPr>
              <w:t>Marketable securities, noncurrent</w:t>
            </w:r>
          </w:p>
        </w:tc>
        <w:tc>
          <w:tcPr>
            <w:tcW w:w="240" w:type="dxa"/>
            <w:vAlign w:val="bottom"/>
            <w:shd w:val="clear" w:color="auto" w:fill="CCECFF"/>
          </w:tcPr>
          <w:p>
            <w:pPr>
              <w:spacing w:after="0"/>
              <w:rPr>
                <w:sz w:val="18"/>
                <w:szCs w:val="18"/>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11,773</w:t>
            </w:r>
          </w:p>
        </w:tc>
        <w:tc>
          <w:tcPr>
            <w:tcW w:w="3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16,911</w:t>
            </w:r>
          </w:p>
        </w:tc>
        <w:tc>
          <w:tcPr>
            <w:tcW w:w="100" w:type="dxa"/>
            <w:vAlign w:val="bottom"/>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9,736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shd w:val="clear" w:color="auto" w:fill="CCEC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CFF"/>
          </w:tcPr>
          <w:p>
            <w:pPr>
              <w:spacing w:after="0"/>
              <w:rPr>
                <w:sz w:val="18"/>
                <w:szCs w:val="18"/>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221</w:t>
            </w:r>
          </w:p>
        </w:tc>
        <w:tc>
          <w:tcPr>
            <w:tcW w:w="340" w:type="dxa"/>
            <w:vAlign w:val="bottom"/>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49"/>
        </w:trPr>
        <w:tc>
          <w:tcPr>
            <w:tcW w:w="768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315,008</w:t>
            </w:r>
          </w:p>
        </w:tc>
        <w:tc>
          <w:tcPr>
            <w:tcW w:w="340" w:type="dxa"/>
            <w:vAlign w:val="bottom"/>
            <w:tcBorders>
              <w:bottom w:val="single" w:sz="8" w:color="CCEC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331,568</w:t>
            </w:r>
          </w:p>
        </w:tc>
        <w:tc>
          <w:tcPr>
            <w:tcW w:w="100" w:type="dxa"/>
            <w:vAlign w:val="bottom"/>
            <w:tcBorders>
              <w:bottom w:val="single" w:sz="8" w:color="CCECFF"/>
            </w:tcBorders>
          </w:tcPr>
          <w:p>
            <w:pPr>
              <w:spacing w:after="0"/>
              <w:rPr>
                <w:sz w:val="21"/>
                <w:szCs w:val="21"/>
                <w:color w:val="auto"/>
              </w:rPr>
            </w:pPr>
          </w:p>
        </w:tc>
        <w:tc>
          <w:tcPr>
            <w:tcW w:w="20" w:type="dxa"/>
            <w:vAlign w:val="bottom"/>
          </w:tcPr>
          <w:p>
            <w:pPr>
              <w:spacing w:after="0"/>
              <w:rPr>
                <w:sz w:val="21"/>
                <w:szCs w:val="21"/>
                <w:color w:val="auto"/>
              </w:rPr>
            </w:pPr>
          </w:p>
        </w:tc>
      </w:tr>
      <w:tr>
        <w:trPr>
          <w:trHeight w:val="197"/>
        </w:trPr>
        <w:tc>
          <w:tcPr>
            <w:tcW w:w="7680" w:type="dxa"/>
            <w:vAlign w:val="bottom"/>
            <w:shd w:val="clear" w:color="auto" w:fill="CCEC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CFF"/>
          </w:tcPr>
          <w:p>
            <w:pPr>
              <w:spacing w:after="0"/>
              <w:rPr>
                <w:sz w:val="17"/>
                <w:szCs w:val="17"/>
                <w:color w:val="auto"/>
              </w:rPr>
            </w:pPr>
          </w:p>
        </w:tc>
        <w:tc>
          <w:tcPr>
            <w:tcW w:w="134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3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4,864</w:t>
            </w:r>
          </w:p>
        </w:tc>
        <w:tc>
          <w:tcPr>
            <w:tcW w:w="340" w:type="dxa"/>
            <w:vAlign w:val="bottom"/>
            <w:shd w:val="clear" w:color="auto" w:fill="CCECFF"/>
          </w:tcPr>
          <w:p>
            <w:pPr>
              <w:spacing w:after="0"/>
              <w:rPr>
                <w:sz w:val="18"/>
                <w:szCs w:val="18"/>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3,189</w:t>
            </w:r>
          </w:p>
        </w:tc>
        <w:tc>
          <w:tcPr>
            <w:tcW w:w="100" w:type="dxa"/>
            <w:vAlign w:val="bottom"/>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6,563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Operating lease liability, current</w:t>
            </w:r>
          </w:p>
        </w:tc>
        <w:tc>
          <w:tcPr>
            <w:tcW w:w="240" w:type="dxa"/>
            <w:vAlign w:val="bottom"/>
            <w:tcBorders>
              <w:bottom w:val="single" w:sz="8" w:color="auto"/>
            </w:tcBorders>
            <w:shd w:val="clear" w:color="auto" w:fill="CCECFF"/>
          </w:tcPr>
          <w:p>
            <w:pPr>
              <w:spacing w:after="0"/>
              <w:rPr>
                <w:sz w:val="18"/>
                <w:szCs w:val="18"/>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258</w:t>
            </w:r>
          </w:p>
        </w:tc>
        <w:tc>
          <w:tcPr>
            <w:tcW w:w="340" w:type="dxa"/>
            <w:vAlign w:val="bottom"/>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76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11,685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shd w:val="clear" w:color="auto" w:fill="CCECFF"/>
          </w:tcPr>
          <w:p>
            <w:pPr>
              <w:spacing w:after="0"/>
              <w:rPr>
                <w:sz w:val="20"/>
                <w:szCs w:val="20"/>
                <w:color w:val="auto"/>
              </w:rPr>
            </w:pPr>
            <w:r>
              <w:rPr>
                <w:rFonts w:ascii="Arial" w:cs="Arial" w:eastAsia="Arial" w:hAnsi="Arial"/>
                <w:sz w:val="18"/>
                <w:szCs w:val="18"/>
                <w:color w:val="auto"/>
              </w:rPr>
              <w:t>Operating lease liability, noncurrent</w:t>
            </w:r>
          </w:p>
        </w:tc>
        <w:tc>
          <w:tcPr>
            <w:tcW w:w="240" w:type="dxa"/>
            <w:vAlign w:val="bottom"/>
            <w:tcBorders>
              <w:bottom w:val="single" w:sz="8" w:color="auto"/>
            </w:tcBorders>
            <w:shd w:val="clear" w:color="auto" w:fill="CCECFF"/>
          </w:tcPr>
          <w:p>
            <w:pPr>
              <w:spacing w:after="0"/>
              <w:rPr>
                <w:sz w:val="18"/>
                <w:szCs w:val="18"/>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11,480</w:t>
            </w:r>
          </w:p>
        </w:tc>
        <w:tc>
          <w:tcPr>
            <w:tcW w:w="340" w:type="dxa"/>
            <w:vAlign w:val="bottom"/>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10,790</w:t>
            </w:r>
          </w:p>
        </w:tc>
        <w:tc>
          <w:tcPr>
            <w:tcW w:w="100" w:type="dxa"/>
            <w:vAlign w:val="bottom"/>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768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23,165</w:t>
            </w:r>
          </w:p>
        </w:tc>
        <w:tc>
          <w:tcPr>
            <w:tcW w:w="340" w:type="dxa"/>
            <w:vAlign w:val="bottom"/>
            <w:tcBorders>
              <w:bottom w:val="single" w:sz="8" w:color="CCEC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23,009</w:t>
            </w:r>
          </w:p>
        </w:tc>
        <w:tc>
          <w:tcPr>
            <w:tcW w:w="100" w:type="dxa"/>
            <w:vAlign w:val="bottom"/>
            <w:tcBorders>
              <w:bottom w:val="single" w:sz="8" w:color="CCEC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7680" w:type="dxa"/>
            <w:vAlign w:val="bottom"/>
            <w:shd w:val="clear" w:color="auto" w:fill="CCEC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CFF"/>
          </w:tcPr>
          <w:p>
            <w:pPr>
              <w:spacing w:after="0"/>
              <w:rPr>
                <w:sz w:val="18"/>
                <w:szCs w:val="18"/>
                <w:color w:val="auto"/>
              </w:rPr>
            </w:pPr>
          </w:p>
        </w:tc>
        <w:tc>
          <w:tcPr>
            <w:tcW w:w="134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CFF"/>
          </w:tcPr>
          <w:p>
            <w:pPr>
              <w:spacing w:after="0"/>
              <w:rPr>
                <w:sz w:val="18"/>
                <w:szCs w:val="18"/>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478,668</w:t>
            </w:r>
          </w:p>
        </w:tc>
        <w:tc>
          <w:tcPr>
            <w:tcW w:w="3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476,363</w:t>
            </w:r>
          </w:p>
        </w:tc>
        <w:tc>
          <w:tcPr>
            <w:tcW w:w="100" w:type="dxa"/>
            <w:vAlign w:val="bottom"/>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(186,159)</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(167,726)</w:t>
            </w:r>
          </w:p>
        </w:tc>
        <w:tc>
          <w:tcPr>
            <w:tcW w:w="20" w:type="dxa"/>
            <w:vAlign w:val="bottom"/>
          </w:tcPr>
          <w:p>
            <w:pPr>
              <w:spacing w:after="0"/>
              <w:rPr>
                <w:sz w:val="18"/>
                <w:szCs w:val="18"/>
                <w:color w:val="auto"/>
              </w:rPr>
            </w:pPr>
          </w:p>
        </w:tc>
      </w:tr>
      <w:tr>
        <w:trPr>
          <w:trHeight w:val="216"/>
        </w:trPr>
        <w:tc>
          <w:tcPr>
            <w:tcW w:w="7680" w:type="dxa"/>
            <w:vAlign w:val="bottom"/>
            <w:shd w:val="clear" w:color="auto" w:fill="CCECFF"/>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CFF"/>
          </w:tcPr>
          <w:p>
            <w:pPr>
              <w:spacing w:after="0"/>
              <w:rPr>
                <w:sz w:val="18"/>
                <w:szCs w:val="18"/>
                <w:color w:val="auto"/>
              </w:rPr>
            </w:pPr>
          </w:p>
        </w:tc>
        <w:tc>
          <w:tcPr>
            <w:tcW w:w="168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CFF"/>
          </w:tcPr>
          <w:p>
            <w:pPr>
              <w:spacing w:after="0"/>
              <w:rPr>
                <w:sz w:val="18"/>
                <w:szCs w:val="18"/>
                <w:color w:val="auto"/>
              </w:rPr>
            </w:pPr>
          </w:p>
        </w:tc>
        <w:tc>
          <w:tcPr>
            <w:tcW w:w="14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r>
        <w:trPr>
          <w:trHeight w:val="210"/>
        </w:trPr>
        <w:tc>
          <w:tcPr>
            <w:tcW w:w="7680" w:type="dxa"/>
            <w:vAlign w:val="bottom"/>
            <w:tcBorders>
              <w:bottom w:val="single" w:sz="8" w:color="CCECFF"/>
            </w:tcBorders>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291,843</w:t>
            </w:r>
          </w:p>
        </w:tc>
        <w:tc>
          <w:tcPr>
            <w:tcW w:w="340" w:type="dxa"/>
            <w:vAlign w:val="bottom"/>
            <w:tcBorders>
              <w:bottom w:val="single" w:sz="8" w:color="CCEC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308,559</w:t>
            </w:r>
          </w:p>
        </w:tc>
        <w:tc>
          <w:tcPr>
            <w:tcW w:w="100" w:type="dxa"/>
            <w:vAlign w:val="bottom"/>
            <w:tcBorders>
              <w:bottom w:val="single" w:sz="8" w:color="CCEC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76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315,008</w:t>
            </w:r>
          </w:p>
        </w:tc>
        <w:tc>
          <w:tcPr>
            <w:tcW w:w="34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331,568</w:t>
            </w:r>
          </w:p>
        </w:tc>
        <w:tc>
          <w:tcPr>
            <w:tcW w:w="100" w:type="dxa"/>
            <w:vAlign w:val="bottom"/>
            <w:tcBorders>
              <w:bottom w:val="single" w:sz="8" w:color="CCECFF"/>
            </w:tcBorders>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7"/>
        </w:trPr>
        <w:tc>
          <w:tcPr>
            <w:tcW w:w="7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0"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6160" w:type="dxa"/>
            <w:vAlign w:val="bottom"/>
            <w:tcBorders>
              <w:bottom w:val="single" w:sz="8" w:color="CCECFF"/>
            </w:tcBorders>
          </w:tcPr>
          <w:p>
            <w:pPr>
              <w:spacing w:after="0"/>
              <w:rPr>
                <w:sz w:val="14"/>
                <w:szCs w:val="14"/>
                <w:color w:val="auto"/>
              </w:rPr>
            </w:pPr>
          </w:p>
        </w:tc>
        <w:tc>
          <w:tcPr>
            <w:tcW w:w="1580" w:type="dxa"/>
            <w:vAlign w:val="bottom"/>
            <w:tcBorders>
              <w:bottom w:val="single" w:sz="8" w:color="CCEC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CFF"/>
            </w:tcBorders>
          </w:tcPr>
          <w:p>
            <w:pPr>
              <w:spacing w:after="0"/>
              <w:rPr>
                <w:sz w:val="14"/>
                <w:szCs w:val="14"/>
                <w:color w:val="auto"/>
              </w:rPr>
            </w:pPr>
          </w:p>
        </w:tc>
        <w:tc>
          <w:tcPr>
            <w:tcW w:w="120" w:type="dxa"/>
            <w:vAlign w:val="bottom"/>
            <w:tcBorders>
              <w:top w:val="single" w:sz="8" w:color="auto"/>
              <w:bottom w:val="single" w:sz="8" w:color="CCEC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CFF"/>
            </w:tcBorders>
          </w:tcPr>
          <w:p>
            <w:pPr>
              <w:spacing w:after="0"/>
              <w:rPr>
                <w:sz w:val="14"/>
                <w:szCs w:val="14"/>
                <w:color w:val="auto"/>
              </w:rPr>
            </w:pPr>
          </w:p>
        </w:tc>
      </w:tr>
      <w:tr>
        <w:trPr>
          <w:trHeight w:val="209"/>
        </w:trPr>
        <w:tc>
          <w:tcPr>
            <w:tcW w:w="6160" w:type="dxa"/>
            <w:vAlign w:val="bottom"/>
            <w:shd w:val="clear" w:color="auto" w:fill="CCECFF"/>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61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11,836</w:t>
            </w:r>
          </w:p>
        </w:tc>
        <w:tc>
          <w:tcPr>
            <w:tcW w:w="16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r>
      <w:tr>
        <w:trPr>
          <w:trHeight w:val="216"/>
        </w:trPr>
        <w:tc>
          <w:tcPr>
            <w:tcW w:w="61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spacing w:after="0"/>
              <w:rPr>
                <w:sz w:val="18"/>
                <w:szCs w:val="18"/>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6,783</w:t>
            </w: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spacing w:after="0"/>
              <w:rPr>
                <w:sz w:val="18"/>
                <w:szCs w:val="18"/>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4,174</w:t>
            </w:r>
          </w:p>
        </w:tc>
        <w:tc>
          <w:tcPr>
            <w:tcW w:w="100" w:type="dxa"/>
            <w:vAlign w:val="bottom"/>
            <w:shd w:val="clear" w:color="auto" w:fill="CCECFF"/>
          </w:tcPr>
          <w:p>
            <w:pPr>
              <w:spacing w:after="0"/>
              <w:rPr>
                <w:sz w:val="18"/>
                <w:szCs w:val="18"/>
                <w:color w:val="auto"/>
              </w:rPr>
            </w:pPr>
          </w:p>
        </w:tc>
      </w:tr>
      <w:tr>
        <w:trPr>
          <w:trHeight w:val="210"/>
        </w:trPr>
        <w:tc>
          <w:tcPr>
            <w:tcW w:w="6160" w:type="dxa"/>
            <w:vAlign w:val="bottom"/>
            <w:tcBorders>
              <w:bottom w:val="single" w:sz="8" w:color="CCECFF"/>
            </w:tcBorders>
          </w:tcPr>
          <w:p>
            <w:pPr>
              <w:ind w:left="50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CCEC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18,619</w:t>
            </w:r>
          </w:p>
        </w:tc>
        <w:tc>
          <w:tcPr>
            <w:tcW w:w="160" w:type="dxa"/>
            <w:vAlign w:val="bottom"/>
            <w:tcBorders>
              <w:bottom w:val="single" w:sz="8" w:color="CCECFF"/>
            </w:tcBorders>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tcBorders>
              <w:bottom w:val="single" w:sz="8" w:color="CCECFF"/>
            </w:tcBorders>
          </w:tcPr>
          <w:p>
            <w:pPr>
              <w:spacing w:after="0"/>
              <w:rPr>
                <w:sz w:val="18"/>
                <w:szCs w:val="18"/>
                <w:color w:val="auto"/>
              </w:rPr>
            </w:pPr>
          </w:p>
        </w:tc>
      </w:tr>
      <w:tr>
        <w:trPr>
          <w:trHeight w:val="209"/>
        </w:trPr>
        <w:tc>
          <w:tcPr>
            <w:tcW w:w="61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(18,619)</w:t>
            </w: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shd w:val="clear" w:color="auto" w:fill="CCEC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CFF"/>
          </w:tcPr>
          <w:p>
            <w:pPr>
              <w:ind w:left="260"/>
              <w:spacing w:after="0"/>
              <w:rPr>
                <w:sz w:val="20"/>
                <w:szCs w:val="20"/>
                <w:color w:val="auto"/>
              </w:rPr>
            </w:pPr>
            <w:r>
              <w:rPr>
                <w:rFonts w:ascii="Arial" w:cs="Arial" w:eastAsia="Arial" w:hAnsi="Arial"/>
                <w:sz w:val="18"/>
                <w:szCs w:val="18"/>
                <w:color w:val="auto"/>
              </w:rPr>
              <w:t>Interest income, net</w:t>
            </w:r>
          </w:p>
        </w:tc>
        <w:tc>
          <w:tcPr>
            <w:tcW w:w="15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CFF"/>
          </w:tcPr>
          <w:p>
            <w:pPr>
              <w:spacing w:after="0"/>
              <w:rPr>
                <w:sz w:val="18"/>
                <w:szCs w:val="18"/>
                <w:color w:val="auto"/>
              </w:rPr>
            </w:pPr>
          </w:p>
        </w:tc>
      </w:tr>
      <w:tr>
        <w:trPr>
          <w:trHeight w:val="216"/>
        </w:trPr>
        <w:tc>
          <w:tcPr>
            <w:tcW w:w="616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09"/>
        </w:trPr>
        <w:tc>
          <w:tcPr>
            <w:tcW w:w="6160" w:type="dxa"/>
            <w:vAlign w:val="bottom"/>
            <w:tcBorders>
              <w:top w:val="single" w:sz="8" w:color="CCECFF"/>
            </w:tcBorders>
            <w:shd w:val="clear" w:color="auto" w:fill="CCECFF"/>
          </w:tcPr>
          <w:p>
            <w:pPr>
              <w:ind w:left="500"/>
              <w:spacing w:after="0"/>
              <w:rPr>
                <w:sz w:val="20"/>
                <w:szCs w:val="20"/>
                <w:color w:val="auto"/>
              </w:rPr>
            </w:pPr>
            <w:r>
              <w:rPr>
                <w:rFonts w:ascii="Arial" w:cs="Arial" w:eastAsia="Arial" w:hAnsi="Arial"/>
                <w:sz w:val="18"/>
                <w:szCs w:val="18"/>
                <w:color w:val="auto"/>
              </w:rPr>
              <w:t>Total other income (expense)</w:t>
            </w:r>
          </w:p>
        </w:tc>
        <w:tc>
          <w:tcPr>
            <w:tcW w:w="1580" w:type="dxa"/>
            <w:vAlign w:val="bottom"/>
            <w:tcBorders>
              <w:top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spacing w:after="0"/>
              <w:rPr>
                <w:sz w:val="18"/>
                <w:szCs w:val="18"/>
                <w:color w:val="auto"/>
              </w:rPr>
            </w:pP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CFF"/>
            </w:tcBorders>
            <w:shd w:val="clear" w:color="auto" w:fill="CCECFF"/>
          </w:tcPr>
          <w:p>
            <w:pPr>
              <w:spacing w:after="0"/>
              <w:rPr>
                <w:sz w:val="18"/>
                <w:szCs w:val="18"/>
                <w:color w:val="auto"/>
              </w:rPr>
            </w:pPr>
          </w:p>
        </w:tc>
        <w:tc>
          <w:tcPr>
            <w:tcW w:w="120" w:type="dxa"/>
            <w:vAlign w:val="bottom"/>
            <w:tcBorders>
              <w:top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spacing w:after="0"/>
              <w:rPr>
                <w:sz w:val="18"/>
                <w:szCs w:val="18"/>
                <w:color w:val="auto"/>
              </w:rPr>
            </w:pP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CFF"/>
            </w:tcBorders>
            <w:shd w:val="clear" w:color="auto" w:fill="CCECFF"/>
          </w:tcPr>
          <w:p>
            <w:pPr>
              <w:spacing w:after="0"/>
              <w:rPr>
                <w:sz w:val="18"/>
                <w:szCs w:val="18"/>
                <w:color w:val="auto"/>
              </w:rPr>
            </w:pPr>
          </w:p>
        </w:tc>
      </w:tr>
      <w:tr>
        <w:trPr>
          <w:trHeight w:val="210"/>
        </w:trPr>
        <w:tc>
          <w:tcPr>
            <w:tcW w:w="616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(11,598)</w:t>
            </w:r>
          </w:p>
        </w:tc>
        <w:tc>
          <w:tcPr>
            <w:tcW w:w="100" w:type="dxa"/>
            <w:vAlign w:val="bottom"/>
          </w:tcPr>
          <w:p>
            <w:pPr>
              <w:spacing w:after="0"/>
              <w:rPr>
                <w:sz w:val="18"/>
                <w:szCs w:val="18"/>
                <w:color w:val="auto"/>
              </w:rPr>
            </w:pPr>
          </w:p>
        </w:tc>
      </w:tr>
      <w:tr>
        <w:trPr>
          <w:trHeight w:val="216"/>
        </w:trPr>
        <w:tc>
          <w:tcPr>
            <w:tcW w:w="6160" w:type="dxa"/>
            <w:vAlign w:val="bottom"/>
            <w:shd w:val="clear" w:color="auto" w:fill="CCECFF"/>
          </w:tcPr>
          <w:p>
            <w:pPr>
              <w:ind w:left="500"/>
              <w:spacing w:after="0"/>
              <w:rPr>
                <w:sz w:val="20"/>
                <w:szCs w:val="20"/>
                <w:color w:val="auto"/>
              </w:rPr>
            </w:pPr>
            <w:r>
              <w:rPr>
                <w:rFonts w:ascii="Arial" w:cs="Arial" w:eastAsia="Arial" w:hAnsi="Arial"/>
                <w:sz w:val="18"/>
                <w:szCs w:val="18"/>
                <w:color w:val="auto"/>
              </w:rPr>
              <w:t>Provision for income taxes</w:t>
            </w:r>
          </w:p>
        </w:tc>
        <w:tc>
          <w:tcPr>
            <w:tcW w:w="1580" w:type="dxa"/>
            <w:vAlign w:val="bottom"/>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spacing w:after="0"/>
              <w:rPr>
                <w:sz w:val="18"/>
                <w:szCs w:val="18"/>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spacing w:after="0"/>
              <w:rPr>
                <w:sz w:val="18"/>
                <w:szCs w:val="18"/>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CFF"/>
          </w:tcPr>
          <w:p>
            <w:pPr>
              <w:spacing w:after="0"/>
              <w:rPr>
                <w:sz w:val="18"/>
                <w:szCs w:val="18"/>
                <w:color w:val="auto"/>
              </w:rPr>
            </w:pPr>
          </w:p>
        </w:tc>
      </w:tr>
      <w:tr>
        <w:trPr>
          <w:trHeight w:val="209"/>
        </w:trPr>
        <w:tc>
          <w:tcPr>
            <w:tcW w:w="61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(11,602)</w:t>
            </w:r>
          </w:p>
        </w:tc>
        <w:tc>
          <w:tcPr>
            <w:tcW w:w="100" w:type="dxa"/>
            <w:vAlign w:val="bottom"/>
          </w:tcPr>
          <w:p>
            <w:pPr>
              <w:spacing w:after="0"/>
              <w:rPr>
                <w:sz w:val="18"/>
                <w:szCs w:val="18"/>
                <w:color w:val="auto"/>
              </w:rPr>
            </w:pPr>
          </w:p>
        </w:tc>
      </w:tr>
      <w:tr>
        <w:trPr>
          <w:trHeight w:val="216"/>
        </w:trPr>
        <w:tc>
          <w:tcPr>
            <w:tcW w:w="6160" w:type="dxa"/>
            <w:vAlign w:val="bottom"/>
            <w:shd w:val="clear" w:color="auto" w:fill="CCECFF"/>
          </w:tcPr>
          <w:p>
            <w:pPr>
              <w:ind w:left="500"/>
              <w:spacing w:after="0"/>
              <w:rPr>
                <w:sz w:val="20"/>
                <w:szCs w:val="20"/>
                <w:color w:val="auto"/>
              </w:rPr>
            </w:pPr>
            <w:r>
              <w:rPr>
                <w:rFonts w:ascii="Arial" w:cs="Arial" w:eastAsia="Arial" w:hAnsi="Arial"/>
                <w:sz w:val="18"/>
                <w:szCs w:val="18"/>
                <w:color w:val="auto"/>
              </w:rPr>
              <w:t>Unrealized loss on marketable securities, net of tax</w:t>
            </w:r>
          </w:p>
        </w:tc>
        <w:tc>
          <w:tcPr>
            <w:tcW w:w="15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3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(13)</w:t>
            </w:r>
          </w:p>
        </w:tc>
      </w:tr>
      <w:tr>
        <w:trPr>
          <w:trHeight w:val="250"/>
        </w:trPr>
        <w:tc>
          <w:tcPr>
            <w:tcW w:w="6160" w:type="dxa"/>
            <w:vAlign w:val="bottom"/>
            <w:tcBorders>
              <w:bottom w:val="single" w:sz="8" w:color="CCECFF"/>
            </w:tcBorders>
          </w:tcPr>
          <w:p>
            <w:pPr>
              <w:ind w:left="260"/>
              <w:spacing w:after="0"/>
              <w:rPr>
                <w:sz w:val="20"/>
                <w:szCs w:val="20"/>
                <w:color w:val="auto"/>
              </w:rPr>
            </w:pPr>
            <w:r>
              <w:rPr>
                <w:rFonts w:ascii="Arial" w:cs="Arial" w:eastAsia="Arial" w:hAnsi="Arial"/>
                <w:sz w:val="18"/>
                <w:szCs w:val="18"/>
                <w:color w:val="auto"/>
              </w:rPr>
              <w:t>Comprehensive loss</w:t>
            </w:r>
          </w:p>
        </w:tc>
        <w:tc>
          <w:tcPr>
            <w:tcW w:w="1580" w:type="dxa"/>
            <w:vAlign w:val="bottom"/>
            <w:tcBorders>
              <w:bottom w:val="single" w:sz="8" w:color="CCEC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(19,021)</w:t>
            </w:r>
          </w:p>
        </w:tc>
        <w:tc>
          <w:tcPr>
            <w:tcW w:w="160" w:type="dxa"/>
            <w:vAlign w:val="bottom"/>
            <w:tcBorders>
              <w:bottom w:val="single" w:sz="8" w:color="CCECFF"/>
            </w:tcBorders>
          </w:tcPr>
          <w:p>
            <w:pPr>
              <w:spacing w:after="0"/>
              <w:rPr>
                <w:sz w:val="21"/>
                <w:szCs w:val="21"/>
                <w:color w:val="auto"/>
              </w:rPr>
            </w:pPr>
          </w:p>
        </w:tc>
        <w:tc>
          <w:tcPr>
            <w:tcW w:w="120" w:type="dxa"/>
            <w:vAlign w:val="bottom"/>
            <w:tcBorders>
              <w:bottom w:val="single" w:sz="8" w:color="CCEC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(11,615)</w:t>
            </w:r>
          </w:p>
        </w:tc>
        <w:tc>
          <w:tcPr>
            <w:tcW w:w="100" w:type="dxa"/>
            <w:vAlign w:val="bottom"/>
            <w:tcBorders>
              <w:bottom w:val="single" w:sz="8" w:color="CCECFF"/>
            </w:tcBorders>
          </w:tcPr>
          <w:p>
            <w:pPr>
              <w:spacing w:after="0"/>
              <w:rPr>
                <w:sz w:val="21"/>
                <w:szCs w:val="21"/>
                <w:color w:val="auto"/>
              </w:rPr>
            </w:pPr>
          </w:p>
        </w:tc>
      </w:tr>
      <w:tr>
        <w:trPr>
          <w:trHeight w:val="196"/>
        </w:trPr>
        <w:tc>
          <w:tcPr>
            <w:tcW w:w="6160" w:type="dxa"/>
            <w:vAlign w:val="bottom"/>
            <w:shd w:val="clear" w:color="auto" w:fill="CCECFF"/>
          </w:tcPr>
          <w:p>
            <w:pPr>
              <w:spacing w:after="0"/>
              <w:rPr>
                <w:sz w:val="17"/>
                <w:szCs w:val="17"/>
                <w:color w:val="auto"/>
              </w:rPr>
            </w:pPr>
          </w:p>
        </w:tc>
        <w:tc>
          <w:tcPr>
            <w:tcW w:w="158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56"/>
        </w:trPr>
        <w:tc>
          <w:tcPr>
            <w:tcW w:w="6160" w:type="dxa"/>
            <w:vAlign w:val="bottom"/>
          </w:tcPr>
          <w:p>
            <w:pPr>
              <w:ind w:left="260"/>
              <w:spacing w:after="0"/>
              <w:rPr>
                <w:sz w:val="20"/>
                <w:szCs w:val="20"/>
                <w:color w:val="auto"/>
              </w:rPr>
            </w:pPr>
            <w:r>
              <w:rPr>
                <w:rFonts w:ascii="Arial" w:cs="Arial" w:eastAsia="Arial" w:hAnsi="Arial"/>
                <w:sz w:val="18"/>
                <w:szCs w:val="18"/>
                <w:color w:val="auto"/>
              </w:rPr>
              <w:t>Net loss per share -- basic and diluted</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r>
      <w:tr>
        <w:trPr>
          <w:trHeight w:val="196"/>
        </w:trPr>
        <w:tc>
          <w:tcPr>
            <w:tcW w:w="6160" w:type="dxa"/>
            <w:vAlign w:val="bottom"/>
            <w:tcBorders>
              <w:top w:val="single" w:sz="8" w:color="CCECFF"/>
              <w:bottom w:val="single" w:sz="8" w:color="CCECFF"/>
            </w:tcBorders>
            <w:shd w:val="clear" w:color="auto" w:fill="CCECFF"/>
          </w:tcPr>
          <w:p>
            <w:pPr>
              <w:ind w:left="26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1580" w:type="dxa"/>
            <w:vAlign w:val="bottom"/>
            <w:tcBorders>
              <w:top w:val="single" w:sz="8" w:color="CCECFF"/>
              <w:bottom w:val="single" w:sz="8" w:color="CCECFF"/>
            </w:tcBorders>
            <w:shd w:val="clear" w:color="auto" w:fill="CCECFF"/>
          </w:tcPr>
          <w:p>
            <w:pPr>
              <w:spacing w:after="0"/>
              <w:rPr>
                <w:sz w:val="17"/>
                <w:szCs w:val="17"/>
                <w:color w:val="auto"/>
              </w:rPr>
            </w:pPr>
          </w:p>
        </w:tc>
        <w:tc>
          <w:tcPr>
            <w:tcW w:w="360" w:type="dxa"/>
            <w:vAlign w:val="bottom"/>
            <w:tcBorders>
              <w:top w:val="single" w:sz="8" w:color="auto"/>
              <w:bottom w:val="single" w:sz="8" w:color="auto"/>
            </w:tcBorders>
            <w:shd w:val="clear" w:color="auto" w:fill="CCECFF"/>
          </w:tcPr>
          <w:p>
            <w:pPr>
              <w:spacing w:after="0"/>
              <w:rPr>
                <w:sz w:val="17"/>
                <w:szCs w:val="17"/>
                <w:color w:val="auto"/>
              </w:rPr>
            </w:pPr>
          </w:p>
        </w:tc>
        <w:tc>
          <w:tcPr>
            <w:tcW w:w="120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45,466,044</w:t>
            </w:r>
          </w:p>
        </w:tc>
        <w:tc>
          <w:tcPr>
            <w:tcW w:w="160" w:type="dxa"/>
            <w:vAlign w:val="bottom"/>
            <w:tcBorders>
              <w:top w:val="single" w:sz="8" w:color="CCECFF"/>
              <w:bottom w:val="single" w:sz="8" w:color="CCECFF"/>
            </w:tcBorders>
            <w:shd w:val="clear" w:color="auto" w:fill="CCECFF"/>
          </w:tcPr>
          <w:p>
            <w:pPr>
              <w:spacing w:after="0"/>
              <w:rPr>
                <w:sz w:val="17"/>
                <w:szCs w:val="17"/>
                <w:color w:val="auto"/>
              </w:rPr>
            </w:pPr>
          </w:p>
        </w:tc>
        <w:tc>
          <w:tcPr>
            <w:tcW w:w="120" w:type="dxa"/>
            <w:vAlign w:val="bottom"/>
            <w:tcBorders>
              <w:top w:val="single" w:sz="8" w:color="CCECFF"/>
              <w:bottom w:val="single" w:sz="8" w:color="CCECFF"/>
            </w:tcBorders>
            <w:shd w:val="clear" w:color="auto" w:fill="CCECFF"/>
          </w:tcPr>
          <w:p>
            <w:pPr>
              <w:spacing w:after="0"/>
              <w:rPr>
                <w:sz w:val="17"/>
                <w:szCs w:val="17"/>
                <w:color w:val="auto"/>
              </w:rPr>
            </w:pPr>
          </w:p>
        </w:tc>
        <w:tc>
          <w:tcPr>
            <w:tcW w:w="360" w:type="dxa"/>
            <w:vAlign w:val="bottom"/>
            <w:tcBorders>
              <w:top w:val="single" w:sz="8" w:color="auto"/>
              <w:bottom w:val="single" w:sz="8" w:color="auto"/>
            </w:tcBorders>
            <w:shd w:val="clear" w:color="auto" w:fill="CCECFF"/>
          </w:tcPr>
          <w:p>
            <w:pPr>
              <w:spacing w:after="0"/>
              <w:rPr>
                <w:sz w:val="17"/>
                <w:szCs w:val="17"/>
                <w:color w:val="auto"/>
              </w:rPr>
            </w:pPr>
          </w:p>
        </w:tc>
        <w:tc>
          <w:tcPr>
            <w:tcW w:w="120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44,785,226</w:t>
            </w:r>
          </w:p>
        </w:tc>
        <w:tc>
          <w:tcPr>
            <w:tcW w:w="100" w:type="dxa"/>
            <w:vAlign w:val="bottom"/>
            <w:tcBorders>
              <w:top w:val="single" w:sz="8" w:color="CCECFF"/>
              <w:bottom w:val="single" w:sz="8" w:color="CCECFF"/>
            </w:tcBorders>
            <w:shd w:val="clear" w:color="auto" w:fill="CCECFF"/>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and Media Contact: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Winston Kung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8"/>
          <w:szCs w:val="18"/>
          <w:u w:val="single" w:color="auto"/>
          <w:color w:val="03AFFD"/>
        </w:rPr>
        <w:t>investors@pmvpharma.com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2022-05-10T06:17:20Z</dcterms:created>
  <dcterms:modified xsi:type="dcterms:W3CDTF">2022-05-10T06:17:20Z</dcterms:modified>
</cp:coreProperties>
</file>