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26"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2113915</wp:posOffset>
            </wp:positionH>
            <wp:positionV relativeFrom="paragraph">
              <wp:posOffset>154305</wp:posOffset>
            </wp:positionV>
            <wp:extent cx="28886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200" w:lineRule="exact"/>
        <w:rPr>
          <w:sz w:val="24"/>
          <w:szCs w:val="24"/>
          <w:color w:val="auto"/>
        </w:rPr>
      </w:pPr>
    </w:p>
    <w:p>
      <w:pPr>
        <w:spacing w:after="0" w:line="280"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b w:val="1"/>
          <w:bCs w:val="1"/>
          <w:color w:val="auto"/>
        </w:rPr>
        <w:t>SCHEDULE 13G/A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2113915</wp:posOffset>
            </wp:positionH>
            <wp:positionV relativeFrom="paragraph">
              <wp:posOffset>170815</wp:posOffset>
            </wp:positionV>
            <wp:extent cx="28886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Under the Securities Exchange Act of 1934</w:t>
      </w:r>
    </w:p>
    <w:p>
      <w:pPr>
        <w:spacing w:after="0" w:line="229"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(Amendment No. 2)*</w:t>
      </w:r>
    </w:p>
    <w:p>
      <w:pPr>
        <w:spacing w:after="0" w:line="229"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PMV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13970</wp:posOffset>
            </wp:positionV>
            <wp:extent cx="70123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12305" cy="8890"/>
                    </a:xfrm>
                    <a:prstGeom prst="rect">
                      <a:avLst/>
                    </a:prstGeom>
                    <a:noFill/>
                  </pic:spPr>
                </pic:pic>
              </a:graphicData>
            </a:graphic>
          </wp:anchor>
        </w:drawing>
      </w:r>
    </w:p>
    <w:p>
      <w:pPr>
        <w:spacing w:after="0" w:line="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(Name of Issuer)</w:t>
      </w:r>
    </w:p>
    <w:p>
      <w:pPr>
        <w:spacing w:after="0" w:line="214"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Common Stock, par value $0.00001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13970</wp:posOffset>
            </wp:positionV>
            <wp:extent cx="70123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(Title of Class of Securities)</w:t>
      </w:r>
    </w:p>
    <w:p>
      <w:pPr>
        <w:spacing w:after="0" w:line="214"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69353Y103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13970</wp:posOffset>
            </wp:positionV>
            <wp:extent cx="70123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(CUSIP Number)</w:t>
      </w:r>
    </w:p>
    <w:p>
      <w:pPr>
        <w:spacing w:after="0" w:line="214"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13970</wp:posOffset>
            </wp:positionV>
            <wp:extent cx="70123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12305" cy="8890"/>
                    </a:xfrm>
                    <a:prstGeom prst="rect">
                      <a:avLst/>
                    </a:prstGeom>
                    <a:noFill/>
                  </pic:spPr>
                </pic:pic>
              </a:graphicData>
            </a:graphic>
          </wp:anchor>
        </w:drawing>
      </w:r>
    </w:p>
    <w:p>
      <w:pPr>
        <w:spacing w:after="0" w:line="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(Date of event which requires filing of this statement)</w:t>
      </w:r>
    </w:p>
    <w:p>
      <w:pPr>
        <w:spacing w:after="0" w:line="200" w:lineRule="exact"/>
        <w:rPr>
          <w:sz w:val="24"/>
          <w:szCs w:val="24"/>
          <w:color w:val="auto"/>
        </w:rPr>
      </w:pPr>
    </w:p>
    <w:p>
      <w:pPr>
        <w:spacing w:after="0" w:line="243"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20"/>
          <w:szCs w:val="20"/>
          <w:color w:val="auto"/>
        </w:rPr>
        <w:t>Check the appropriate box to designate the rule pursuant to which this Schedule 13G/A is filed:</w:t>
      </w:r>
    </w:p>
    <w:p>
      <w:pPr>
        <w:spacing w:after="0" w:line="229" w:lineRule="exact"/>
        <w:rPr>
          <w:sz w:val="24"/>
          <w:szCs w:val="24"/>
          <w:color w:val="auto"/>
        </w:rPr>
      </w:pPr>
    </w:p>
    <w:p>
      <w:pPr>
        <w:jc w:val="both"/>
        <w:ind w:left="640" w:right="8840"/>
        <w:spacing w:after="0" w:line="258" w:lineRule="exact"/>
        <w:tabs>
          <w:tab w:leader="none" w:pos="101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 xml:space="preserve">Rule 13d-1(b) </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 Rule 13d-1(c) </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 Rule 13d-1(d)</w:t>
      </w:r>
    </w:p>
    <w:p>
      <w:pPr>
        <w:spacing w:after="0" w:line="159"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(Page 1 of 7 Pages)</w:t>
      </w:r>
    </w:p>
    <w:p>
      <w:pPr>
        <w:spacing w:after="0" w:line="94"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______________________________</w:t>
      </w:r>
    </w:p>
    <w:p>
      <w:pPr>
        <w:spacing w:after="0" w:line="22" w:lineRule="exact"/>
        <w:rPr>
          <w:sz w:val="24"/>
          <w:szCs w:val="24"/>
          <w:color w:val="auto"/>
        </w:rPr>
      </w:pPr>
    </w:p>
    <w:p>
      <w:pPr>
        <w:jc w:val="both"/>
        <w:ind w:right="80" w:firstLine="656"/>
        <w:spacing w:after="0" w:line="242" w:lineRule="auto"/>
        <w:tabs>
          <w:tab w:leader="none" w:pos="796"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79" w:lineRule="exact"/>
        <w:rPr>
          <w:sz w:val="24"/>
          <w:szCs w:val="24"/>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0960"/>
          </w:cols>
          <w:pgMar w:left="320" w:top="302" w:right="619" w:bottom="1440" w:gutter="0" w:footer="0" w:header="0"/>
        </w:sectPr>
      </w:pPr>
    </w:p>
    <w:bookmarkStart w:id="1" w:name="page2"/>
    <w:bookmarkEnd w:id="1"/>
    <w:p>
      <w:pPr>
        <w:spacing w:after="0"/>
        <w:tabs>
          <w:tab w:leader="none" w:pos="53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69353Y103</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2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302895</wp:posOffset>
            </wp:positionV>
            <wp:extent cx="7132320" cy="46202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62026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320"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540" w:type="dxa"/>
            <w:vAlign w:val="bottom"/>
            <w:vMerge w:val="restart"/>
          </w:tcPr>
          <w:p>
            <w:pPr>
              <w:jc w:val="right"/>
              <w:ind w:right="256"/>
              <w:spacing w:after="0"/>
              <w:rPr>
                <w:sz w:val="20"/>
                <w:szCs w:val="20"/>
                <w:color w:val="auto"/>
              </w:rPr>
            </w:pPr>
            <w:r>
              <w:rPr>
                <w:rFonts w:ascii="Times New Roman" w:cs="Times New Roman" w:eastAsia="Times New Roman" w:hAnsi="Times New Roman"/>
                <w:sz w:val="29"/>
                <w:szCs w:val="29"/>
                <w:b w:val="1"/>
                <w:bCs w:val="1"/>
                <w:color w:val="auto"/>
                <w:w w:val="82"/>
              </w:rPr>
              <w:t>1</w:t>
            </w:r>
          </w:p>
        </w:tc>
        <w:tc>
          <w:tcPr>
            <w:tcW w:w="2920" w:type="dxa"/>
            <w:vAlign w:val="bottom"/>
          </w:tcPr>
          <w:p>
            <w:pPr>
              <w:ind w:left="420"/>
              <w:spacing w:after="0"/>
              <w:rPr>
                <w:sz w:val="20"/>
                <w:szCs w:val="20"/>
                <w:color w:val="auto"/>
              </w:rPr>
            </w:pPr>
            <w:r>
              <w:rPr>
                <w:rFonts w:ascii="Times New Roman" w:cs="Times New Roman" w:eastAsia="Times New Roman" w:hAnsi="Times New Roman"/>
                <w:sz w:val="16"/>
                <w:szCs w:val="16"/>
                <w:color w:val="auto"/>
                <w:w w:val="99"/>
              </w:rPr>
              <w:t>NAMES OF REPORTING PERSONS</w:t>
            </w:r>
          </w:p>
        </w:tc>
        <w:tc>
          <w:tcPr>
            <w:tcW w:w="0" w:type="dxa"/>
            <w:vAlign w:val="bottom"/>
          </w:tcPr>
          <w:p>
            <w:pPr>
              <w:spacing w:after="0"/>
              <w:rPr>
                <w:sz w:val="1"/>
                <w:szCs w:val="1"/>
                <w:color w:val="auto"/>
              </w:rPr>
            </w:pPr>
          </w:p>
        </w:tc>
      </w:tr>
      <w:tr>
        <w:trPr>
          <w:trHeight w:val="178"/>
        </w:trPr>
        <w:tc>
          <w:tcPr>
            <w:tcW w:w="540" w:type="dxa"/>
            <w:vAlign w:val="bottom"/>
            <w:vMerge w:val="continue"/>
          </w:tcPr>
          <w:p>
            <w:pPr>
              <w:spacing w:after="0"/>
              <w:rPr>
                <w:sz w:val="15"/>
                <w:szCs w:val="15"/>
                <w:color w:val="auto"/>
              </w:rPr>
            </w:pPr>
          </w:p>
        </w:tc>
        <w:tc>
          <w:tcPr>
            <w:tcW w:w="2920" w:type="dxa"/>
            <w:vAlign w:val="bottom"/>
            <w:vMerge w:val="restart"/>
          </w:tcPr>
          <w:p>
            <w:pPr>
              <w:ind w:left="740"/>
              <w:spacing w:after="0"/>
              <w:rPr>
                <w:sz w:val="20"/>
                <w:szCs w:val="20"/>
                <w:color w:val="auto"/>
              </w:rPr>
            </w:pPr>
            <w:r>
              <w:rPr>
                <w:rFonts w:ascii="Times New Roman" w:cs="Times New Roman" w:eastAsia="Times New Roman" w:hAnsi="Times New Roman"/>
                <w:sz w:val="20"/>
                <w:szCs w:val="20"/>
                <w:color w:val="auto"/>
              </w:rPr>
              <w:t>RTW Investments, LP</w:t>
            </w:r>
          </w:p>
        </w:tc>
        <w:tc>
          <w:tcPr>
            <w:tcW w:w="0" w:type="dxa"/>
            <w:vAlign w:val="bottom"/>
          </w:tcPr>
          <w:p>
            <w:pPr>
              <w:spacing w:after="0"/>
              <w:rPr>
                <w:sz w:val="1"/>
                <w:szCs w:val="1"/>
                <w:color w:val="auto"/>
              </w:rPr>
            </w:pPr>
          </w:p>
        </w:tc>
      </w:tr>
      <w:tr>
        <w:trPr>
          <w:trHeight w:val="80"/>
        </w:trPr>
        <w:tc>
          <w:tcPr>
            <w:tcW w:w="540" w:type="dxa"/>
            <w:vAlign w:val="bottom"/>
          </w:tcPr>
          <w:p>
            <w:pPr>
              <w:spacing w:after="0"/>
              <w:rPr>
                <w:sz w:val="6"/>
                <w:szCs w:val="6"/>
                <w:color w:val="auto"/>
              </w:rPr>
            </w:pPr>
          </w:p>
        </w:tc>
        <w:tc>
          <w:tcPr>
            <w:tcW w:w="2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700" w:hanging="967"/>
        <w:spacing w:after="0" w:line="181" w:lineRule="auto"/>
        <w:tabs>
          <w:tab w:leader="none" w:pos="1700" w:val="left"/>
        </w:tabs>
        <w:numPr>
          <w:ilvl w:val="0"/>
          <w:numId w:val="3"/>
        </w:numPr>
        <w:rPr>
          <w:rFonts w:ascii="Times New Roman" w:cs="Times New Roman" w:eastAsia="Times New Roman" w:hAnsi="Times New Roman"/>
          <w:sz w:val="42"/>
          <w:szCs w:val="42"/>
          <w:b w:val="1"/>
          <w:bCs w:val="1"/>
          <w:color w:val="auto"/>
          <w:vertAlign w:val="subscript"/>
        </w:rPr>
      </w:pPr>
      <w:r>
        <w:rPr>
          <w:rFonts w:ascii="Times New Roman" w:cs="Times New Roman" w:eastAsia="Times New Roman" w:hAnsi="Times New Roman"/>
          <w:sz w:val="14"/>
          <w:szCs w:val="14"/>
          <w:color w:val="auto"/>
        </w:rPr>
        <w:t>CHECK THE APPROPRIATE BOX IF A MEMBER OF A GROUP</w:t>
      </w:r>
    </w:p>
    <w:p>
      <w:pPr>
        <w:spacing w:after="0" w:line="77" w:lineRule="exact"/>
        <w:rPr>
          <w:sz w:val="20"/>
          <w:szCs w:val="20"/>
          <w:color w:val="auto"/>
        </w:rPr>
      </w:pPr>
    </w:p>
    <w:p>
      <w:pPr>
        <w:ind w:left="1700" w:hanging="967"/>
        <w:spacing w:after="0"/>
        <w:tabs>
          <w:tab w:leader="none" w:pos="1700" w:val="left"/>
        </w:tabs>
        <w:numPr>
          <w:ilvl w:val="0"/>
          <w:numId w:val="4"/>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6"/>
          <w:szCs w:val="16"/>
          <w:color w:val="auto"/>
        </w:rPr>
        <w:t>SEC USE ONLY</w:t>
      </w:r>
    </w:p>
    <w:p>
      <w:pPr>
        <w:spacing w:after="0" w:line="305" w:lineRule="exact"/>
        <w:rPr>
          <w:sz w:val="20"/>
          <w:szCs w:val="20"/>
          <w:color w:val="auto"/>
        </w:rPr>
      </w:pPr>
    </w:p>
    <w:tbl>
      <w:tblPr>
        <w:tblLayout w:type="fixed"/>
        <w:tblInd w:w="240" w:type="dxa"/>
        <w:tblCellMar>
          <w:top w:w="0" w:type="dxa"/>
          <w:left w:w="0" w:type="dxa"/>
          <w:bottom w:w="0" w:type="dxa"/>
          <w:right w:w="0" w:type="dxa"/>
        </w:tblCellMar>
      </w:tblPr>
      <w:tr>
        <w:trPr>
          <w:trHeight w:val="204"/>
        </w:trPr>
        <w:tc>
          <w:tcPr>
            <w:tcW w:w="1300" w:type="dxa"/>
            <w:vAlign w:val="bottom"/>
            <w:vMerge w:val="restart"/>
          </w:tcPr>
          <w:p>
            <w:pPr>
              <w:jc w:val="center"/>
              <w:ind w:right="71"/>
              <w:spacing w:after="0"/>
              <w:rPr>
                <w:sz w:val="20"/>
                <w:szCs w:val="20"/>
                <w:color w:val="auto"/>
              </w:rPr>
            </w:pPr>
            <w:r>
              <w:rPr>
                <w:rFonts w:ascii="Times New Roman" w:cs="Times New Roman" w:eastAsia="Times New Roman" w:hAnsi="Times New Roman"/>
                <w:sz w:val="29"/>
                <w:szCs w:val="29"/>
                <w:b w:val="1"/>
                <w:bCs w:val="1"/>
                <w:color w:val="auto"/>
                <w:w w:val="96"/>
              </w:rPr>
              <w:t>4</w:t>
            </w:r>
          </w:p>
        </w:tc>
        <w:tc>
          <w:tcPr>
            <w:tcW w:w="368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Delaware</w:t>
            </w:r>
          </w:p>
        </w:tc>
        <w:tc>
          <w:tcPr>
            <w:tcW w:w="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2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300" w:type="dxa"/>
            <w:vAlign w:val="bottom"/>
          </w:tcPr>
          <w:p>
            <w:pPr>
              <w:spacing w:after="0"/>
              <w:rPr>
                <w:sz w:val="8"/>
                <w:szCs w:val="8"/>
                <w:color w:val="auto"/>
              </w:rPr>
            </w:pPr>
          </w:p>
        </w:tc>
        <w:tc>
          <w:tcPr>
            <w:tcW w:w="1280" w:type="dxa"/>
            <w:vAlign w:val="bottom"/>
            <w:vMerge w:val="restart"/>
          </w:tcPr>
          <w:p>
            <w:pPr>
              <w:jc w:val="right"/>
              <w:ind w:right="414"/>
              <w:spacing w:after="0"/>
              <w:rPr>
                <w:sz w:val="20"/>
                <w:szCs w:val="20"/>
                <w:color w:val="auto"/>
              </w:rPr>
            </w:pPr>
            <w:r>
              <w:rPr>
                <w:rFonts w:ascii="Times New Roman" w:cs="Times New Roman" w:eastAsia="Times New Roman" w:hAnsi="Times New Roman"/>
                <w:sz w:val="29"/>
                <w:szCs w:val="29"/>
                <w:b w:val="1"/>
                <w:bCs w:val="1"/>
                <w:color w:val="auto"/>
              </w:rPr>
              <w:t>5</w:t>
            </w:r>
          </w:p>
        </w:tc>
        <w:tc>
          <w:tcPr>
            <w:tcW w:w="20" w:type="dxa"/>
            <w:vAlign w:val="bottom"/>
          </w:tcPr>
          <w:p>
            <w:pPr>
              <w:spacing w:after="0"/>
              <w:rPr>
                <w:sz w:val="8"/>
                <w:szCs w:val="8"/>
                <w:color w:val="auto"/>
              </w:rPr>
            </w:pPr>
          </w:p>
        </w:tc>
        <w:tc>
          <w:tcPr>
            <w:tcW w:w="238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SOLE VOTING POWER</w:t>
            </w: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23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238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- 0 -</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2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300" w:type="dxa"/>
            <w:vAlign w:val="bottom"/>
          </w:tcPr>
          <w:p>
            <w:pPr>
              <w:jc w:val="center"/>
              <w:ind w:right="71"/>
              <w:spacing w:after="0"/>
              <w:rPr>
                <w:sz w:val="20"/>
                <w:szCs w:val="20"/>
                <w:color w:val="auto"/>
              </w:rPr>
            </w:pPr>
            <w:r>
              <w:rPr>
                <w:rFonts w:ascii="Times New Roman" w:cs="Times New Roman" w:eastAsia="Times New Roman" w:hAnsi="Times New Roman"/>
                <w:sz w:val="16"/>
                <w:szCs w:val="16"/>
                <w:color w:val="auto"/>
              </w:rPr>
              <w:t>NUMBER OF</w:t>
            </w:r>
          </w:p>
        </w:tc>
        <w:tc>
          <w:tcPr>
            <w:tcW w:w="1280" w:type="dxa"/>
            <w:vAlign w:val="bottom"/>
            <w:vMerge w:val="restart"/>
          </w:tcPr>
          <w:p>
            <w:pPr>
              <w:jc w:val="right"/>
              <w:ind w:right="414"/>
              <w:spacing w:after="0"/>
              <w:rPr>
                <w:sz w:val="20"/>
                <w:szCs w:val="20"/>
                <w:color w:val="auto"/>
              </w:rPr>
            </w:pPr>
            <w:r>
              <w:rPr>
                <w:rFonts w:ascii="Times New Roman" w:cs="Times New Roman" w:eastAsia="Times New Roman" w:hAnsi="Times New Roman"/>
                <w:sz w:val="29"/>
                <w:szCs w:val="29"/>
                <w:b w:val="1"/>
                <w:bCs w:val="1"/>
                <w:color w:val="auto"/>
              </w:rPr>
              <w:t>6</w:t>
            </w:r>
          </w:p>
        </w:tc>
        <w:tc>
          <w:tcPr>
            <w:tcW w:w="20" w:type="dxa"/>
            <w:vAlign w:val="bottom"/>
            <w:shd w:val="clear" w:color="auto" w:fill="000000"/>
          </w:tcPr>
          <w:p>
            <w:pPr>
              <w:spacing w:after="0"/>
              <w:rPr>
                <w:sz w:val="19"/>
                <w:szCs w:val="19"/>
                <w:color w:val="auto"/>
              </w:rPr>
            </w:pPr>
          </w:p>
        </w:tc>
        <w:tc>
          <w:tcPr>
            <w:tcW w:w="238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SHARED VOTING POWER</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ind w:right="71"/>
              <w:spacing w:after="0"/>
              <w:rPr>
                <w:sz w:val="20"/>
                <w:szCs w:val="20"/>
                <w:color w:val="auto"/>
              </w:rPr>
            </w:pPr>
            <w:r>
              <w:rPr>
                <w:rFonts w:ascii="Times New Roman" w:cs="Times New Roman" w:eastAsia="Times New Roman" w:hAnsi="Times New Roman"/>
                <w:sz w:val="16"/>
                <w:szCs w:val="16"/>
                <w:color w:val="auto"/>
              </w:rPr>
              <w:t>SHARES</w:t>
            </w: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238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203"/>
        </w:trPr>
        <w:tc>
          <w:tcPr>
            <w:tcW w:w="1300" w:type="dxa"/>
            <w:vAlign w:val="bottom"/>
          </w:tcPr>
          <w:p>
            <w:pPr>
              <w:jc w:val="center"/>
              <w:ind w:right="71"/>
              <w:spacing w:after="0"/>
              <w:rPr>
                <w:sz w:val="20"/>
                <w:szCs w:val="20"/>
                <w:color w:val="auto"/>
              </w:rPr>
            </w:pPr>
            <w:r>
              <w:rPr>
                <w:rFonts w:ascii="Times New Roman" w:cs="Times New Roman" w:eastAsia="Times New Roman" w:hAnsi="Times New Roman"/>
                <w:sz w:val="16"/>
                <w:szCs w:val="16"/>
                <w:color w:val="auto"/>
                <w:w w:val="99"/>
              </w:rPr>
              <w:t>BENEFICIALLY</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2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jc w:val="center"/>
              <w:ind w:right="71"/>
              <w:spacing w:after="0"/>
              <w:rPr>
                <w:sz w:val="20"/>
                <w:szCs w:val="20"/>
                <w:color w:val="auto"/>
              </w:rPr>
            </w:pPr>
            <w:r>
              <w:rPr>
                <w:rFonts w:ascii="Times New Roman" w:cs="Times New Roman" w:eastAsia="Times New Roman" w:hAnsi="Times New Roman"/>
                <w:sz w:val="16"/>
                <w:szCs w:val="16"/>
                <w:color w:val="auto"/>
              </w:rPr>
              <w:t>OWNED BY</w:t>
            </w:r>
          </w:p>
        </w:tc>
        <w:tc>
          <w:tcPr>
            <w:tcW w:w="1280" w:type="dxa"/>
            <w:vAlign w:val="bottom"/>
            <w:vMerge w:val="restart"/>
          </w:tcPr>
          <w:p>
            <w:pPr>
              <w:jc w:val="right"/>
              <w:ind w:right="414"/>
              <w:spacing w:after="0"/>
              <w:rPr>
                <w:sz w:val="20"/>
                <w:szCs w:val="20"/>
                <w:color w:val="auto"/>
              </w:rPr>
            </w:pPr>
            <w:r>
              <w:rPr>
                <w:rFonts w:ascii="Times New Roman" w:cs="Times New Roman" w:eastAsia="Times New Roman" w:hAnsi="Times New Roman"/>
                <w:sz w:val="29"/>
                <w:szCs w:val="29"/>
                <w:b w:val="1"/>
                <w:bCs w:val="1"/>
                <w:color w:val="auto"/>
              </w:rPr>
              <w:t>7</w:t>
            </w:r>
          </w:p>
        </w:tc>
        <w:tc>
          <w:tcPr>
            <w:tcW w:w="20" w:type="dxa"/>
            <w:vAlign w:val="bottom"/>
            <w:shd w:val="clear" w:color="auto" w:fill="000000"/>
          </w:tcPr>
          <w:p>
            <w:pPr>
              <w:spacing w:after="0"/>
              <w:rPr>
                <w:sz w:val="17"/>
                <w:szCs w:val="17"/>
                <w:color w:val="auto"/>
              </w:rPr>
            </w:pPr>
          </w:p>
        </w:tc>
        <w:tc>
          <w:tcPr>
            <w:tcW w:w="238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SOLE DISPOSITIVE POWER</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ind w:right="91"/>
              <w:spacing w:after="0"/>
              <w:rPr>
                <w:sz w:val="20"/>
                <w:szCs w:val="20"/>
                <w:color w:val="auto"/>
              </w:rPr>
            </w:pPr>
            <w:r>
              <w:rPr>
                <w:rFonts w:ascii="Times New Roman" w:cs="Times New Roman" w:eastAsia="Times New Roman" w:hAnsi="Times New Roman"/>
                <w:sz w:val="16"/>
                <w:szCs w:val="16"/>
                <w:color w:val="auto"/>
              </w:rPr>
              <w:t>EACH</w:t>
            </w: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238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- 0 -</w:t>
            </w:r>
          </w:p>
        </w:tc>
        <w:tc>
          <w:tcPr>
            <w:tcW w:w="0" w:type="dxa"/>
            <w:vAlign w:val="bottom"/>
          </w:tcPr>
          <w:p>
            <w:pPr>
              <w:spacing w:after="0"/>
              <w:rPr>
                <w:sz w:val="1"/>
                <w:szCs w:val="1"/>
                <w:color w:val="auto"/>
              </w:rPr>
            </w:pPr>
          </w:p>
        </w:tc>
      </w:tr>
      <w:tr>
        <w:trPr>
          <w:trHeight w:val="203"/>
        </w:trPr>
        <w:tc>
          <w:tcPr>
            <w:tcW w:w="1300" w:type="dxa"/>
            <w:vAlign w:val="bottom"/>
          </w:tcPr>
          <w:p>
            <w:pPr>
              <w:jc w:val="center"/>
              <w:ind w:right="71"/>
              <w:spacing w:after="0"/>
              <w:rPr>
                <w:sz w:val="20"/>
                <w:szCs w:val="20"/>
                <w:color w:val="auto"/>
              </w:rPr>
            </w:pPr>
            <w:r>
              <w:rPr>
                <w:rFonts w:ascii="Times New Roman" w:cs="Times New Roman" w:eastAsia="Times New Roman" w:hAnsi="Times New Roman"/>
                <w:sz w:val="16"/>
                <w:szCs w:val="16"/>
                <w:color w:val="auto"/>
              </w:rPr>
              <w:t>REPORTING</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2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00" w:type="dxa"/>
            <w:vAlign w:val="bottom"/>
          </w:tcPr>
          <w:p>
            <w:pPr>
              <w:jc w:val="center"/>
              <w:ind w:right="91"/>
              <w:spacing w:after="0"/>
              <w:rPr>
                <w:sz w:val="20"/>
                <w:szCs w:val="20"/>
                <w:color w:val="auto"/>
              </w:rPr>
            </w:pPr>
            <w:r>
              <w:rPr>
                <w:rFonts w:ascii="Times New Roman" w:cs="Times New Roman" w:eastAsia="Times New Roman" w:hAnsi="Times New Roman"/>
                <w:sz w:val="16"/>
                <w:szCs w:val="16"/>
                <w:color w:val="auto"/>
              </w:rPr>
              <w:t>PERSON WITH</w:t>
            </w:r>
          </w:p>
        </w:tc>
        <w:tc>
          <w:tcPr>
            <w:tcW w:w="1280" w:type="dxa"/>
            <w:vAlign w:val="bottom"/>
            <w:vMerge w:val="restart"/>
          </w:tcPr>
          <w:p>
            <w:pPr>
              <w:jc w:val="right"/>
              <w:ind w:right="414"/>
              <w:spacing w:after="0"/>
              <w:rPr>
                <w:sz w:val="20"/>
                <w:szCs w:val="20"/>
                <w:color w:val="auto"/>
              </w:rPr>
            </w:pPr>
            <w:r>
              <w:rPr>
                <w:rFonts w:ascii="Times New Roman" w:cs="Times New Roman" w:eastAsia="Times New Roman" w:hAnsi="Times New Roman"/>
                <w:sz w:val="29"/>
                <w:szCs w:val="29"/>
                <w:b w:val="1"/>
                <w:bCs w:val="1"/>
                <w:color w:val="auto"/>
              </w:rPr>
              <w:t>8</w:t>
            </w:r>
          </w:p>
        </w:tc>
        <w:tc>
          <w:tcPr>
            <w:tcW w:w="20" w:type="dxa"/>
            <w:vAlign w:val="bottom"/>
            <w:shd w:val="clear" w:color="auto" w:fill="000000"/>
          </w:tcPr>
          <w:p>
            <w:pPr>
              <w:spacing w:after="0"/>
              <w:rPr>
                <w:sz w:val="18"/>
                <w:szCs w:val="18"/>
                <w:color w:val="auto"/>
              </w:rPr>
            </w:pPr>
          </w:p>
        </w:tc>
        <w:tc>
          <w:tcPr>
            <w:tcW w:w="238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SHARED DISPOSITIVE POWER</w:t>
            </w:r>
          </w:p>
        </w:tc>
        <w:tc>
          <w:tcPr>
            <w:tcW w:w="0" w:type="dxa"/>
            <w:vAlign w:val="bottom"/>
          </w:tcPr>
          <w:p>
            <w:pPr>
              <w:spacing w:after="0"/>
              <w:rPr>
                <w:sz w:val="1"/>
                <w:szCs w:val="1"/>
                <w:color w:val="auto"/>
              </w:rPr>
            </w:pPr>
          </w:p>
        </w:tc>
      </w:tr>
      <w:tr>
        <w:trPr>
          <w:trHeight w:val="118"/>
        </w:trPr>
        <w:tc>
          <w:tcPr>
            <w:tcW w:w="13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238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2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13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3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1700" w:hanging="967"/>
        <w:spacing w:after="0" w:line="180" w:lineRule="auto"/>
        <w:tabs>
          <w:tab w:leader="none" w:pos="1700" w:val="left"/>
        </w:tabs>
        <w:numPr>
          <w:ilvl w:val="0"/>
          <w:numId w:val="5"/>
        </w:numPr>
        <w:rPr>
          <w:rFonts w:ascii="Times New Roman" w:cs="Times New Roman" w:eastAsia="Times New Roman" w:hAnsi="Times New Roman"/>
          <w:sz w:val="29"/>
          <w:szCs w:val="29"/>
          <w:b w:val="1"/>
          <w:bCs w:val="1"/>
          <w:color w:val="auto"/>
          <w:vertAlign w:val="subscript"/>
        </w:rPr>
      </w:pPr>
      <w:r>
        <w:rPr>
          <w:rFonts w:ascii="Times New Roman" w:cs="Times New Roman" w:eastAsia="Times New Roman" w:hAnsi="Times New Roman"/>
          <w:sz w:val="13"/>
          <w:szCs w:val="13"/>
          <w:color w:val="auto"/>
        </w:rPr>
        <w:t>AGGREGATE AMOUNT BENEFICIALLY OWNED BY EACH REPORTING PERSON</w:t>
      </w:r>
    </w:p>
    <w:p>
      <w:pPr>
        <w:spacing w:after="0" w:line="34"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660" w:type="dxa"/>
            <w:vAlign w:val="bottom"/>
          </w:tcPr>
          <w:p>
            <w:pPr>
              <w:spacing w:after="0"/>
              <w:rPr>
                <w:sz w:val="19"/>
                <w:szCs w:val="19"/>
                <w:color w:val="auto"/>
              </w:rPr>
            </w:pPr>
          </w:p>
        </w:tc>
        <w:tc>
          <w:tcPr>
            <w:tcW w:w="674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344"/>
        </w:trPr>
        <w:tc>
          <w:tcPr>
            <w:tcW w:w="660" w:type="dxa"/>
            <w:vAlign w:val="bottom"/>
            <w:vMerge w:val="restart"/>
          </w:tcPr>
          <w:p>
            <w:pPr>
              <w:jc w:val="center"/>
              <w:ind w:right="236"/>
              <w:spacing w:after="0"/>
              <w:rPr>
                <w:sz w:val="20"/>
                <w:szCs w:val="20"/>
                <w:color w:val="auto"/>
              </w:rPr>
            </w:pPr>
            <w:r>
              <w:rPr>
                <w:rFonts w:ascii="Times New Roman" w:cs="Times New Roman" w:eastAsia="Times New Roman" w:hAnsi="Times New Roman"/>
                <w:sz w:val="29"/>
                <w:szCs w:val="29"/>
                <w:b w:val="1"/>
                <w:bCs w:val="1"/>
                <w:color w:val="auto"/>
                <w:w w:val="96"/>
              </w:rPr>
              <w:t>10</w:t>
            </w:r>
          </w:p>
        </w:tc>
        <w:tc>
          <w:tcPr>
            <w:tcW w:w="6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0" w:type="dxa"/>
            <w:vAlign w:val="bottom"/>
          </w:tcPr>
          <w:p>
            <w:pPr>
              <w:spacing w:after="0"/>
              <w:rPr>
                <w:sz w:val="1"/>
                <w:szCs w:val="1"/>
                <w:color w:val="auto"/>
              </w:rPr>
            </w:pPr>
          </w:p>
        </w:tc>
      </w:tr>
      <w:tr>
        <w:trPr>
          <w:trHeight w:val="162"/>
        </w:trPr>
        <w:tc>
          <w:tcPr>
            <w:tcW w:w="660" w:type="dxa"/>
            <w:vAlign w:val="bottom"/>
            <w:vMerge w:val="continue"/>
          </w:tcPr>
          <w:p>
            <w:pPr>
              <w:spacing w:after="0"/>
              <w:rPr>
                <w:sz w:val="14"/>
                <w:szCs w:val="14"/>
                <w:color w:val="auto"/>
              </w:rPr>
            </w:pPr>
          </w:p>
        </w:tc>
        <w:tc>
          <w:tcPr>
            <w:tcW w:w="6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8"/>
        </w:trPr>
        <w:tc>
          <w:tcPr>
            <w:tcW w:w="660" w:type="dxa"/>
            <w:vAlign w:val="bottom"/>
            <w:vMerge w:val="restart"/>
          </w:tcPr>
          <w:p>
            <w:pPr>
              <w:jc w:val="center"/>
              <w:ind w:right="236"/>
              <w:spacing w:after="0"/>
              <w:rPr>
                <w:sz w:val="20"/>
                <w:szCs w:val="20"/>
                <w:color w:val="auto"/>
              </w:rPr>
            </w:pPr>
            <w:r>
              <w:rPr>
                <w:rFonts w:ascii="Times New Roman" w:cs="Times New Roman" w:eastAsia="Times New Roman" w:hAnsi="Times New Roman"/>
                <w:sz w:val="29"/>
                <w:szCs w:val="29"/>
                <w:b w:val="1"/>
                <w:bCs w:val="1"/>
                <w:color w:val="auto"/>
                <w:w w:val="96"/>
              </w:rPr>
              <w:t>11</w:t>
            </w:r>
          </w:p>
        </w:tc>
        <w:tc>
          <w:tcPr>
            <w:tcW w:w="6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0" w:type="dxa"/>
            <w:vAlign w:val="bottom"/>
          </w:tcPr>
          <w:p>
            <w:pPr>
              <w:spacing w:after="0"/>
              <w:rPr>
                <w:sz w:val="1"/>
                <w:szCs w:val="1"/>
                <w:color w:val="auto"/>
              </w:rPr>
            </w:pPr>
          </w:p>
        </w:tc>
      </w:tr>
      <w:tr>
        <w:trPr>
          <w:trHeight w:val="178"/>
        </w:trPr>
        <w:tc>
          <w:tcPr>
            <w:tcW w:w="660" w:type="dxa"/>
            <w:vAlign w:val="bottom"/>
            <w:vMerge w:val="continue"/>
          </w:tcPr>
          <w:p>
            <w:pPr>
              <w:spacing w:after="0"/>
              <w:rPr>
                <w:sz w:val="15"/>
                <w:szCs w:val="15"/>
                <w:color w:val="auto"/>
              </w:rPr>
            </w:pPr>
          </w:p>
        </w:tc>
        <w:tc>
          <w:tcPr>
            <w:tcW w:w="6740" w:type="dxa"/>
            <w:vAlign w:val="bottom"/>
            <w:vMerge w:val="restart"/>
          </w:tcPr>
          <w:p>
            <w:pPr>
              <w:ind w:left="70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80"/>
        </w:trPr>
        <w:tc>
          <w:tcPr>
            <w:tcW w:w="660" w:type="dxa"/>
            <w:vAlign w:val="bottom"/>
          </w:tcPr>
          <w:p>
            <w:pPr>
              <w:spacing w:after="0"/>
              <w:rPr>
                <w:sz w:val="6"/>
                <w:szCs w:val="6"/>
                <w:color w:val="auto"/>
              </w:rPr>
            </w:pPr>
          </w:p>
        </w:tc>
        <w:tc>
          <w:tcPr>
            <w:tcW w:w="6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49"/>
        </w:trPr>
        <w:tc>
          <w:tcPr>
            <w:tcW w:w="660" w:type="dxa"/>
            <w:vAlign w:val="bottom"/>
            <w:vMerge w:val="restart"/>
          </w:tcPr>
          <w:p>
            <w:pPr>
              <w:jc w:val="center"/>
              <w:ind w:right="236"/>
              <w:spacing w:after="0"/>
              <w:rPr>
                <w:sz w:val="20"/>
                <w:szCs w:val="20"/>
                <w:color w:val="auto"/>
              </w:rPr>
            </w:pPr>
            <w:r>
              <w:rPr>
                <w:rFonts w:ascii="Times New Roman" w:cs="Times New Roman" w:eastAsia="Times New Roman" w:hAnsi="Times New Roman"/>
                <w:sz w:val="29"/>
                <w:szCs w:val="29"/>
                <w:b w:val="1"/>
                <w:bCs w:val="1"/>
                <w:color w:val="auto"/>
                <w:w w:val="96"/>
              </w:rPr>
              <w:t>12</w:t>
            </w:r>
          </w:p>
        </w:tc>
        <w:tc>
          <w:tcPr>
            <w:tcW w:w="6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TYPE OF REPORTING PERSON</w:t>
            </w:r>
          </w:p>
        </w:tc>
        <w:tc>
          <w:tcPr>
            <w:tcW w:w="0" w:type="dxa"/>
            <w:vAlign w:val="bottom"/>
          </w:tcPr>
          <w:p>
            <w:pPr>
              <w:spacing w:after="0"/>
              <w:rPr>
                <w:sz w:val="1"/>
                <w:szCs w:val="1"/>
                <w:color w:val="auto"/>
              </w:rPr>
            </w:pPr>
          </w:p>
        </w:tc>
      </w:tr>
      <w:tr>
        <w:trPr>
          <w:trHeight w:val="178"/>
        </w:trPr>
        <w:tc>
          <w:tcPr>
            <w:tcW w:w="660" w:type="dxa"/>
            <w:vAlign w:val="bottom"/>
            <w:vMerge w:val="continue"/>
          </w:tcPr>
          <w:p>
            <w:pPr>
              <w:spacing w:after="0"/>
              <w:rPr>
                <w:sz w:val="15"/>
                <w:szCs w:val="15"/>
                <w:color w:val="auto"/>
              </w:rPr>
            </w:pPr>
          </w:p>
        </w:tc>
        <w:tc>
          <w:tcPr>
            <w:tcW w:w="6740" w:type="dxa"/>
            <w:vAlign w:val="bottom"/>
            <w:vMerge w:val="restart"/>
          </w:tcPr>
          <w:p>
            <w:pPr>
              <w:ind w:left="700"/>
              <w:spacing w:after="0"/>
              <w:rPr>
                <w:sz w:val="20"/>
                <w:szCs w:val="20"/>
                <w:color w:val="auto"/>
              </w:rPr>
            </w:pPr>
            <w:r>
              <w:rPr>
                <w:rFonts w:ascii="Times New Roman" w:cs="Times New Roman" w:eastAsia="Times New Roman" w:hAnsi="Times New Roman"/>
                <w:sz w:val="20"/>
                <w:szCs w:val="20"/>
                <w:color w:val="auto"/>
              </w:rPr>
              <w:t>PN, IA</w:t>
            </w:r>
          </w:p>
        </w:tc>
        <w:tc>
          <w:tcPr>
            <w:tcW w:w="0" w:type="dxa"/>
            <w:vAlign w:val="bottom"/>
          </w:tcPr>
          <w:p>
            <w:pPr>
              <w:spacing w:after="0"/>
              <w:rPr>
                <w:sz w:val="1"/>
                <w:szCs w:val="1"/>
                <w:color w:val="auto"/>
              </w:rPr>
            </w:pPr>
          </w:p>
        </w:tc>
      </w:tr>
      <w:tr>
        <w:trPr>
          <w:trHeight w:val="80"/>
        </w:trPr>
        <w:tc>
          <w:tcPr>
            <w:tcW w:w="660" w:type="dxa"/>
            <w:vAlign w:val="bottom"/>
          </w:tcPr>
          <w:p>
            <w:pPr>
              <w:spacing w:after="0"/>
              <w:rPr>
                <w:sz w:val="6"/>
                <w:szCs w:val="6"/>
                <w:color w:val="auto"/>
              </w:rPr>
            </w:pPr>
          </w:p>
        </w:tc>
        <w:tc>
          <w:tcPr>
            <w:tcW w:w="6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63" w:hanging="263"/>
        <w:spacing w:after="0" w:line="282" w:lineRule="exact"/>
        <w:tabs>
          <w:tab w:leader="none" w:pos="263" w:val="left"/>
        </w:tabs>
        <w:numPr>
          <w:ilvl w:val="0"/>
          <w:numId w:val="6"/>
        </w:numPr>
        <w:rPr>
          <w:rFonts w:ascii="Times New Roman" w:cs="Times New Roman" w:eastAsia="Times New Roman" w:hAnsi="Times New Roman"/>
          <w:sz w:val="19"/>
          <w:szCs w:val="19"/>
          <w:color w:val="auto"/>
        </w:rPr>
      </w:pPr>
      <w:r>
        <w:rPr>
          <w:rFonts w:ascii="MS PGothic" w:cs="MS PGothic" w:eastAsia="MS PGothic" w:hAnsi="MS PGothic"/>
          <w:sz w:val="28"/>
          <w:szCs w:val="28"/>
          <w:color w:val="auto"/>
        </w:rPr>
        <w:t>☐</w:t>
      </w:r>
    </w:p>
    <w:p>
      <w:pPr>
        <w:spacing w:after="0" w:line="203" w:lineRule="exact"/>
        <w:rPr>
          <w:rFonts w:ascii="Times New Roman" w:cs="Times New Roman" w:eastAsia="Times New Roman" w:hAnsi="Times New Roman"/>
          <w:sz w:val="19"/>
          <w:szCs w:val="19"/>
          <w:color w:val="auto"/>
        </w:rPr>
      </w:pPr>
    </w:p>
    <w:p>
      <w:pPr>
        <w:ind w:left="283" w:hanging="283"/>
        <w:spacing w:after="0" w:line="263" w:lineRule="exact"/>
        <w:tabs>
          <w:tab w:leader="none" w:pos="283"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26"/>
          <w:szCs w:val="2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03"/>
        <w:spacing w:after="0" w:line="291" w:lineRule="exact"/>
        <w:rPr>
          <w:sz w:val="20"/>
          <w:szCs w:val="20"/>
          <w:color w:val="auto"/>
        </w:rPr>
      </w:pPr>
      <w:r>
        <w:rPr>
          <w:rFonts w:ascii="MS PGothic" w:cs="MS PGothic" w:eastAsia="MS PGothic" w:hAnsi="MS PGothic"/>
          <w:sz w:val="29"/>
          <w:szCs w:val="29"/>
          <w:color w:val="auto"/>
        </w:rPr>
        <w:t>☐</w:t>
      </w:r>
    </w:p>
    <w:p>
      <w:pPr>
        <w:sectPr>
          <w:pgSz w:w="11900" w:h="16838" w:orient="portrait"/>
          <w:cols w:equalWidth="0" w:num="2">
            <w:col w:w="9497" w:space="720"/>
            <w:col w:w="1023"/>
          </w:cols>
          <w:pgMar w:left="320" w:top="225" w:right="339" w:bottom="1440" w:gutter="0" w:footer="0" w:header="0"/>
          <w:type w:val="continuous"/>
        </w:sectPr>
      </w:pPr>
    </w:p>
    <w:bookmarkStart w:id="2" w:name="page3"/>
    <w:bookmarkEnd w:id="2"/>
    <w:p>
      <w:pPr>
        <w:spacing w:after="0"/>
        <w:tabs>
          <w:tab w:leader="none" w:pos="53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69353Y103</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3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46202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62026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12"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540" w:type="dxa"/>
            <w:vAlign w:val="bottom"/>
            <w:vMerge w:val="restart"/>
          </w:tcPr>
          <w:p>
            <w:pPr>
              <w:jc w:val="right"/>
              <w:ind w:right="256"/>
              <w:spacing w:after="0"/>
              <w:rPr>
                <w:sz w:val="20"/>
                <w:szCs w:val="20"/>
                <w:color w:val="auto"/>
              </w:rPr>
            </w:pPr>
            <w:r>
              <w:rPr>
                <w:rFonts w:ascii="Times New Roman" w:cs="Times New Roman" w:eastAsia="Times New Roman" w:hAnsi="Times New Roman"/>
                <w:sz w:val="29"/>
                <w:szCs w:val="29"/>
                <w:b w:val="1"/>
                <w:bCs w:val="1"/>
                <w:color w:val="auto"/>
                <w:w w:val="82"/>
              </w:rPr>
              <w:t>1</w:t>
            </w:r>
          </w:p>
        </w:tc>
        <w:tc>
          <w:tcPr>
            <w:tcW w:w="2920" w:type="dxa"/>
            <w:vAlign w:val="bottom"/>
          </w:tcPr>
          <w:p>
            <w:pPr>
              <w:ind w:left="420"/>
              <w:spacing w:after="0"/>
              <w:rPr>
                <w:sz w:val="20"/>
                <w:szCs w:val="20"/>
                <w:color w:val="auto"/>
              </w:rPr>
            </w:pPr>
            <w:r>
              <w:rPr>
                <w:rFonts w:ascii="Times New Roman" w:cs="Times New Roman" w:eastAsia="Times New Roman" w:hAnsi="Times New Roman"/>
                <w:sz w:val="16"/>
                <w:szCs w:val="16"/>
                <w:color w:val="auto"/>
                <w:w w:val="99"/>
              </w:rPr>
              <w:t>NAMES OF REPORTING PERSONS</w:t>
            </w:r>
          </w:p>
        </w:tc>
        <w:tc>
          <w:tcPr>
            <w:tcW w:w="0" w:type="dxa"/>
            <w:vAlign w:val="bottom"/>
          </w:tcPr>
          <w:p>
            <w:pPr>
              <w:spacing w:after="0"/>
              <w:rPr>
                <w:sz w:val="1"/>
                <w:szCs w:val="1"/>
                <w:color w:val="auto"/>
              </w:rPr>
            </w:pPr>
          </w:p>
        </w:tc>
      </w:tr>
      <w:tr>
        <w:trPr>
          <w:trHeight w:val="178"/>
        </w:trPr>
        <w:tc>
          <w:tcPr>
            <w:tcW w:w="540" w:type="dxa"/>
            <w:vAlign w:val="bottom"/>
            <w:vMerge w:val="continue"/>
          </w:tcPr>
          <w:p>
            <w:pPr>
              <w:spacing w:after="0"/>
              <w:rPr>
                <w:sz w:val="15"/>
                <w:szCs w:val="15"/>
                <w:color w:val="auto"/>
              </w:rPr>
            </w:pPr>
          </w:p>
        </w:tc>
        <w:tc>
          <w:tcPr>
            <w:tcW w:w="2920" w:type="dxa"/>
            <w:vAlign w:val="bottom"/>
            <w:vMerge w:val="restart"/>
          </w:tcPr>
          <w:p>
            <w:pPr>
              <w:ind w:left="740"/>
              <w:spacing w:after="0"/>
              <w:rPr>
                <w:sz w:val="20"/>
                <w:szCs w:val="20"/>
                <w:color w:val="auto"/>
              </w:rPr>
            </w:pPr>
            <w:r>
              <w:rPr>
                <w:rFonts w:ascii="Times New Roman" w:cs="Times New Roman" w:eastAsia="Times New Roman" w:hAnsi="Times New Roman"/>
                <w:sz w:val="20"/>
                <w:szCs w:val="20"/>
                <w:color w:val="auto"/>
              </w:rPr>
              <w:t>Roderick Wong, M.D.</w:t>
            </w:r>
          </w:p>
        </w:tc>
        <w:tc>
          <w:tcPr>
            <w:tcW w:w="0" w:type="dxa"/>
            <w:vAlign w:val="bottom"/>
          </w:tcPr>
          <w:p>
            <w:pPr>
              <w:spacing w:after="0"/>
              <w:rPr>
                <w:sz w:val="1"/>
                <w:szCs w:val="1"/>
                <w:color w:val="auto"/>
              </w:rPr>
            </w:pPr>
          </w:p>
        </w:tc>
      </w:tr>
      <w:tr>
        <w:trPr>
          <w:trHeight w:val="80"/>
        </w:trPr>
        <w:tc>
          <w:tcPr>
            <w:tcW w:w="540" w:type="dxa"/>
            <w:vAlign w:val="bottom"/>
          </w:tcPr>
          <w:p>
            <w:pPr>
              <w:spacing w:after="0"/>
              <w:rPr>
                <w:sz w:val="6"/>
                <w:szCs w:val="6"/>
                <w:color w:val="auto"/>
              </w:rPr>
            </w:pPr>
          </w:p>
        </w:tc>
        <w:tc>
          <w:tcPr>
            <w:tcW w:w="2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700" w:hanging="967"/>
        <w:spacing w:after="0" w:line="181" w:lineRule="auto"/>
        <w:tabs>
          <w:tab w:leader="none" w:pos="1700" w:val="left"/>
        </w:tabs>
        <w:numPr>
          <w:ilvl w:val="0"/>
          <w:numId w:val="7"/>
        </w:numPr>
        <w:rPr>
          <w:rFonts w:ascii="Times New Roman" w:cs="Times New Roman" w:eastAsia="Times New Roman" w:hAnsi="Times New Roman"/>
          <w:sz w:val="42"/>
          <w:szCs w:val="42"/>
          <w:b w:val="1"/>
          <w:bCs w:val="1"/>
          <w:color w:val="auto"/>
          <w:vertAlign w:val="subscript"/>
        </w:rPr>
      </w:pPr>
      <w:r>
        <w:rPr>
          <w:rFonts w:ascii="Times New Roman" w:cs="Times New Roman" w:eastAsia="Times New Roman" w:hAnsi="Times New Roman"/>
          <w:sz w:val="14"/>
          <w:szCs w:val="14"/>
          <w:color w:val="auto"/>
        </w:rPr>
        <w:t>CHECK THE APPROPRIATE BOX IF A MEMBER OF A GROUP</w:t>
      </w:r>
    </w:p>
    <w:p>
      <w:pPr>
        <w:spacing w:after="0" w:line="77" w:lineRule="exact"/>
        <w:rPr>
          <w:sz w:val="20"/>
          <w:szCs w:val="20"/>
          <w:color w:val="auto"/>
        </w:rPr>
      </w:pPr>
    </w:p>
    <w:p>
      <w:pPr>
        <w:ind w:left="1700" w:hanging="967"/>
        <w:spacing w:after="0"/>
        <w:tabs>
          <w:tab w:leader="none" w:pos="1700" w:val="left"/>
        </w:tabs>
        <w:numPr>
          <w:ilvl w:val="0"/>
          <w:numId w:val="8"/>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6"/>
          <w:szCs w:val="16"/>
          <w:color w:val="auto"/>
        </w:rPr>
        <w:t>SEC USE ONLY</w:t>
      </w:r>
    </w:p>
    <w:p>
      <w:pPr>
        <w:spacing w:after="0" w:line="305" w:lineRule="exact"/>
        <w:rPr>
          <w:sz w:val="20"/>
          <w:szCs w:val="20"/>
          <w:color w:val="auto"/>
        </w:rPr>
      </w:pPr>
    </w:p>
    <w:tbl>
      <w:tblPr>
        <w:tblLayout w:type="fixed"/>
        <w:tblInd w:w="240" w:type="dxa"/>
        <w:tblCellMar>
          <w:top w:w="0" w:type="dxa"/>
          <w:left w:w="0" w:type="dxa"/>
          <w:bottom w:w="0" w:type="dxa"/>
          <w:right w:w="0" w:type="dxa"/>
        </w:tblCellMar>
      </w:tblPr>
      <w:tr>
        <w:trPr>
          <w:trHeight w:val="204"/>
        </w:trPr>
        <w:tc>
          <w:tcPr>
            <w:tcW w:w="1300" w:type="dxa"/>
            <w:vAlign w:val="bottom"/>
            <w:vMerge w:val="restart"/>
          </w:tcPr>
          <w:p>
            <w:pPr>
              <w:jc w:val="center"/>
              <w:ind w:right="71"/>
              <w:spacing w:after="0"/>
              <w:rPr>
                <w:sz w:val="20"/>
                <w:szCs w:val="20"/>
                <w:color w:val="auto"/>
              </w:rPr>
            </w:pPr>
            <w:r>
              <w:rPr>
                <w:rFonts w:ascii="Times New Roman" w:cs="Times New Roman" w:eastAsia="Times New Roman" w:hAnsi="Times New Roman"/>
                <w:sz w:val="29"/>
                <w:szCs w:val="29"/>
                <w:b w:val="1"/>
                <w:bCs w:val="1"/>
                <w:color w:val="auto"/>
                <w:w w:val="96"/>
              </w:rPr>
              <w:t>4</w:t>
            </w:r>
          </w:p>
        </w:tc>
        <w:tc>
          <w:tcPr>
            <w:tcW w:w="368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3680" w:type="dxa"/>
            <w:vAlign w:val="bottom"/>
            <w:gridSpan w:val="3"/>
            <w:vMerge w:val="restart"/>
          </w:tcPr>
          <w:p>
            <w:pPr>
              <w:ind w:left="480"/>
              <w:spacing w:after="0"/>
              <w:rPr>
                <w:sz w:val="20"/>
                <w:szCs w:val="20"/>
                <w:color w:val="auto"/>
              </w:rPr>
            </w:pPr>
            <w:r>
              <w:rPr>
                <w:rFonts w:ascii="Times New Roman" w:cs="Times New Roman" w:eastAsia="Times New Roman" w:hAnsi="Times New Roman"/>
                <w:sz w:val="20"/>
                <w:szCs w:val="20"/>
                <w:color w:val="auto"/>
              </w:rPr>
              <w:t>United States</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368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300" w:type="dxa"/>
            <w:vAlign w:val="bottom"/>
          </w:tcPr>
          <w:p>
            <w:pPr>
              <w:spacing w:after="0"/>
              <w:rPr>
                <w:sz w:val="8"/>
                <w:szCs w:val="8"/>
                <w:color w:val="auto"/>
              </w:rPr>
            </w:pPr>
          </w:p>
        </w:tc>
        <w:tc>
          <w:tcPr>
            <w:tcW w:w="1280" w:type="dxa"/>
            <w:vAlign w:val="bottom"/>
            <w:vMerge w:val="restart"/>
          </w:tcPr>
          <w:p>
            <w:pPr>
              <w:jc w:val="right"/>
              <w:ind w:right="414"/>
              <w:spacing w:after="0"/>
              <w:rPr>
                <w:sz w:val="20"/>
                <w:szCs w:val="20"/>
                <w:color w:val="auto"/>
              </w:rPr>
            </w:pPr>
            <w:r>
              <w:rPr>
                <w:rFonts w:ascii="Times New Roman" w:cs="Times New Roman" w:eastAsia="Times New Roman" w:hAnsi="Times New Roman"/>
                <w:sz w:val="29"/>
                <w:szCs w:val="29"/>
                <w:b w:val="1"/>
                <w:bCs w:val="1"/>
                <w:color w:val="auto"/>
              </w:rPr>
              <w:t>5</w:t>
            </w:r>
          </w:p>
        </w:tc>
        <w:tc>
          <w:tcPr>
            <w:tcW w:w="20" w:type="dxa"/>
            <w:vAlign w:val="bottom"/>
          </w:tcPr>
          <w:p>
            <w:pPr>
              <w:spacing w:after="0"/>
              <w:rPr>
                <w:sz w:val="8"/>
                <w:szCs w:val="8"/>
                <w:color w:val="auto"/>
              </w:rPr>
            </w:pPr>
          </w:p>
        </w:tc>
        <w:tc>
          <w:tcPr>
            <w:tcW w:w="238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SOLE VOTING POWER</w:t>
            </w: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23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238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- 0 -</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2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300" w:type="dxa"/>
            <w:vAlign w:val="bottom"/>
          </w:tcPr>
          <w:p>
            <w:pPr>
              <w:jc w:val="center"/>
              <w:ind w:right="71"/>
              <w:spacing w:after="0"/>
              <w:rPr>
                <w:sz w:val="20"/>
                <w:szCs w:val="20"/>
                <w:color w:val="auto"/>
              </w:rPr>
            </w:pPr>
            <w:r>
              <w:rPr>
                <w:rFonts w:ascii="Times New Roman" w:cs="Times New Roman" w:eastAsia="Times New Roman" w:hAnsi="Times New Roman"/>
                <w:sz w:val="16"/>
                <w:szCs w:val="16"/>
                <w:color w:val="auto"/>
              </w:rPr>
              <w:t>NUMBER OF</w:t>
            </w:r>
          </w:p>
        </w:tc>
        <w:tc>
          <w:tcPr>
            <w:tcW w:w="1280" w:type="dxa"/>
            <w:vAlign w:val="bottom"/>
            <w:vMerge w:val="restart"/>
          </w:tcPr>
          <w:p>
            <w:pPr>
              <w:jc w:val="right"/>
              <w:ind w:right="414"/>
              <w:spacing w:after="0"/>
              <w:rPr>
                <w:sz w:val="20"/>
                <w:szCs w:val="20"/>
                <w:color w:val="auto"/>
              </w:rPr>
            </w:pPr>
            <w:r>
              <w:rPr>
                <w:rFonts w:ascii="Times New Roman" w:cs="Times New Roman" w:eastAsia="Times New Roman" w:hAnsi="Times New Roman"/>
                <w:sz w:val="29"/>
                <w:szCs w:val="29"/>
                <w:b w:val="1"/>
                <w:bCs w:val="1"/>
                <w:color w:val="auto"/>
              </w:rPr>
              <w:t>6</w:t>
            </w:r>
          </w:p>
        </w:tc>
        <w:tc>
          <w:tcPr>
            <w:tcW w:w="20" w:type="dxa"/>
            <w:vAlign w:val="bottom"/>
            <w:shd w:val="clear" w:color="auto" w:fill="000000"/>
          </w:tcPr>
          <w:p>
            <w:pPr>
              <w:spacing w:after="0"/>
              <w:rPr>
                <w:sz w:val="19"/>
                <w:szCs w:val="19"/>
                <w:color w:val="auto"/>
              </w:rPr>
            </w:pPr>
          </w:p>
        </w:tc>
        <w:tc>
          <w:tcPr>
            <w:tcW w:w="238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SHARED VOTING POWER</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ind w:right="71"/>
              <w:spacing w:after="0"/>
              <w:rPr>
                <w:sz w:val="20"/>
                <w:szCs w:val="20"/>
                <w:color w:val="auto"/>
              </w:rPr>
            </w:pPr>
            <w:r>
              <w:rPr>
                <w:rFonts w:ascii="Times New Roman" w:cs="Times New Roman" w:eastAsia="Times New Roman" w:hAnsi="Times New Roman"/>
                <w:sz w:val="16"/>
                <w:szCs w:val="16"/>
                <w:color w:val="auto"/>
              </w:rPr>
              <w:t>SHARES</w:t>
            </w: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238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203"/>
        </w:trPr>
        <w:tc>
          <w:tcPr>
            <w:tcW w:w="1300" w:type="dxa"/>
            <w:vAlign w:val="bottom"/>
          </w:tcPr>
          <w:p>
            <w:pPr>
              <w:jc w:val="center"/>
              <w:ind w:right="71"/>
              <w:spacing w:after="0"/>
              <w:rPr>
                <w:sz w:val="20"/>
                <w:szCs w:val="20"/>
                <w:color w:val="auto"/>
              </w:rPr>
            </w:pPr>
            <w:r>
              <w:rPr>
                <w:rFonts w:ascii="Times New Roman" w:cs="Times New Roman" w:eastAsia="Times New Roman" w:hAnsi="Times New Roman"/>
                <w:sz w:val="16"/>
                <w:szCs w:val="16"/>
                <w:color w:val="auto"/>
                <w:w w:val="99"/>
              </w:rPr>
              <w:t>BENEFICIALLY</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2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jc w:val="center"/>
              <w:ind w:right="71"/>
              <w:spacing w:after="0"/>
              <w:rPr>
                <w:sz w:val="20"/>
                <w:szCs w:val="20"/>
                <w:color w:val="auto"/>
              </w:rPr>
            </w:pPr>
            <w:r>
              <w:rPr>
                <w:rFonts w:ascii="Times New Roman" w:cs="Times New Roman" w:eastAsia="Times New Roman" w:hAnsi="Times New Roman"/>
                <w:sz w:val="16"/>
                <w:szCs w:val="16"/>
                <w:color w:val="auto"/>
              </w:rPr>
              <w:t>OWNED BY</w:t>
            </w:r>
          </w:p>
        </w:tc>
        <w:tc>
          <w:tcPr>
            <w:tcW w:w="1280" w:type="dxa"/>
            <w:vAlign w:val="bottom"/>
            <w:vMerge w:val="restart"/>
          </w:tcPr>
          <w:p>
            <w:pPr>
              <w:jc w:val="right"/>
              <w:ind w:right="414"/>
              <w:spacing w:after="0"/>
              <w:rPr>
                <w:sz w:val="20"/>
                <w:szCs w:val="20"/>
                <w:color w:val="auto"/>
              </w:rPr>
            </w:pPr>
            <w:r>
              <w:rPr>
                <w:rFonts w:ascii="Times New Roman" w:cs="Times New Roman" w:eastAsia="Times New Roman" w:hAnsi="Times New Roman"/>
                <w:sz w:val="29"/>
                <w:szCs w:val="29"/>
                <w:b w:val="1"/>
                <w:bCs w:val="1"/>
                <w:color w:val="auto"/>
              </w:rPr>
              <w:t>7</w:t>
            </w:r>
          </w:p>
        </w:tc>
        <w:tc>
          <w:tcPr>
            <w:tcW w:w="20" w:type="dxa"/>
            <w:vAlign w:val="bottom"/>
            <w:shd w:val="clear" w:color="auto" w:fill="000000"/>
          </w:tcPr>
          <w:p>
            <w:pPr>
              <w:spacing w:after="0"/>
              <w:rPr>
                <w:sz w:val="17"/>
                <w:szCs w:val="17"/>
                <w:color w:val="auto"/>
              </w:rPr>
            </w:pPr>
          </w:p>
        </w:tc>
        <w:tc>
          <w:tcPr>
            <w:tcW w:w="238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SOLE DISPOSITIVE POWER</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ind w:right="91"/>
              <w:spacing w:after="0"/>
              <w:rPr>
                <w:sz w:val="20"/>
                <w:szCs w:val="20"/>
                <w:color w:val="auto"/>
              </w:rPr>
            </w:pPr>
            <w:r>
              <w:rPr>
                <w:rFonts w:ascii="Times New Roman" w:cs="Times New Roman" w:eastAsia="Times New Roman" w:hAnsi="Times New Roman"/>
                <w:sz w:val="16"/>
                <w:szCs w:val="16"/>
                <w:color w:val="auto"/>
              </w:rPr>
              <w:t>EACH</w:t>
            </w: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238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- 0 -</w:t>
            </w:r>
          </w:p>
        </w:tc>
        <w:tc>
          <w:tcPr>
            <w:tcW w:w="0" w:type="dxa"/>
            <w:vAlign w:val="bottom"/>
          </w:tcPr>
          <w:p>
            <w:pPr>
              <w:spacing w:after="0"/>
              <w:rPr>
                <w:sz w:val="1"/>
                <w:szCs w:val="1"/>
                <w:color w:val="auto"/>
              </w:rPr>
            </w:pPr>
          </w:p>
        </w:tc>
      </w:tr>
      <w:tr>
        <w:trPr>
          <w:trHeight w:val="203"/>
        </w:trPr>
        <w:tc>
          <w:tcPr>
            <w:tcW w:w="1300" w:type="dxa"/>
            <w:vAlign w:val="bottom"/>
          </w:tcPr>
          <w:p>
            <w:pPr>
              <w:jc w:val="center"/>
              <w:ind w:right="71"/>
              <w:spacing w:after="0"/>
              <w:rPr>
                <w:sz w:val="20"/>
                <w:szCs w:val="20"/>
                <w:color w:val="auto"/>
              </w:rPr>
            </w:pPr>
            <w:r>
              <w:rPr>
                <w:rFonts w:ascii="Times New Roman" w:cs="Times New Roman" w:eastAsia="Times New Roman" w:hAnsi="Times New Roman"/>
                <w:sz w:val="16"/>
                <w:szCs w:val="16"/>
                <w:color w:val="auto"/>
              </w:rPr>
              <w:t>REPORTING</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2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00" w:type="dxa"/>
            <w:vAlign w:val="bottom"/>
          </w:tcPr>
          <w:p>
            <w:pPr>
              <w:jc w:val="center"/>
              <w:ind w:right="91"/>
              <w:spacing w:after="0"/>
              <w:rPr>
                <w:sz w:val="20"/>
                <w:szCs w:val="20"/>
                <w:color w:val="auto"/>
              </w:rPr>
            </w:pPr>
            <w:r>
              <w:rPr>
                <w:rFonts w:ascii="Times New Roman" w:cs="Times New Roman" w:eastAsia="Times New Roman" w:hAnsi="Times New Roman"/>
                <w:sz w:val="16"/>
                <w:szCs w:val="16"/>
                <w:color w:val="auto"/>
              </w:rPr>
              <w:t>PERSON WITH</w:t>
            </w:r>
          </w:p>
        </w:tc>
        <w:tc>
          <w:tcPr>
            <w:tcW w:w="1280" w:type="dxa"/>
            <w:vAlign w:val="bottom"/>
            <w:vMerge w:val="restart"/>
          </w:tcPr>
          <w:p>
            <w:pPr>
              <w:jc w:val="right"/>
              <w:ind w:right="414"/>
              <w:spacing w:after="0"/>
              <w:rPr>
                <w:sz w:val="20"/>
                <w:szCs w:val="20"/>
                <w:color w:val="auto"/>
              </w:rPr>
            </w:pPr>
            <w:r>
              <w:rPr>
                <w:rFonts w:ascii="Times New Roman" w:cs="Times New Roman" w:eastAsia="Times New Roman" w:hAnsi="Times New Roman"/>
                <w:sz w:val="29"/>
                <w:szCs w:val="29"/>
                <w:b w:val="1"/>
                <w:bCs w:val="1"/>
                <w:color w:val="auto"/>
              </w:rPr>
              <w:t>8</w:t>
            </w:r>
          </w:p>
        </w:tc>
        <w:tc>
          <w:tcPr>
            <w:tcW w:w="20" w:type="dxa"/>
            <w:vAlign w:val="bottom"/>
            <w:shd w:val="clear" w:color="auto" w:fill="000000"/>
          </w:tcPr>
          <w:p>
            <w:pPr>
              <w:spacing w:after="0"/>
              <w:rPr>
                <w:sz w:val="18"/>
                <w:szCs w:val="18"/>
                <w:color w:val="auto"/>
              </w:rPr>
            </w:pPr>
          </w:p>
        </w:tc>
        <w:tc>
          <w:tcPr>
            <w:tcW w:w="238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SHARED DISPOSITIVE POWER</w:t>
            </w:r>
          </w:p>
        </w:tc>
        <w:tc>
          <w:tcPr>
            <w:tcW w:w="0" w:type="dxa"/>
            <w:vAlign w:val="bottom"/>
          </w:tcPr>
          <w:p>
            <w:pPr>
              <w:spacing w:after="0"/>
              <w:rPr>
                <w:sz w:val="1"/>
                <w:szCs w:val="1"/>
                <w:color w:val="auto"/>
              </w:rPr>
            </w:pPr>
          </w:p>
        </w:tc>
      </w:tr>
      <w:tr>
        <w:trPr>
          <w:trHeight w:val="118"/>
        </w:trPr>
        <w:tc>
          <w:tcPr>
            <w:tcW w:w="13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238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2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13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3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1700" w:hanging="967"/>
        <w:spacing w:after="0" w:line="180" w:lineRule="auto"/>
        <w:tabs>
          <w:tab w:leader="none" w:pos="1700" w:val="left"/>
        </w:tabs>
        <w:numPr>
          <w:ilvl w:val="0"/>
          <w:numId w:val="9"/>
        </w:numPr>
        <w:rPr>
          <w:rFonts w:ascii="Times New Roman" w:cs="Times New Roman" w:eastAsia="Times New Roman" w:hAnsi="Times New Roman"/>
          <w:sz w:val="29"/>
          <w:szCs w:val="29"/>
          <w:b w:val="1"/>
          <w:bCs w:val="1"/>
          <w:color w:val="auto"/>
          <w:vertAlign w:val="subscript"/>
        </w:rPr>
      </w:pPr>
      <w:r>
        <w:rPr>
          <w:rFonts w:ascii="Times New Roman" w:cs="Times New Roman" w:eastAsia="Times New Roman" w:hAnsi="Times New Roman"/>
          <w:sz w:val="13"/>
          <w:szCs w:val="13"/>
          <w:color w:val="auto"/>
        </w:rPr>
        <w:t>AGGREGATE AMOUNT BENEFICIALLY OWNED BY EACH REPORTING PERSON</w:t>
      </w:r>
    </w:p>
    <w:p>
      <w:pPr>
        <w:spacing w:after="0" w:line="34"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660" w:type="dxa"/>
            <w:vAlign w:val="bottom"/>
          </w:tcPr>
          <w:p>
            <w:pPr>
              <w:spacing w:after="0"/>
              <w:rPr>
                <w:sz w:val="19"/>
                <w:szCs w:val="19"/>
                <w:color w:val="auto"/>
              </w:rPr>
            </w:pPr>
          </w:p>
        </w:tc>
        <w:tc>
          <w:tcPr>
            <w:tcW w:w="674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344"/>
        </w:trPr>
        <w:tc>
          <w:tcPr>
            <w:tcW w:w="660" w:type="dxa"/>
            <w:vAlign w:val="bottom"/>
            <w:vMerge w:val="restart"/>
          </w:tcPr>
          <w:p>
            <w:pPr>
              <w:jc w:val="center"/>
              <w:ind w:right="236"/>
              <w:spacing w:after="0"/>
              <w:rPr>
                <w:sz w:val="20"/>
                <w:szCs w:val="20"/>
                <w:color w:val="auto"/>
              </w:rPr>
            </w:pPr>
            <w:r>
              <w:rPr>
                <w:rFonts w:ascii="Times New Roman" w:cs="Times New Roman" w:eastAsia="Times New Roman" w:hAnsi="Times New Roman"/>
                <w:sz w:val="29"/>
                <w:szCs w:val="29"/>
                <w:b w:val="1"/>
                <w:bCs w:val="1"/>
                <w:color w:val="auto"/>
                <w:w w:val="96"/>
              </w:rPr>
              <w:t>10</w:t>
            </w:r>
          </w:p>
        </w:tc>
        <w:tc>
          <w:tcPr>
            <w:tcW w:w="6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0" w:type="dxa"/>
            <w:vAlign w:val="bottom"/>
          </w:tcPr>
          <w:p>
            <w:pPr>
              <w:spacing w:after="0"/>
              <w:rPr>
                <w:sz w:val="1"/>
                <w:szCs w:val="1"/>
                <w:color w:val="auto"/>
              </w:rPr>
            </w:pPr>
          </w:p>
        </w:tc>
      </w:tr>
      <w:tr>
        <w:trPr>
          <w:trHeight w:val="161"/>
        </w:trPr>
        <w:tc>
          <w:tcPr>
            <w:tcW w:w="660" w:type="dxa"/>
            <w:vAlign w:val="bottom"/>
            <w:vMerge w:val="continue"/>
          </w:tcPr>
          <w:p>
            <w:pPr>
              <w:spacing w:after="0"/>
              <w:rPr>
                <w:sz w:val="14"/>
                <w:szCs w:val="14"/>
                <w:color w:val="auto"/>
              </w:rPr>
            </w:pPr>
          </w:p>
        </w:tc>
        <w:tc>
          <w:tcPr>
            <w:tcW w:w="6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8"/>
        </w:trPr>
        <w:tc>
          <w:tcPr>
            <w:tcW w:w="660" w:type="dxa"/>
            <w:vAlign w:val="bottom"/>
            <w:vMerge w:val="restart"/>
          </w:tcPr>
          <w:p>
            <w:pPr>
              <w:jc w:val="center"/>
              <w:ind w:right="236"/>
              <w:spacing w:after="0"/>
              <w:rPr>
                <w:sz w:val="20"/>
                <w:szCs w:val="20"/>
                <w:color w:val="auto"/>
              </w:rPr>
            </w:pPr>
            <w:r>
              <w:rPr>
                <w:rFonts w:ascii="Times New Roman" w:cs="Times New Roman" w:eastAsia="Times New Roman" w:hAnsi="Times New Roman"/>
                <w:sz w:val="29"/>
                <w:szCs w:val="29"/>
                <w:b w:val="1"/>
                <w:bCs w:val="1"/>
                <w:color w:val="auto"/>
                <w:w w:val="96"/>
              </w:rPr>
              <w:t>11</w:t>
            </w:r>
          </w:p>
        </w:tc>
        <w:tc>
          <w:tcPr>
            <w:tcW w:w="6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0" w:type="dxa"/>
            <w:vAlign w:val="bottom"/>
          </w:tcPr>
          <w:p>
            <w:pPr>
              <w:spacing w:after="0"/>
              <w:rPr>
                <w:sz w:val="1"/>
                <w:szCs w:val="1"/>
                <w:color w:val="auto"/>
              </w:rPr>
            </w:pPr>
          </w:p>
        </w:tc>
      </w:tr>
      <w:tr>
        <w:trPr>
          <w:trHeight w:val="178"/>
        </w:trPr>
        <w:tc>
          <w:tcPr>
            <w:tcW w:w="660" w:type="dxa"/>
            <w:vAlign w:val="bottom"/>
            <w:vMerge w:val="continue"/>
          </w:tcPr>
          <w:p>
            <w:pPr>
              <w:spacing w:after="0"/>
              <w:rPr>
                <w:sz w:val="15"/>
                <w:szCs w:val="15"/>
                <w:color w:val="auto"/>
              </w:rPr>
            </w:pPr>
          </w:p>
        </w:tc>
        <w:tc>
          <w:tcPr>
            <w:tcW w:w="6740" w:type="dxa"/>
            <w:vAlign w:val="bottom"/>
            <w:vMerge w:val="restart"/>
          </w:tcPr>
          <w:p>
            <w:pPr>
              <w:ind w:left="70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80"/>
        </w:trPr>
        <w:tc>
          <w:tcPr>
            <w:tcW w:w="660" w:type="dxa"/>
            <w:vAlign w:val="bottom"/>
          </w:tcPr>
          <w:p>
            <w:pPr>
              <w:spacing w:after="0"/>
              <w:rPr>
                <w:sz w:val="6"/>
                <w:szCs w:val="6"/>
                <w:color w:val="auto"/>
              </w:rPr>
            </w:pPr>
          </w:p>
        </w:tc>
        <w:tc>
          <w:tcPr>
            <w:tcW w:w="6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49"/>
        </w:trPr>
        <w:tc>
          <w:tcPr>
            <w:tcW w:w="660" w:type="dxa"/>
            <w:vAlign w:val="bottom"/>
            <w:vMerge w:val="restart"/>
          </w:tcPr>
          <w:p>
            <w:pPr>
              <w:jc w:val="center"/>
              <w:ind w:right="236"/>
              <w:spacing w:after="0"/>
              <w:rPr>
                <w:sz w:val="20"/>
                <w:szCs w:val="20"/>
                <w:color w:val="auto"/>
              </w:rPr>
            </w:pPr>
            <w:r>
              <w:rPr>
                <w:rFonts w:ascii="Times New Roman" w:cs="Times New Roman" w:eastAsia="Times New Roman" w:hAnsi="Times New Roman"/>
                <w:sz w:val="29"/>
                <w:szCs w:val="29"/>
                <w:b w:val="1"/>
                <w:bCs w:val="1"/>
                <w:color w:val="auto"/>
                <w:w w:val="96"/>
              </w:rPr>
              <w:t>12</w:t>
            </w:r>
          </w:p>
        </w:tc>
        <w:tc>
          <w:tcPr>
            <w:tcW w:w="6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TYPE OF REPORTING PERSON</w:t>
            </w:r>
          </w:p>
        </w:tc>
        <w:tc>
          <w:tcPr>
            <w:tcW w:w="0" w:type="dxa"/>
            <w:vAlign w:val="bottom"/>
          </w:tcPr>
          <w:p>
            <w:pPr>
              <w:spacing w:after="0"/>
              <w:rPr>
                <w:sz w:val="1"/>
                <w:szCs w:val="1"/>
                <w:color w:val="auto"/>
              </w:rPr>
            </w:pPr>
          </w:p>
        </w:tc>
      </w:tr>
      <w:tr>
        <w:trPr>
          <w:trHeight w:val="178"/>
        </w:trPr>
        <w:tc>
          <w:tcPr>
            <w:tcW w:w="660" w:type="dxa"/>
            <w:vAlign w:val="bottom"/>
            <w:vMerge w:val="continue"/>
          </w:tcPr>
          <w:p>
            <w:pPr>
              <w:spacing w:after="0"/>
              <w:rPr>
                <w:sz w:val="15"/>
                <w:szCs w:val="15"/>
                <w:color w:val="auto"/>
              </w:rPr>
            </w:pPr>
          </w:p>
        </w:tc>
        <w:tc>
          <w:tcPr>
            <w:tcW w:w="6740" w:type="dxa"/>
            <w:vAlign w:val="bottom"/>
            <w:vMerge w:val="restart"/>
          </w:tcPr>
          <w:p>
            <w:pPr>
              <w:ind w:left="700"/>
              <w:spacing w:after="0"/>
              <w:rPr>
                <w:sz w:val="20"/>
                <w:szCs w:val="20"/>
                <w:color w:val="auto"/>
              </w:rPr>
            </w:pPr>
            <w:r>
              <w:rPr>
                <w:rFonts w:ascii="Times New Roman" w:cs="Times New Roman" w:eastAsia="Times New Roman" w:hAnsi="Times New Roman"/>
                <w:sz w:val="20"/>
                <w:szCs w:val="20"/>
                <w:color w:val="auto"/>
              </w:rPr>
              <w:t>IN, HC</w:t>
            </w:r>
          </w:p>
        </w:tc>
        <w:tc>
          <w:tcPr>
            <w:tcW w:w="0" w:type="dxa"/>
            <w:vAlign w:val="bottom"/>
          </w:tcPr>
          <w:p>
            <w:pPr>
              <w:spacing w:after="0"/>
              <w:rPr>
                <w:sz w:val="1"/>
                <w:szCs w:val="1"/>
                <w:color w:val="auto"/>
              </w:rPr>
            </w:pPr>
          </w:p>
        </w:tc>
      </w:tr>
      <w:tr>
        <w:trPr>
          <w:trHeight w:val="80"/>
        </w:trPr>
        <w:tc>
          <w:tcPr>
            <w:tcW w:w="660" w:type="dxa"/>
            <w:vAlign w:val="bottom"/>
          </w:tcPr>
          <w:p>
            <w:pPr>
              <w:spacing w:after="0"/>
              <w:rPr>
                <w:sz w:val="6"/>
                <w:szCs w:val="6"/>
                <w:color w:val="auto"/>
              </w:rPr>
            </w:pPr>
          </w:p>
        </w:tc>
        <w:tc>
          <w:tcPr>
            <w:tcW w:w="6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63" w:hanging="263"/>
        <w:spacing w:after="0" w:line="282" w:lineRule="exact"/>
        <w:tabs>
          <w:tab w:leader="none" w:pos="263" w:val="left"/>
        </w:tabs>
        <w:numPr>
          <w:ilvl w:val="0"/>
          <w:numId w:val="10"/>
        </w:numPr>
        <w:rPr>
          <w:rFonts w:ascii="Times New Roman" w:cs="Times New Roman" w:eastAsia="Times New Roman" w:hAnsi="Times New Roman"/>
          <w:sz w:val="19"/>
          <w:szCs w:val="19"/>
          <w:color w:val="auto"/>
        </w:rPr>
      </w:pPr>
      <w:r>
        <w:rPr>
          <w:rFonts w:ascii="MS PGothic" w:cs="MS PGothic" w:eastAsia="MS PGothic" w:hAnsi="MS PGothic"/>
          <w:sz w:val="28"/>
          <w:szCs w:val="28"/>
          <w:color w:val="auto"/>
        </w:rPr>
        <w:t>☐</w:t>
      </w:r>
    </w:p>
    <w:p>
      <w:pPr>
        <w:spacing w:after="0" w:line="203" w:lineRule="exact"/>
        <w:rPr>
          <w:rFonts w:ascii="Times New Roman" w:cs="Times New Roman" w:eastAsia="Times New Roman" w:hAnsi="Times New Roman"/>
          <w:sz w:val="19"/>
          <w:szCs w:val="19"/>
          <w:color w:val="auto"/>
        </w:rPr>
      </w:pPr>
    </w:p>
    <w:p>
      <w:pPr>
        <w:ind w:left="283" w:hanging="283"/>
        <w:spacing w:after="0" w:line="263" w:lineRule="exact"/>
        <w:tabs>
          <w:tab w:leader="none" w:pos="283" w:val="left"/>
        </w:tabs>
        <w:numPr>
          <w:ilvl w:val="0"/>
          <w:numId w:val="10"/>
        </w:numPr>
        <w:rPr>
          <w:rFonts w:ascii="Times New Roman" w:cs="Times New Roman" w:eastAsia="Times New Roman" w:hAnsi="Times New Roman"/>
          <w:sz w:val="18"/>
          <w:szCs w:val="18"/>
          <w:color w:val="auto"/>
        </w:rPr>
      </w:pPr>
      <w:r>
        <w:rPr>
          <w:rFonts w:ascii="MS PGothic" w:cs="MS PGothic" w:eastAsia="MS PGothic" w:hAnsi="MS PGothic"/>
          <w:sz w:val="26"/>
          <w:szCs w:val="2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03"/>
        <w:spacing w:after="0" w:line="291" w:lineRule="exact"/>
        <w:rPr>
          <w:sz w:val="20"/>
          <w:szCs w:val="20"/>
          <w:color w:val="auto"/>
        </w:rPr>
      </w:pPr>
      <w:r>
        <w:rPr>
          <w:rFonts w:ascii="MS PGothic" w:cs="MS PGothic" w:eastAsia="MS PGothic" w:hAnsi="MS PGothic"/>
          <w:sz w:val="29"/>
          <w:szCs w:val="29"/>
          <w:color w:val="auto"/>
        </w:rPr>
        <w:t>☐</w:t>
      </w:r>
    </w:p>
    <w:p>
      <w:pPr>
        <w:sectPr>
          <w:pgSz w:w="11900" w:h="16838" w:orient="portrait"/>
          <w:cols w:equalWidth="0" w:num="2">
            <w:col w:w="9497" w:space="720"/>
            <w:col w:w="1023"/>
          </w:cols>
          <w:pgMar w:left="320" w:top="225" w:right="339" w:bottom="1440" w:gutter="0" w:footer="0" w:header="0"/>
          <w:type w:val="continuous"/>
        </w:sectPr>
      </w:pPr>
    </w:p>
    <w:bookmarkStart w:id="3" w:name="page4"/>
    <w:bookmarkEnd w:id="3"/>
    <w:p>
      <w:pPr>
        <w:spacing w:after="0"/>
        <w:tabs>
          <w:tab w:leader="none" w:pos="53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69353Y103</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4 of 7 Pages</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64" w:lineRule="exact"/>
        <w:rPr>
          <w:sz w:val="20"/>
          <w:szCs w:val="20"/>
          <w:color w:val="auto"/>
        </w:rPr>
      </w:pPr>
    </w:p>
    <w:tbl>
      <w:tblPr>
        <w:tblLayout w:type="fixed"/>
        <w:tblInd w:w="100" w:type="dxa"/>
        <w:tblCellMar>
          <w:top w:w="0" w:type="dxa"/>
          <w:left w:w="0" w:type="dxa"/>
          <w:bottom w:w="0" w:type="dxa"/>
          <w:right w:w="0" w:type="dxa"/>
        </w:tblCellMar>
      </w:tblPr>
      <w:tr>
        <w:trPr>
          <w:trHeight w:val="262"/>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1(a).</w:t>
            </w:r>
          </w:p>
        </w:tc>
        <w:tc>
          <w:tcPr>
            <w:tcW w:w="9720" w:type="dxa"/>
            <w:vAlign w:val="bottom"/>
            <w:gridSpan w:val="13"/>
          </w:tcPr>
          <w:p>
            <w:pPr>
              <w:ind w:left="440"/>
              <w:spacing w:after="0"/>
              <w:rPr>
                <w:sz w:val="20"/>
                <w:szCs w:val="20"/>
                <w:color w:val="auto"/>
              </w:rPr>
            </w:pPr>
            <w:r>
              <w:rPr>
                <w:rFonts w:ascii="Times New Roman" w:cs="Times New Roman" w:eastAsia="Times New Roman" w:hAnsi="Times New Roman"/>
                <w:sz w:val="20"/>
                <w:szCs w:val="20"/>
                <w:b w:val="1"/>
                <w:bCs w:val="1"/>
                <w:color w:val="auto"/>
              </w:rPr>
              <w:t>NAME OF ISSUER:</w:t>
            </w:r>
          </w:p>
        </w:tc>
      </w:tr>
      <w:tr>
        <w:trPr>
          <w:trHeight w:val="412"/>
        </w:trPr>
        <w:tc>
          <w:tcPr>
            <w:tcW w:w="1260" w:type="dxa"/>
            <w:vAlign w:val="bottom"/>
          </w:tcPr>
          <w:p>
            <w:pPr>
              <w:spacing w:after="0"/>
              <w:rPr>
                <w:sz w:val="24"/>
                <w:szCs w:val="24"/>
                <w:color w:val="auto"/>
              </w:rPr>
            </w:pPr>
          </w:p>
        </w:tc>
        <w:tc>
          <w:tcPr>
            <w:tcW w:w="9720" w:type="dxa"/>
            <w:vAlign w:val="bottom"/>
            <w:gridSpan w:val="13"/>
          </w:tcPr>
          <w:p>
            <w:pPr>
              <w:ind w:left="440"/>
              <w:spacing w:after="0"/>
              <w:rPr>
                <w:sz w:val="20"/>
                <w:szCs w:val="20"/>
                <w:color w:val="auto"/>
              </w:rPr>
            </w:pPr>
            <w:r>
              <w:rPr>
                <w:rFonts w:ascii="Times New Roman" w:cs="Times New Roman" w:eastAsia="Times New Roman" w:hAnsi="Times New Roman"/>
                <w:sz w:val="20"/>
                <w:szCs w:val="20"/>
                <w:color w:val="auto"/>
              </w:rPr>
              <w:t>The name of the issuer is PMV Pharmaceuticals, Inc. (the "Company").</w:t>
            </w:r>
          </w:p>
        </w:tc>
      </w:tr>
      <w:tr>
        <w:trPr>
          <w:trHeight w:val="20"/>
        </w:trPr>
        <w:tc>
          <w:tcPr>
            <w:tcW w:w="126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472"/>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1(b).</w:t>
            </w:r>
          </w:p>
        </w:tc>
        <w:tc>
          <w:tcPr>
            <w:tcW w:w="9720" w:type="dxa"/>
            <w:vAlign w:val="bottom"/>
            <w:gridSpan w:val="13"/>
          </w:tcPr>
          <w:p>
            <w:pPr>
              <w:ind w:left="440"/>
              <w:spacing w:after="0"/>
              <w:rPr>
                <w:sz w:val="20"/>
                <w:szCs w:val="20"/>
                <w:color w:val="auto"/>
              </w:rPr>
            </w:pPr>
            <w:r>
              <w:rPr>
                <w:rFonts w:ascii="Times New Roman" w:cs="Times New Roman" w:eastAsia="Times New Roman" w:hAnsi="Times New Roman"/>
                <w:sz w:val="20"/>
                <w:szCs w:val="20"/>
                <w:b w:val="1"/>
                <w:bCs w:val="1"/>
                <w:color w:val="auto"/>
              </w:rPr>
              <w:t>ADDRESS OF ISSUER'S PRINCIPAL EXECUTIVE OFFICES:</w:t>
            </w:r>
          </w:p>
        </w:tc>
      </w:tr>
      <w:tr>
        <w:trPr>
          <w:trHeight w:val="459"/>
        </w:trPr>
        <w:tc>
          <w:tcPr>
            <w:tcW w:w="1260" w:type="dxa"/>
            <w:vAlign w:val="bottom"/>
          </w:tcPr>
          <w:p>
            <w:pPr>
              <w:spacing w:after="0"/>
              <w:rPr>
                <w:sz w:val="24"/>
                <w:szCs w:val="24"/>
                <w:color w:val="auto"/>
              </w:rPr>
            </w:pPr>
          </w:p>
        </w:tc>
        <w:tc>
          <w:tcPr>
            <w:tcW w:w="9720" w:type="dxa"/>
            <w:vAlign w:val="bottom"/>
            <w:gridSpan w:val="13"/>
          </w:tcPr>
          <w:p>
            <w:pPr>
              <w:ind w:left="440"/>
              <w:spacing w:after="0"/>
              <w:rPr>
                <w:sz w:val="20"/>
                <w:szCs w:val="20"/>
                <w:color w:val="auto"/>
              </w:rPr>
            </w:pPr>
            <w:r>
              <w:rPr>
                <w:rFonts w:ascii="Times New Roman" w:cs="Times New Roman" w:eastAsia="Times New Roman" w:hAnsi="Times New Roman"/>
                <w:sz w:val="20"/>
                <w:szCs w:val="20"/>
                <w:color w:val="auto"/>
              </w:rPr>
              <w:t>The Company's principal executive offices are located at 8 Clarke Drive, Suite 3, Cranbury, NJ 08512.</w:t>
            </w:r>
          </w:p>
        </w:tc>
      </w:tr>
      <w:tr>
        <w:trPr>
          <w:trHeight w:val="445"/>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2(a).</w:t>
            </w:r>
          </w:p>
        </w:tc>
        <w:tc>
          <w:tcPr>
            <w:tcW w:w="9720" w:type="dxa"/>
            <w:vAlign w:val="bottom"/>
            <w:gridSpan w:val="13"/>
          </w:tcPr>
          <w:p>
            <w:pPr>
              <w:ind w:left="440"/>
              <w:spacing w:after="0"/>
              <w:rPr>
                <w:sz w:val="20"/>
                <w:szCs w:val="20"/>
                <w:color w:val="auto"/>
              </w:rPr>
            </w:pPr>
            <w:r>
              <w:rPr>
                <w:rFonts w:ascii="Times New Roman" w:cs="Times New Roman" w:eastAsia="Times New Roman" w:hAnsi="Times New Roman"/>
                <w:sz w:val="20"/>
                <w:szCs w:val="20"/>
                <w:b w:val="1"/>
                <w:bCs w:val="1"/>
                <w:color w:val="auto"/>
              </w:rPr>
              <w:t>NAME OF PERSON FILING:</w:t>
            </w:r>
          </w:p>
        </w:tc>
      </w:tr>
      <w:tr>
        <w:trPr>
          <w:trHeight w:val="459"/>
        </w:trPr>
        <w:tc>
          <w:tcPr>
            <w:tcW w:w="1260" w:type="dxa"/>
            <w:vAlign w:val="bottom"/>
          </w:tcPr>
          <w:p>
            <w:pPr>
              <w:spacing w:after="0"/>
              <w:rPr>
                <w:sz w:val="24"/>
                <w:szCs w:val="24"/>
                <w:color w:val="auto"/>
              </w:rPr>
            </w:pPr>
          </w:p>
        </w:tc>
        <w:tc>
          <w:tcPr>
            <w:tcW w:w="9720" w:type="dxa"/>
            <w:vAlign w:val="bottom"/>
            <w:gridSpan w:val="13"/>
          </w:tcPr>
          <w:p>
            <w:pPr>
              <w:ind w:left="440"/>
              <w:spacing w:after="0"/>
              <w:rPr>
                <w:sz w:val="20"/>
                <w:szCs w:val="20"/>
                <w:color w:val="auto"/>
              </w:rPr>
            </w:pPr>
            <w:r>
              <w:rPr>
                <w:rFonts w:ascii="Times New Roman" w:cs="Times New Roman" w:eastAsia="Times New Roman" w:hAnsi="Times New Roman"/>
                <w:sz w:val="20"/>
                <w:szCs w:val="20"/>
                <w:color w:val="auto"/>
              </w:rPr>
              <w:t>This statement is filed by:</w:t>
            </w:r>
          </w:p>
        </w:tc>
      </w:tr>
      <w:tr>
        <w:trPr>
          <w:trHeight w:val="413"/>
        </w:trPr>
        <w:tc>
          <w:tcPr>
            <w:tcW w:w="1260" w:type="dxa"/>
            <w:vAlign w:val="bottom"/>
          </w:tcPr>
          <w:p>
            <w:pPr>
              <w:spacing w:after="0"/>
              <w:rPr>
                <w:sz w:val="24"/>
                <w:szCs w:val="24"/>
                <w:color w:val="auto"/>
              </w:rPr>
            </w:pPr>
          </w:p>
        </w:tc>
        <w:tc>
          <w:tcPr>
            <w:tcW w:w="110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(i)</w:t>
            </w:r>
          </w:p>
        </w:tc>
        <w:tc>
          <w:tcPr>
            <w:tcW w:w="8620" w:type="dxa"/>
            <w:vAlign w:val="bottom"/>
            <w:gridSpan w:val="12"/>
          </w:tcPr>
          <w:p>
            <w:pPr>
              <w:ind w:left="120"/>
              <w:spacing w:after="0"/>
              <w:rPr>
                <w:sz w:val="20"/>
                <w:szCs w:val="20"/>
                <w:color w:val="auto"/>
              </w:rPr>
            </w:pPr>
            <w:r>
              <w:rPr>
                <w:rFonts w:ascii="Times New Roman" w:cs="Times New Roman" w:eastAsia="Times New Roman" w:hAnsi="Times New Roman"/>
                <w:sz w:val="20"/>
                <w:szCs w:val="20"/>
                <w:color w:val="auto"/>
                <w:w w:val="98"/>
              </w:rPr>
              <w:t>RTW Investments, LP ("RTW Investments"), a Delaware limited partnership, and the investment adviser to</w:t>
            </w:r>
          </w:p>
        </w:tc>
      </w:tr>
      <w:tr>
        <w:trPr>
          <w:trHeight w:val="20"/>
        </w:trPr>
        <w:tc>
          <w:tcPr>
            <w:tcW w:w="1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09"/>
        </w:trPr>
        <w:tc>
          <w:tcPr>
            <w:tcW w:w="1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20" w:type="dxa"/>
            <w:vAlign w:val="bottom"/>
            <w:gridSpan w:val="12"/>
          </w:tcPr>
          <w:p>
            <w:pPr>
              <w:ind w:left="120"/>
              <w:spacing w:after="0" w:line="209" w:lineRule="exact"/>
              <w:rPr>
                <w:sz w:val="20"/>
                <w:szCs w:val="20"/>
                <w:color w:val="auto"/>
              </w:rPr>
            </w:pPr>
            <w:r>
              <w:rPr>
                <w:rFonts w:ascii="Times New Roman" w:cs="Times New Roman" w:eastAsia="Times New Roman" w:hAnsi="Times New Roman"/>
                <w:sz w:val="20"/>
                <w:szCs w:val="20"/>
                <w:color w:val="auto"/>
              </w:rPr>
              <w:t>certain funds (the "RTW Funds"), with respect to the Shares (as defined in Item 2(d) below) that were</w:t>
            </w:r>
          </w:p>
        </w:tc>
      </w:tr>
      <w:tr>
        <w:trPr>
          <w:trHeight w:val="20"/>
        </w:trPr>
        <w:tc>
          <w:tcPr>
            <w:tcW w:w="1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56"/>
        </w:trPr>
        <w:tc>
          <w:tcPr>
            <w:tcW w:w="1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620" w:type="dxa"/>
            <w:vAlign w:val="bottom"/>
            <w:gridSpan w:val="12"/>
          </w:tcPr>
          <w:p>
            <w:pPr>
              <w:ind w:left="120"/>
              <w:spacing w:after="0"/>
              <w:rPr>
                <w:sz w:val="20"/>
                <w:szCs w:val="20"/>
                <w:color w:val="auto"/>
              </w:rPr>
            </w:pPr>
            <w:r>
              <w:rPr>
                <w:rFonts w:ascii="Times New Roman" w:cs="Times New Roman" w:eastAsia="Times New Roman" w:hAnsi="Times New Roman"/>
                <w:sz w:val="20"/>
                <w:szCs w:val="20"/>
                <w:color w:val="auto"/>
              </w:rPr>
              <w:t>directly held by the RTW Funds; and</w:t>
            </w:r>
          </w:p>
        </w:tc>
      </w:tr>
      <w:tr>
        <w:trPr>
          <w:trHeight w:val="413"/>
        </w:trPr>
        <w:tc>
          <w:tcPr>
            <w:tcW w:w="1260" w:type="dxa"/>
            <w:vAlign w:val="bottom"/>
          </w:tcPr>
          <w:p>
            <w:pPr>
              <w:spacing w:after="0"/>
              <w:rPr>
                <w:sz w:val="24"/>
                <w:szCs w:val="24"/>
                <w:color w:val="auto"/>
              </w:rPr>
            </w:pPr>
          </w:p>
        </w:tc>
        <w:tc>
          <w:tcPr>
            <w:tcW w:w="110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(ii)</w:t>
            </w:r>
          </w:p>
        </w:tc>
        <w:tc>
          <w:tcPr>
            <w:tcW w:w="8620" w:type="dxa"/>
            <w:vAlign w:val="bottom"/>
            <w:gridSpan w:val="12"/>
          </w:tcPr>
          <w:p>
            <w:pPr>
              <w:ind w:left="120"/>
              <w:spacing w:after="0"/>
              <w:rPr>
                <w:sz w:val="20"/>
                <w:szCs w:val="20"/>
                <w:color w:val="auto"/>
              </w:rPr>
            </w:pPr>
            <w:r>
              <w:rPr>
                <w:rFonts w:ascii="Times New Roman" w:cs="Times New Roman" w:eastAsia="Times New Roman" w:hAnsi="Times New Roman"/>
                <w:sz w:val="20"/>
                <w:szCs w:val="20"/>
                <w:color w:val="auto"/>
              </w:rPr>
              <w:t>Roderick Wong, M.D. ("Dr. Wong"), the Managing Partner and Chief Investment Officer of RTW</w:t>
            </w:r>
          </w:p>
        </w:tc>
      </w:tr>
      <w:tr>
        <w:trPr>
          <w:trHeight w:val="20"/>
        </w:trPr>
        <w:tc>
          <w:tcPr>
            <w:tcW w:w="1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56"/>
        </w:trPr>
        <w:tc>
          <w:tcPr>
            <w:tcW w:w="1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620" w:type="dxa"/>
            <w:vAlign w:val="bottom"/>
            <w:gridSpan w:val="12"/>
          </w:tcPr>
          <w:p>
            <w:pPr>
              <w:ind w:left="120"/>
              <w:spacing w:after="0"/>
              <w:rPr>
                <w:sz w:val="20"/>
                <w:szCs w:val="20"/>
                <w:color w:val="auto"/>
              </w:rPr>
            </w:pPr>
            <w:r>
              <w:rPr>
                <w:rFonts w:ascii="Times New Roman" w:cs="Times New Roman" w:eastAsia="Times New Roman" w:hAnsi="Times New Roman"/>
                <w:sz w:val="20"/>
                <w:szCs w:val="20"/>
                <w:color w:val="auto"/>
              </w:rPr>
              <w:t>Investments, with respect to the Shares that were directly held by the RTW Funds.</w:t>
            </w:r>
          </w:p>
        </w:tc>
      </w:tr>
      <w:tr>
        <w:trPr>
          <w:trHeight w:val="412"/>
        </w:trPr>
        <w:tc>
          <w:tcPr>
            <w:tcW w:w="1260" w:type="dxa"/>
            <w:vAlign w:val="bottom"/>
          </w:tcPr>
          <w:p>
            <w:pPr>
              <w:spacing w:after="0"/>
              <w:rPr>
                <w:sz w:val="24"/>
                <w:szCs w:val="24"/>
                <w:color w:val="auto"/>
              </w:rPr>
            </w:pPr>
          </w:p>
        </w:tc>
        <w:tc>
          <w:tcPr>
            <w:tcW w:w="9720" w:type="dxa"/>
            <w:vAlign w:val="bottom"/>
            <w:gridSpan w:val="13"/>
          </w:tcPr>
          <w:p>
            <w:pPr>
              <w:ind w:left="440"/>
              <w:spacing w:after="0"/>
              <w:rPr>
                <w:sz w:val="20"/>
                <w:szCs w:val="20"/>
                <w:color w:val="auto"/>
              </w:rPr>
            </w:pPr>
            <w:r>
              <w:rPr>
                <w:rFonts w:ascii="Times New Roman" w:cs="Times New Roman" w:eastAsia="Times New Roman" w:hAnsi="Times New Roman"/>
                <w:sz w:val="20"/>
                <w:szCs w:val="20"/>
                <w:color w:val="auto"/>
              </w:rPr>
              <w:t>The foregoing persons are hereinafter sometimes collectively referred to as the "Reporting Persons."</w:t>
            </w:r>
          </w:p>
        </w:tc>
      </w:tr>
      <w:tr>
        <w:trPr>
          <w:trHeight w:val="20"/>
        </w:trPr>
        <w:tc>
          <w:tcPr>
            <w:tcW w:w="1260" w:type="dxa"/>
            <w:vAlign w:val="bottom"/>
          </w:tcPr>
          <w:p>
            <w:pPr>
              <w:spacing w:after="0" w:line="20" w:lineRule="exact"/>
              <w:rPr>
                <w:sz w:val="1"/>
                <w:szCs w:val="1"/>
                <w:color w:val="auto"/>
              </w:rPr>
            </w:pPr>
          </w:p>
        </w:tc>
        <w:tc>
          <w:tcPr>
            <w:tcW w:w="4540" w:type="dxa"/>
            <w:vAlign w:val="bottom"/>
            <w:gridSpan w:val="6"/>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472"/>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2(b).</w:t>
            </w:r>
          </w:p>
        </w:tc>
        <w:tc>
          <w:tcPr>
            <w:tcW w:w="9720" w:type="dxa"/>
            <w:vAlign w:val="bottom"/>
            <w:gridSpan w:val="13"/>
          </w:tcPr>
          <w:p>
            <w:pPr>
              <w:ind w:left="440"/>
              <w:spacing w:after="0"/>
              <w:rPr>
                <w:sz w:val="20"/>
                <w:szCs w:val="20"/>
                <w:color w:val="auto"/>
              </w:rPr>
            </w:pPr>
            <w:r>
              <w:rPr>
                <w:rFonts w:ascii="Times New Roman" w:cs="Times New Roman" w:eastAsia="Times New Roman" w:hAnsi="Times New Roman"/>
                <w:sz w:val="20"/>
                <w:szCs w:val="20"/>
                <w:b w:val="1"/>
                <w:bCs w:val="1"/>
                <w:color w:val="auto"/>
              </w:rPr>
              <w:t>ADDRESS OF PRINCIPAL BUSINESS OFFICE OR, IF NONE, RESIDENCE:</w:t>
            </w:r>
          </w:p>
        </w:tc>
      </w:tr>
      <w:tr>
        <w:trPr>
          <w:trHeight w:val="484"/>
        </w:trPr>
        <w:tc>
          <w:tcPr>
            <w:tcW w:w="1260" w:type="dxa"/>
            <w:vAlign w:val="bottom"/>
          </w:tcPr>
          <w:p>
            <w:pPr>
              <w:spacing w:after="0"/>
              <w:rPr>
                <w:sz w:val="24"/>
                <w:szCs w:val="24"/>
                <w:color w:val="auto"/>
              </w:rPr>
            </w:pPr>
          </w:p>
        </w:tc>
        <w:tc>
          <w:tcPr>
            <w:tcW w:w="9720" w:type="dxa"/>
            <w:vAlign w:val="bottom"/>
            <w:gridSpan w:val="13"/>
          </w:tcPr>
          <w:p>
            <w:pPr>
              <w:ind w:left="440"/>
              <w:spacing w:after="0"/>
              <w:rPr>
                <w:sz w:val="20"/>
                <w:szCs w:val="20"/>
                <w:color w:val="auto"/>
              </w:rPr>
            </w:pPr>
            <w:r>
              <w:rPr>
                <w:rFonts w:ascii="Times New Roman" w:cs="Times New Roman" w:eastAsia="Times New Roman" w:hAnsi="Times New Roman"/>
                <w:sz w:val="20"/>
                <w:szCs w:val="20"/>
                <w:color w:val="auto"/>
                <w:w w:val="97"/>
              </w:rPr>
              <w:t>The address of the business office of each of the Reporting Persons is 40 10</w:t>
            </w:r>
            <w:r>
              <w:rPr>
                <w:rFonts w:ascii="Times New Roman" w:cs="Times New Roman" w:eastAsia="Times New Roman" w:hAnsi="Times New Roman"/>
                <w:sz w:val="32"/>
                <w:szCs w:val="32"/>
                <w:color w:val="auto"/>
                <w:w w:val="97"/>
                <w:vertAlign w:val="superscript"/>
              </w:rPr>
              <w:t>th</w:t>
            </w:r>
            <w:r>
              <w:rPr>
                <w:rFonts w:ascii="Times New Roman" w:cs="Times New Roman" w:eastAsia="Times New Roman" w:hAnsi="Times New Roman"/>
                <w:sz w:val="20"/>
                <w:szCs w:val="20"/>
                <w:color w:val="auto"/>
                <w:w w:val="97"/>
              </w:rPr>
              <w:t xml:space="preserve"> Avenue, Floor 7, New York, New York</w:t>
            </w:r>
          </w:p>
        </w:tc>
      </w:tr>
      <w:tr>
        <w:trPr>
          <w:trHeight w:val="258"/>
        </w:trPr>
        <w:tc>
          <w:tcPr>
            <w:tcW w:w="1260" w:type="dxa"/>
            <w:vAlign w:val="bottom"/>
          </w:tcPr>
          <w:p>
            <w:pPr>
              <w:spacing w:after="0"/>
              <w:rPr>
                <w:sz w:val="22"/>
                <w:szCs w:val="22"/>
                <w:color w:val="auto"/>
              </w:rPr>
            </w:pPr>
          </w:p>
        </w:tc>
        <w:tc>
          <w:tcPr>
            <w:tcW w:w="110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10014.</w:t>
            </w:r>
          </w:p>
        </w:tc>
        <w:tc>
          <w:tcPr>
            <w:tcW w:w="16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459"/>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2(c).</w:t>
            </w:r>
          </w:p>
        </w:tc>
        <w:tc>
          <w:tcPr>
            <w:tcW w:w="9720" w:type="dxa"/>
            <w:vAlign w:val="bottom"/>
            <w:gridSpan w:val="13"/>
          </w:tcPr>
          <w:p>
            <w:pPr>
              <w:ind w:left="440"/>
              <w:spacing w:after="0"/>
              <w:rPr>
                <w:sz w:val="20"/>
                <w:szCs w:val="20"/>
                <w:color w:val="auto"/>
              </w:rPr>
            </w:pPr>
            <w:r>
              <w:rPr>
                <w:rFonts w:ascii="Times New Roman" w:cs="Times New Roman" w:eastAsia="Times New Roman" w:hAnsi="Times New Roman"/>
                <w:sz w:val="20"/>
                <w:szCs w:val="20"/>
                <w:b w:val="1"/>
                <w:bCs w:val="1"/>
                <w:color w:val="auto"/>
              </w:rPr>
              <w:t>CITIZENSHIP:</w:t>
            </w:r>
          </w:p>
        </w:tc>
      </w:tr>
      <w:tr>
        <w:trPr>
          <w:trHeight w:val="459"/>
        </w:trPr>
        <w:tc>
          <w:tcPr>
            <w:tcW w:w="1260" w:type="dxa"/>
            <w:vAlign w:val="bottom"/>
          </w:tcPr>
          <w:p>
            <w:pPr>
              <w:spacing w:after="0"/>
              <w:rPr>
                <w:sz w:val="24"/>
                <w:szCs w:val="24"/>
                <w:color w:val="auto"/>
              </w:rPr>
            </w:pPr>
          </w:p>
        </w:tc>
        <w:tc>
          <w:tcPr>
            <w:tcW w:w="9720" w:type="dxa"/>
            <w:vAlign w:val="bottom"/>
            <w:gridSpan w:val="13"/>
          </w:tcPr>
          <w:p>
            <w:pPr>
              <w:ind w:left="440"/>
              <w:spacing w:after="0"/>
              <w:rPr>
                <w:sz w:val="20"/>
                <w:szCs w:val="20"/>
                <w:color w:val="auto"/>
              </w:rPr>
            </w:pPr>
            <w:r>
              <w:rPr>
                <w:rFonts w:ascii="Times New Roman" w:cs="Times New Roman" w:eastAsia="Times New Roman" w:hAnsi="Times New Roman"/>
                <w:sz w:val="20"/>
                <w:szCs w:val="20"/>
                <w:color w:val="auto"/>
              </w:rPr>
              <w:t>RTW Investments is a Delaware limited partnership. Dr. Wong is a citizen of the United States.</w:t>
            </w:r>
          </w:p>
        </w:tc>
      </w:tr>
      <w:tr>
        <w:trPr>
          <w:trHeight w:val="445"/>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2(d).</w:t>
            </w:r>
          </w:p>
        </w:tc>
        <w:tc>
          <w:tcPr>
            <w:tcW w:w="9720" w:type="dxa"/>
            <w:vAlign w:val="bottom"/>
            <w:gridSpan w:val="13"/>
          </w:tcPr>
          <w:p>
            <w:pPr>
              <w:ind w:left="440"/>
              <w:spacing w:after="0"/>
              <w:rPr>
                <w:sz w:val="20"/>
                <w:szCs w:val="20"/>
                <w:color w:val="auto"/>
              </w:rPr>
            </w:pPr>
            <w:r>
              <w:rPr>
                <w:rFonts w:ascii="Times New Roman" w:cs="Times New Roman" w:eastAsia="Times New Roman" w:hAnsi="Times New Roman"/>
                <w:sz w:val="20"/>
                <w:szCs w:val="20"/>
                <w:b w:val="1"/>
                <w:bCs w:val="1"/>
                <w:color w:val="auto"/>
              </w:rPr>
              <w:t>TITLE OF CLASS OF SECURITIES:</w:t>
            </w:r>
          </w:p>
        </w:tc>
      </w:tr>
      <w:tr>
        <w:trPr>
          <w:trHeight w:val="413"/>
        </w:trPr>
        <w:tc>
          <w:tcPr>
            <w:tcW w:w="1260" w:type="dxa"/>
            <w:vAlign w:val="bottom"/>
          </w:tcPr>
          <w:p>
            <w:pPr>
              <w:spacing w:after="0"/>
              <w:rPr>
                <w:sz w:val="24"/>
                <w:szCs w:val="24"/>
                <w:color w:val="auto"/>
              </w:rPr>
            </w:pPr>
          </w:p>
        </w:tc>
        <w:tc>
          <w:tcPr>
            <w:tcW w:w="9720" w:type="dxa"/>
            <w:vAlign w:val="bottom"/>
            <w:gridSpan w:val="13"/>
          </w:tcPr>
          <w:p>
            <w:pPr>
              <w:ind w:left="440"/>
              <w:spacing w:after="0"/>
              <w:rPr>
                <w:sz w:val="20"/>
                <w:szCs w:val="20"/>
                <w:color w:val="auto"/>
              </w:rPr>
            </w:pPr>
            <w:r>
              <w:rPr>
                <w:rFonts w:ascii="Times New Roman" w:cs="Times New Roman" w:eastAsia="Times New Roman" w:hAnsi="Times New Roman"/>
                <w:sz w:val="20"/>
                <w:szCs w:val="20"/>
                <w:color w:val="auto"/>
              </w:rPr>
              <w:t>Common Stock, par value $0.00001 per share (the "Shares").</w:t>
            </w:r>
          </w:p>
        </w:tc>
      </w:tr>
      <w:tr>
        <w:trPr>
          <w:trHeight w:val="20"/>
        </w:trPr>
        <w:tc>
          <w:tcPr>
            <w:tcW w:w="1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ectPr>
          <w:pgSz w:w="11900" w:h="16838" w:orient="portrait"/>
          <w:cols w:equalWidth="0" w:num="1">
            <w:col w:w="11240"/>
          </w:cols>
          <w:pgMar w:left="320" w:top="225" w:right="339" w:bottom="1440" w:gutter="0" w:footer="0" w:header="0"/>
          <w:type w:val="continuous"/>
        </w:sectPr>
      </w:pPr>
    </w:p>
    <w:bookmarkStart w:id="4" w:name="page5"/>
    <w:bookmarkEnd w:id="4"/>
    <w:p>
      <w:pPr>
        <w:spacing w:after="0"/>
        <w:tabs>
          <w:tab w:leader="none" w:pos="53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69353Y103</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5 of 7 Pages</w:t>
      </w:r>
    </w:p>
    <w:p>
      <w:pPr>
        <w:sectPr>
          <w:pgSz w:w="11900" w:h="16838" w:orient="portrait"/>
          <w:cols w:equalWidth="0" w:num="1">
            <w:col w:w="11240"/>
          </w:cols>
          <w:pgMar w:left="320" w:top="225" w:right="339" w:bottom="1440" w:gutter="0" w:footer="0" w:header="0"/>
        </w:sectPr>
      </w:pPr>
    </w:p>
    <w:p>
      <w:pPr>
        <w:spacing w:after="0" w:line="342" w:lineRule="exact"/>
        <w:rPr>
          <w:sz w:val="20"/>
          <w:szCs w:val="20"/>
          <w:color w:val="auto"/>
        </w:rPr>
      </w:pPr>
    </w:p>
    <w:p>
      <w:pPr>
        <w:ind w:left="10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2(e).</w:t>
      </w:r>
      <w:r>
        <w:rPr>
          <w:sz w:val="20"/>
          <w:szCs w:val="20"/>
          <w:color w:val="auto"/>
        </w:rPr>
        <w:tab/>
      </w:r>
      <w:r>
        <w:rPr>
          <w:rFonts w:ascii="Times New Roman" w:cs="Times New Roman" w:eastAsia="Times New Roman" w:hAnsi="Times New Roman"/>
          <w:sz w:val="19"/>
          <w:szCs w:val="19"/>
          <w:b w:val="1"/>
          <w:bCs w:val="1"/>
          <w:color w:val="auto"/>
        </w:rPr>
        <w:t>CUSIP NUMBER:</w:t>
      </w:r>
    </w:p>
    <w:p>
      <w:pPr>
        <w:spacing w:after="0" w:line="23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69353Y103</w:t>
      </w:r>
    </w:p>
    <w:p>
      <w:pPr>
        <w:spacing w:after="0" w:line="225" w:lineRule="exact"/>
        <w:rPr>
          <w:sz w:val="20"/>
          <w:szCs w:val="20"/>
          <w:color w:val="auto"/>
        </w:rPr>
      </w:pPr>
    </w:p>
    <w:p>
      <w:pPr>
        <w:ind w:left="1800" w:right="100" w:hanging="1687"/>
        <w:spacing w:after="0" w:line="273" w:lineRule="auto"/>
        <w:tabs>
          <w:tab w:leader="none" w:pos="1780" w:val="left"/>
        </w:tabs>
        <w:rPr>
          <w:sz w:val="20"/>
          <w:szCs w:val="20"/>
          <w:color w:val="auto"/>
        </w:rPr>
      </w:pPr>
      <w:r>
        <w:rPr>
          <w:rFonts w:ascii="Times New Roman" w:cs="Times New Roman" w:eastAsia="Times New Roman" w:hAnsi="Times New Roman"/>
          <w:sz w:val="20"/>
          <w:szCs w:val="20"/>
          <w:b w:val="1"/>
          <w:bCs w:val="1"/>
          <w:color w:val="auto"/>
        </w:rPr>
        <w:t>Item 3.</w:t>
      </w:r>
      <w:r>
        <w:rPr>
          <w:sz w:val="20"/>
          <w:szCs w:val="20"/>
          <w:color w:val="auto"/>
        </w:rPr>
        <w:tab/>
      </w:r>
      <w:r>
        <w:rPr>
          <w:rFonts w:ascii="Times New Roman" w:cs="Times New Roman" w:eastAsia="Times New Roman" w:hAnsi="Times New Roman"/>
          <w:sz w:val="20"/>
          <w:szCs w:val="20"/>
          <w:b w:val="1"/>
          <w:bCs w:val="1"/>
          <w:color w:val="auto"/>
        </w:rPr>
        <w:t>IF THIS STATEMENT IS FILED PURSUANT TO §§ 240.13d-1(b) OR 240.13d-2(b) OR (c), CHECK WHETHER THE PERSON FILING IS A:</w:t>
      </w:r>
    </w:p>
    <w:p>
      <w:pPr>
        <w:spacing w:after="0" w:line="137" w:lineRule="exact"/>
        <w:rPr>
          <w:sz w:val="20"/>
          <w:szCs w:val="20"/>
          <w:color w:val="auto"/>
        </w:rPr>
      </w:pPr>
    </w:p>
    <w:p>
      <w:pPr>
        <w:ind w:left="2560" w:hanging="767"/>
        <w:spacing w:after="0" w:line="230" w:lineRule="exact"/>
        <w:tabs>
          <w:tab w:leader="none" w:pos="2560" w:val="left"/>
        </w:tabs>
        <w:numPr>
          <w:ilvl w:val="0"/>
          <w:numId w:val="11"/>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Broker or dealer registered under Section 15 of the Act (15 U.S.C. 78o);</w:t>
      </w:r>
    </w:p>
    <w:p>
      <w:pPr>
        <w:spacing w:after="0" w:line="215" w:lineRule="exact"/>
        <w:rPr>
          <w:rFonts w:ascii="Times New Roman" w:cs="Times New Roman" w:eastAsia="Times New Roman" w:hAnsi="Times New Roman"/>
          <w:sz w:val="20"/>
          <w:szCs w:val="20"/>
          <w:color w:val="auto"/>
        </w:rPr>
      </w:pPr>
    </w:p>
    <w:p>
      <w:pPr>
        <w:ind w:left="2560" w:hanging="767"/>
        <w:spacing w:after="0" w:line="230" w:lineRule="exact"/>
        <w:tabs>
          <w:tab w:leader="none" w:pos="2560" w:val="left"/>
        </w:tabs>
        <w:numPr>
          <w:ilvl w:val="0"/>
          <w:numId w:val="11"/>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Bank as defined in Section 3(a)(6) of the Act (15 U.S.C. 78c);</w:t>
      </w:r>
    </w:p>
    <w:p>
      <w:pPr>
        <w:spacing w:after="0" w:line="215" w:lineRule="exact"/>
        <w:rPr>
          <w:rFonts w:ascii="Times New Roman" w:cs="Times New Roman" w:eastAsia="Times New Roman" w:hAnsi="Times New Roman"/>
          <w:sz w:val="20"/>
          <w:szCs w:val="20"/>
          <w:color w:val="auto"/>
        </w:rPr>
      </w:pPr>
    </w:p>
    <w:p>
      <w:pPr>
        <w:ind w:left="2560" w:hanging="767"/>
        <w:spacing w:after="0" w:line="230" w:lineRule="exact"/>
        <w:tabs>
          <w:tab w:leader="none" w:pos="2560" w:val="left"/>
        </w:tabs>
        <w:numPr>
          <w:ilvl w:val="0"/>
          <w:numId w:val="11"/>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Insurance company as defined in Section 3(a)(19) of the Act (15 U.S.C. 78c);</w:t>
      </w:r>
    </w:p>
    <w:p>
      <w:pPr>
        <w:spacing w:after="0" w:line="215" w:lineRule="exact"/>
        <w:rPr>
          <w:rFonts w:ascii="Times New Roman" w:cs="Times New Roman" w:eastAsia="Times New Roman" w:hAnsi="Times New Roman"/>
          <w:sz w:val="20"/>
          <w:szCs w:val="20"/>
          <w:color w:val="auto"/>
        </w:rPr>
      </w:pPr>
    </w:p>
    <w:p>
      <w:pPr>
        <w:ind w:left="3040" w:right="280" w:hanging="1247"/>
        <w:spacing w:after="0" w:line="260" w:lineRule="exact"/>
        <w:tabs>
          <w:tab w:leader="none" w:pos="2572" w:val="left"/>
        </w:tabs>
        <w:numPr>
          <w:ilvl w:val="0"/>
          <w:numId w:val="11"/>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Investment company registered under Section 8 of the Investment Company Act of 1940 (15 U.S.C. 80a-8);</w:t>
      </w:r>
    </w:p>
    <w:p>
      <w:pPr>
        <w:spacing w:after="0" w:line="155" w:lineRule="exact"/>
        <w:rPr>
          <w:rFonts w:ascii="Times New Roman" w:cs="Times New Roman" w:eastAsia="Times New Roman" w:hAnsi="Times New Roman"/>
          <w:sz w:val="20"/>
          <w:szCs w:val="20"/>
          <w:color w:val="auto"/>
        </w:rPr>
      </w:pPr>
    </w:p>
    <w:p>
      <w:pPr>
        <w:ind w:left="2560" w:hanging="767"/>
        <w:spacing w:after="0" w:line="230" w:lineRule="exact"/>
        <w:tabs>
          <w:tab w:leader="none" w:pos="2560" w:val="left"/>
        </w:tabs>
        <w:numPr>
          <w:ilvl w:val="0"/>
          <w:numId w:val="11"/>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Investment adviser in accordance with Rule 13d-1(b)(1)(ii)(E);</w:t>
      </w:r>
    </w:p>
    <w:p>
      <w:pPr>
        <w:spacing w:after="0" w:line="229" w:lineRule="exact"/>
        <w:rPr>
          <w:rFonts w:ascii="Times New Roman" w:cs="Times New Roman" w:eastAsia="Times New Roman" w:hAnsi="Times New Roman"/>
          <w:sz w:val="20"/>
          <w:szCs w:val="20"/>
          <w:color w:val="auto"/>
        </w:rPr>
      </w:pPr>
    </w:p>
    <w:p>
      <w:pPr>
        <w:ind w:left="2560" w:hanging="767"/>
        <w:spacing w:after="0" w:line="230" w:lineRule="exact"/>
        <w:tabs>
          <w:tab w:leader="none" w:pos="2560" w:val="left"/>
        </w:tabs>
        <w:numPr>
          <w:ilvl w:val="0"/>
          <w:numId w:val="11"/>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Employee benefit plan or endowment fund in accordance with</w:t>
      </w:r>
    </w:p>
    <w:p>
      <w:pPr>
        <w:spacing w:after="0" w:line="53"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0"/>
          <w:szCs w:val="20"/>
          <w:color w:val="auto"/>
        </w:rPr>
        <w:t>Rule 13d-1(b)(1)(ii)(F);</w:t>
      </w:r>
    </w:p>
    <w:p>
      <w:pPr>
        <w:spacing w:after="0" w:line="175" w:lineRule="exact"/>
        <w:rPr>
          <w:sz w:val="20"/>
          <w:szCs w:val="20"/>
          <w:color w:val="auto"/>
        </w:rPr>
      </w:pPr>
    </w:p>
    <w:p>
      <w:pPr>
        <w:ind w:left="3080" w:right="3280" w:hanging="1287"/>
        <w:spacing w:after="0" w:line="260" w:lineRule="exact"/>
        <w:tabs>
          <w:tab w:leader="none" w:pos="2569" w:val="left"/>
        </w:tabs>
        <w:numPr>
          <w:ilvl w:val="0"/>
          <w:numId w:val="12"/>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Parent holding company or control person in accordance with Rule 13d-1(b)(1)(ii)(G);</w:t>
      </w:r>
    </w:p>
    <w:p>
      <w:pPr>
        <w:spacing w:after="0" w:line="155" w:lineRule="exact"/>
        <w:rPr>
          <w:rFonts w:ascii="Times New Roman" w:cs="Times New Roman" w:eastAsia="Times New Roman" w:hAnsi="Times New Roman"/>
          <w:sz w:val="20"/>
          <w:szCs w:val="20"/>
          <w:color w:val="auto"/>
        </w:rPr>
      </w:pPr>
    </w:p>
    <w:p>
      <w:pPr>
        <w:ind w:left="2560" w:hanging="767"/>
        <w:spacing w:after="0" w:line="230" w:lineRule="exact"/>
        <w:tabs>
          <w:tab w:leader="none" w:pos="2560" w:val="left"/>
        </w:tabs>
        <w:numPr>
          <w:ilvl w:val="0"/>
          <w:numId w:val="12"/>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Savings association as defined in Section 3(b) of the Federal Deposit Insurance Act (12 U.S.C. 1813);</w:t>
      </w:r>
    </w:p>
    <w:p>
      <w:pPr>
        <w:spacing w:after="0" w:line="229" w:lineRule="exact"/>
        <w:rPr>
          <w:rFonts w:ascii="Times New Roman" w:cs="Times New Roman" w:eastAsia="Times New Roman" w:hAnsi="Times New Roman"/>
          <w:sz w:val="20"/>
          <w:szCs w:val="20"/>
          <w:color w:val="auto"/>
        </w:rPr>
      </w:pPr>
    </w:p>
    <w:p>
      <w:pPr>
        <w:ind w:left="3040" w:right="200" w:hanging="1247"/>
        <w:spacing w:after="0" w:line="260" w:lineRule="exact"/>
        <w:tabs>
          <w:tab w:leader="none" w:pos="2572" w:val="left"/>
        </w:tabs>
        <w:numPr>
          <w:ilvl w:val="0"/>
          <w:numId w:val="12"/>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Church plan that is excluded from the definition of an investment company under Section 3(c)(14) of the Investment Company Act (15 U.S.C. 80a-3);</w:t>
      </w:r>
    </w:p>
    <w:p>
      <w:pPr>
        <w:spacing w:after="0" w:line="169" w:lineRule="exact"/>
        <w:rPr>
          <w:rFonts w:ascii="Times New Roman" w:cs="Times New Roman" w:eastAsia="Times New Roman" w:hAnsi="Times New Roman"/>
          <w:sz w:val="20"/>
          <w:szCs w:val="20"/>
          <w:color w:val="auto"/>
        </w:rPr>
      </w:pPr>
    </w:p>
    <w:p>
      <w:pPr>
        <w:ind w:left="2560" w:hanging="767"/>
        <w:spacing w:after="0" w:line="230" w:lineRule="exact"/>
        <w:tabs>
          <w:tab w:leader="none" w:pos="2560" w:val="left"/>
        </w:tabs>
        <w:numPr>
          <w:ilvl w:val="0"/>
          <w:numId w:val="12"/>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Non-U.S. institution in accordance with Rule 13d-1(b)(1)(ii)(J);</w:t>
      </w:r>
    </w:p>
    <w:p>
      <w:pPr>
        <w:spacing w:after="0" w:line="215" w:lineRule="exact"/>
        <w:rPr>
          <w:rFonts w:ascii="Times New Roman" w:cs="Times New Roman" w:eastAsia="Times New Roman" w:hAnsi="Times New Roman"/>
          <w:sz w:val="20"/>
          <w:szCs w:val="20"/>
          <w:color w:val="auto"/>
        </w:rPr>
      </w:pPr>
    </w:p>
    <w:p>
      <w:pPr>
        <w:ind w:left="2560" w:hanging="767"/>
        <w:spacing w:after="0" w:line="230" w:lineRule="exact"/>
        <w:tabs>
          <w:tab w:leader="none" w:pos="2560" w:val="left"/>
        </w:tabs>
        <w:numPr>
          <w:ilvl w:val="0"/>
          <w:numId w:val="12"/>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Group, in accordance with Rule 13d-1(b)(1)(ii)(K).</w:t>
      </w:r>
    </w:p>
    <w:p>
      <w:pPr>
        <w:spacing w:after="0" w:line="261" w:lineRule="exact"/>
        <w:rPr>
          <w:sz w:val="20"/>
          <w:szCs w:val="20"/>
          <w:color w:val="auto"/>
        </w:rPr>
      </w:pPr>
    </w:p>
    <w:p>
      <w:pPr>
        <w:ind w:left="1800" w:right="2880"/>
        <w:spacing w:after="0" w:line="269" w:lineRule="auto"/>
        <w:rPr>
          <w:sz w:val="20"/>
          <w:szCs w:val="20"/>
          <w:color w:val="auto"/>
        </w:rPr>
      </w:pPr>
      <w:r>
        <w:rPr>
          <w:rFonts w:ascii="Times New Roman" w:cs="Times New Roman" w:eastAsia="Times New Roman" w:hAnsi="Times New Roman"/>
          <w:sz w:val="20"/>
          <w:szCs w:val="20"/>
          <w:color w:val="auto"/>
        </w:rPr>
        <w:t>If filing as a non-U.S. institution in accordance with Rule 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2677160</wp:posOffset>
            </wp:positionH>
            <wp:positionV relativeFrom="paragraph">
              <wp:posOffset>-46355</wp:posOffset>
            </wp:positionV>
            <wp:extent cx="24815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8158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5" w:name="page6"/>
    <w:bookmarkEnd w:id="5"/>
    <w:p>
      <w:pPr>
        <w:spacing w:after="0"/>
        <w:tabs>
          <w:tab w:leader="none" w:pos="53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69353Y103</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6 of 7 Pages</w:t>
      </w:r>
    </w:p>
    <w:p>
      <w:pPr>
        <w:sectPr>
          <w:pgSz w:w="11900" w:h="16838" w:orient="portrait"/>
          <w:cols w:equalWidth="0" w:num="1">
            <w:col w:w="11240"/>
          </w:cols>
          <w:pgMar w:left="320" w:top="225" w:right="339" w:bottom="1440" w:gutter="0" w:footer="0" w:header="0"/>
        </w:sectPr>
      </w:pPr>
    </w:p>
    <w:p>
      <w:pPr>
        <w:spacing w:after="0" w:line="342" w:lineRule="exact"/>
        <w:rPr>
          <w:sz w:val="20"/>
          <w:szCs w:val="20"/>
          <w:color w:val="auto"/>
        </w:rPr>
      </w:pPr>
    </w:p>
    <w:p>
      <w:pPr>
        <w:ind w:left="10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4.</w:t>
      </w:r>
      <w:r>
        <w:rPr>
          <w:sz w:val="20"/>
          <w:szCs w:val="20"/>
          <w:color w:val="auto"/>
        </w:rPr>
        <w:tab/>
      </w:r>
      <w:r>
        <w:rPr>
          <w:rFonts w:ascii="Times New Roman" w:cs="Times New Roman" w:eastAsia="Times New Roman" w:hAnsi="Times New Roman"/>
          <w:sz w:val="19"/>
          <w:szCs w:val="19"/>
          <w:b w:val="1"/>
          <w:bCs w:val="1"/>
          <w:color w:val="auto"/>
        </w:rPr>
        <w:t>OWNERSHIP:</w:t>
      </w:r>
    </w:p>
    <w:p>
      <w:pPr>
        <w:spacing w:after="0" w:line="233" w:lineRule="exact"/>
        <w:rPr>
          <w:sz w:val="20"/>
          <w:szCs w:val="20"/>
          <w:color w:val="auto"/>
        </w:rPr>
      </w:pPr>
    </w:p>
    <w:p>
      <w:pPr>
        <w:ind w:left="1800" w:right="420"/>
        <w:spacing w:after="0" w:line="269" w:lineRule="auto"/>
        <w:rPr>
          <w:sz w:val="20"/>
          <w:szCs w:val="20"/>
          <w:color w:val="auto"/>
        </w:rPr>
      </w:pPr>
      <w:r>
        <w:rPr>
          <w:rFonts w:ascii="Times New Roman" w:cs="Times New Roman" w:eastAsia="Times New Roman" w:hAnsi="Times New Roman"/>
          <w:sz w:val="20"/>
          <w:szCs w:val="20"/>
          <w:color w:val="auto"/>
        </w:rPr>
        <w:t>The information required by Items 4(a) - (c) is set forth in Rows 5 - 11 of the cover page for each of the Reporting Persons and is incorporated herein by reference.</w:t>
      </w:r>
    </w:p>
    <w:p>
      <w:pPr>
        <w:spacing w:after="0" w:line="169" w:lineRule="exact"/>
        <w:rPr>
          <w:sz w:val="20"/>
          <w:szCs w:val="20"/>
          <w:color w:val="auto"/>
        </w:rPr>
      </w:pPr>
    </w:p>
    <w:p>
      <w:pPr>
        <w:ind w:left="10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5.</w:t>
      </w:r>
      <w:r>
        <w:rPr>
          <w:sz w:val="20"/>
          <w:szCs w:val="20"/>
          <w:color w:val="auto"/>
        </w:rPr>
        <w:tab/>
      </w:r>
      <w:r>
        <w:rPr>
          <w:rFonts w:ascii="Times New Roman" w:cs="Times New Roman" w:eastAsia="Times New Roman" w:hAnsi="Times New Roman"/>
          <w:sz w:val="19"/>
          <w:szCs w:val="19"/>
          <w:b w:val="1"/>
          <w:bCs w:val="1"/>
          <w:color w:val="auto"/>
        </w:rPr>
        <w:t>OWNERSHIP OF FIVE PERCENT OR LESS OF A CLASS.</w:t>
      </w:r>
    </w:p>
    <w:p>
      <w:pPr>
        <w:spacing w:after="0" w:line="233" w:lineRule="exact"/>
        <w:rPr>
          <w:sz w:val="20"/>
          <w:szCs w:val="20"/>
          <w:color w:val="auto"/>
        </w:rPr>
      </w:pPr>
    </w:p>
    <w:p>
      <w:pPr>
        <w:ind w:left="1800" w:right="200"/>
        <w:spacing w:after="0" w:line="268" w:lineRule="auto"/>
        <w:rPr>
          <w:sz w:val="20"/>
          <w:szCs w:val="20"/>
          <w:color w:val="auto"/>
        </w:rPr>
      </w:pPr>
      <w:r>
        <w:rPr>
          <w:rFonts w:ascii="Times New Roman" w:cs="Times New Roman" w:eastAsia="Times New Roman" w:hAnsi="Times New Roman"/>
          <w:sz w:val="20"/>
          <w:szCs w:val="20"/>
          <w:color w:val="auto"/>
        </w:rPr>
        <w:t xml:space="preserve">If this statement is being filed to report the fact that as of the date hereof the Reporting Persons have ceased to be the beneficial owner of more than 5 percent of the class of securities, check the following: </w:t>
      </w:r>
      <w:r>
        <w:rPr>
          <w:rFonts w:ascii="Arial" w:cs="Arial" w:eastAsia="Arial" w:hAnsi="Arial"/>
          <w:sz w:val="20"/>
          <w:szCs w:val="20"/>
          <w:b w:val="1"/>
          <w:bCs w:val="1"/>
          <w:color w:val="auto"/>
        </w:rPr>
        <w:t>ý</w:t>
      </w:r>
    </w:p>
    <w:p>
      <w:pPr>
        <w:spacing w:after="0" w:line="170" w:lineRule="exact"/>
        <w:rPr>
          <w:sz w:val="20"/>
          <w:szCs w:val="20"/>
          <w:color w:val="auto"/>
        </w:rPr>
      </w:pPr>
    </w:p>
    <w:p>
      <w:pPr>
        <w:ind w:left="10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6.</w:t>
      </w:r>
      <w:r>
        <w:rPr>
          <w:sz w:val="20"/>
          <w:szCs w:val="20"/>
          <w:color w:val="auto"/>
        </w:rPr>
        <w:tab/>
      </w:r>
      <w:r>
        <w:rPr>
          <w:rFonts w:ascii="Times New Roman" w:cs="Times New Roman" w:eastAsia="Times New Roman" w:hAnsi="Times New Roman"/>
          <w:sz w:val="19"/>
          <w:szCs w:val="19"/>
          <w:b w:val="1"/>
          <w:bCs w:val="1"/>
          <w:color w:val="auto"/>
        </w:rPr>
        <w:t>OWNERSHIP OF MORE THAN FIVE PERCENT ON BEHALF OF ANOTHER PERSON:</w:t>
      </w:r>
    </w:p>
    <w:p>
      <w:pPr>
        <w:spacing w:after="0" w:line="23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ind w:left="100"/>
        <w:spacing w:after="0"/>
        <w:tabs>
          <w:tab w:leader="none" w:pos="1780" w:val="left"/>
          <w:tab w:leader="none" w:pos="3620" w:val="left"/>
          <w:tab w:leader="none" w:pos="4240" w:val="left"/>
          <w:tab w:leader="none" w:pos="6100" w:val="left"/>
          <w:tab w:leader="none" w:pos="6560" w:val="left"/>
          <w:tab w:leader="none" w:pos="7160" w:val="left"/>
          <w:tab w:leader="none" w:pos="8540" w:val="left"/>
          <w:tab w:leader="none" w:pos="9440" w:val="left"/>
          <w:tab w:leader="none" w:pos="10700" w:val="left"/>
        </w:tabs>
        <w:rPr>
          <w:sz w:val="20"/>
          <w:szCs w:val="20"/>
          <w:color w:val="auto"/>
        </w:rPr>
      </w:pPr>
      <w:r>
        <w:rPr>
          <w:rFonts w:ascii="Times New Roman" w:cs="Times New Roman" w:eastAsia="Times New Roman" w:hAnsi="Times New Roman"/>
          <w:sz w:val="20"/>
          <w:szCs w:val="20"/>
          <w:b w:val="1"/>
          <w:bCs w:val="1"/>
          <w:color w:val="auto"/>
        </w:rPr>
        <w:t>Item 7.</w:t>
      </w:r>
      <w:r>
        <w:rPr>
          <w:sz w:val="20"/>
          <w:szCs w:val="20"/>
          <w:color w:val="auto"/>
        </w:rPr>
        <w:tab/>
      </w:r>
      <w:r>
        <w:rPr>
          <w:rFonts w:ascii="Times New Roman" w:cs="Times New Roman" w:eastAsia="Times New Roman" w:hAnsi="Times New Roman"/>
          <w:sz w:val="20"/>
          <w:szCs w:val="20"/>
          <w:b w:val="1"/>
          <w:bCs w:val="1"/>
          <w:color w:val="auto"/>
        </w:rPr>
        <w:t>IDENTIFICATION</w:t>
        <w:tab/>
        <w:t>AND</w:t>
        <w:tab/>
        <w:t>CLASSIFICATION</w:t>
        <w:tab/>
        <w:t>OF</w:t>
        <w:tab/>
        <w:t>THE</w:t>
        <w:tab/>
        <w:t>SUBSIDIARY</w:t>
        <w:tab/>
        <w:t>WHICH</w:t>
        <w:tab/>
        <w:t>ACQUIRED</w:t>
      </w:r>
      <w:r>
        <w:rPr>
          <w:sz w:val="20"/>
          <w:szCs w:val="20"/>
          <w:color w:val="auto"/>
        </w:rPr>
        <w:tab/>
      </w:r>
      <w:r>
        <w:rPr>
          <w:rFonts w:ascii="Times New Roman" w:cs="Times New Roman" w:eastAsia="Times New Roman" w:hAnsi="Times New Roman"/>
          <w:sz w:val="19"/>
          <w:szCs w:val="19"/>
          <w:b w:val="1"/>
          <w:bCs w:val="1"/>
          <w:color w:val="auto"/>
        </w:rPr>
        <w:t>THE</w:t>
      </w:r>
    </w:p>
    <w:p>
      <w:pPr>
        <w:spacing w:after="0" w:line="2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b w:val="1"/>
          <w:bCs w:val="1"/>
          <w:color w:val="auto"/>
        </w:rPr>
        <w:t>SECURITY BEING REPORTED ON BY THE PARENT HOLDING COMPANY.</w:t>
      </w:r>
    </w:p>
    <w:p>
      <w:pPr>
        <w:spacing w:after="0" w:line="2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ind w:left="10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8.</w:t>
      </w:r>
      <w:r>
        <w:rPr>
          <w:sz w:val="20"/>
          <w:szCs w:val="20"/>
          <w:color w:val="auto"/>
        </w:rPr>
        <w:tab/>
      </w:r>
      <w:r>
        <w:rPr>
          <w:rFonts w:ascii="Times New Roman" w:cs="Times New Roman" w:eastAsia="Times New Roman" w:hAnsi="Times New Roman"/>
          <w:sz w:val="19"/>
          <w:szCs w:val="19"/>
          <w:b w:val="1"/>
          <w:bCs w:val="1"/>
          <w:color w:val="auto"/>
        </w:rPr>
        <w:t>IDENTIFICATION AND CLASSIFICATION OF MEMBERS OF THE GROUP:</w:t>
      </w:r>
    </w:p>
    <w:p>
      <w:pPr>
        <w:spacing w:after="0" w:line="23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ind w:left="10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9.</w:t>
      </w:r>
      <w:r>
        <w:rPr>
          <w:sz w:val="20"/>
          <w:szCs w:val="20"/>
          <w:color w:val="auto"/>
        </w:rPr>
        <w:tab/>
      </w:r>
      <w:r>
        <w:rPr>
          <w:rFonts w:ascii="Times New Roman" w:cs="Times New Roman" w:eastAsia="Times New Roman" w:hAnsi="Times New Roman"/>
          <w:sz w:val="19"/>
          <w:szCs w:val="19"/>
          <w:b w:val="1"/>
          <w:bCs w:val="1"/>
          <w:color w:val="auto"/>
        </w:rPr>
        <w:t>NOTICE OF DISSOLUTION OF GROUP:</w:t>
      </w:r>
    </w:p>
    <w:p>
      <w:pPr>
        <w:spacing w:after="0" w:line="23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ind w:left="10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10.</w:t>
      </w:r>
      <w:r>
        <w:rPr>
          <w:sz w:val="20"/>
          <w:szCs w:val="20"/>
          <w:color w:val="auto"/>
        </w:rPr>
        <w:tab/>
      </w:r>
      <w:r>
        <w:rPr>
          <w:rFonts w:ascii="Times New Roman" w:cs="Times New Roman" w:eastAsia="Times New Roman" w:hAnsi="Times New Roman"/>
          <w:sz w:val="19"/>
          <w:szCs w:val="19"/>
          <w:b w:val="1"/>
          <w:bCs w:val="1"/>
          <w:color w:val="auto"/>
        </w:rPr>
        <w:t>CERTIFICATION:</w:t>
      </w:r>
    </w:p>
    <w:p>
      <w:pPr>
        <w:spacing w:after="0" w:line="23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Each of the Reporting Persons hereby makes the following certification:</w:t>
      </w:r>
    </w:p>
    <w:p>
      <w:pPr>
        <w:spacing w:after="0" w:line="229" w:lineRule="exact"/>
        <w:rPr>
          <w:sz w:val="20"/>
          <w:szCs w:val="20"/>
          <w:color w:val="auto"/>
        </w:rPr>
      </w:pPr>
    </w:p>
    <w:p>
      <w:pPr>
        <w:ind w:left="1800" w:right="160"/>
        <w:spacing w:after="0" w:line="249" w:lineRule="auto"/>
        <w:rPr>
          <w:sz w:val="20"/>
          <w:szCs w:val="20"/>
          <w:color w:val="auto"/>
        </w:rPr>
      </w:pPr>
      <w:r>
        <w:rPr>
          <w:rFonts w:ascii="Times New Roman" w:cs="Times New Roman" w:eastAsia="Times New Roman" w:hAnsi="Times New Roman"/>
          <w:sz w:val="20"/>
          <w:szCs w:val="20"/>
          <w:color w:val="auto"/>
        </w:rPr>
        <w:t>By signing below each Reporting Person certifies that, to the best of his or its knowledge and belief, the securities referred to above were acquired and are held in the ordinary course of business and were not acquired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225" w:right="339" w:bottom="1440" w:gutter="0" w:footer="0" w:header="0"/>
          <w:type w:val="continuous"/>
        </w:sectPr>
      </w:pPr>
    </w:p>
    <w:bookmarkStart w:id="6" w:name="page7"/>
    <w:bookmarkEnd w:id="6"/>
    <w:p>
      <w:pPr>
        <w:spacing w:after="0"/>
        <w:tabs>
          <w:tab w:leader="none" w:pos="53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69353Y103</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7 of 7 Pages</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20"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After reasonable inquiry and to the best of his or its knowledge and belief, each of the undersigned certify that the information set forth in this statement is true, complete and correct.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February 14, 2024</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RTW INVESTMENTS, LP</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/s/ Roderick Wong, M.D.</w:t>
            </w:r>
          </w:p>
        </w:tc>
        <w:tc>
          <w:tcPr>
            <w:tcW w:w="0" w:type="dxa"/>
            <w:vAlign w:val="bottom"/>
          </w:tcPr>
          <w:p>
            <w:pPr>
              <w:spacing w:after="0"/>
              <w:rPr>
                <w:sz w:val="1"/>
                <w:szCs w:val="1"/>
                <w:color w:val="auto"/>
              </w:rPr>
            </w:pPr>
          </w:p>
        </w:tc>
      </w:tr>
      <w:tr>
        <w:trPr>
          <w:trHeight w:val="23"/>
        </w:trPr>
        <w:tc>
          <w:tcPr>
            <w:tcW w:w="10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Name:</w:t>
            </w:r>
          </w:p>
        </w:tc>
        <w:tc>
          <w:tcPr>
            <w:tcW w:w="4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1020" w:type="dxa"/>
            <w:vAlign w:val="bottom"/>
            <w:vMerge w:val="continue"/>
          </w:tcPr>
          <w:p>
            <w:pPr>
              <w:spacing w:after="0"/>
              <w:rPr>
                <w:sz w:val="17"/>
                <w:szCs w:val="17"/>
                <w:color w:val="auto"/>
              </w:rPr>
            </w:pPr>
          </w:p>
        </w:tc>
        <w:tc>
          <w:tcPr>
            <w:tcW w:w="494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Roderick Wong, M.D.</w:t>
            </w:r>
          </w:p>
        </w:tc>
        <w:tc>
          <w:tcPr>
            <w:tcW w:w="0" w:type="dxa"/>
            <w:vAlign w:val="bottom"/>
          </w:tcPr>
          <w:p>
            <w:pPr>
              <w:spacing w:after="0"/>
              <w:rPr>
                <w:sz w:val="1"/>
                <w:szCs w:val="1"/>
                <w:color w:val="auto"/>
              </w:rPr>
            </w:pPr>
          </w:p>
        </w:tc>
      </w:tr>
      <w:tr>
        <w:trPr>
          <w:trHeight w:val="258"/>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Managing Partner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Roderick Wong,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7801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780155"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RODERICK WONG, M.D.</w:t>
      </w:r>
    </w:p>
    <w:sectPr>
      <w:pgSz w:w="11900" w:h="16838" w:orient="portrait"/>
      <w:cols w:equalWidth="0" w:num="1">
        <w:col w:w="11240"/>
      </w:cols>
      <w:pgMar w:left="320" w:top="2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2"/>
      <w:numFmt w:val="bullet"/>
      <w:start w:val="1"/>
    </w:lvl>
  </w:abstractNum>
  <w:abstractNum w:abstractNumId="3">
    <w:nsid w:val="7545E146"/>
    <w:multiLevelType w:val="hybridMultilevel"/>
    <w:lvl w:ilvl="0">
      <w:lvlJc w:val="left"/>
      <w:lvlText w:val="3"/>
      <w:numFmt w:val="bullet"/>
      <w:start w:val="1"/>
    </w:lvl>
  </w:abstractNum>
  <w:abstractNum w:abstractNumId="4">
    <w:nsid w:val="515F007C"/>
    <w:multiLevelType w:val="hybridMultilevel"/>
    <w:lvl w:ilvl="0">
      <w:lvlJc w:val="left"/>
      <w:lvlText w:val="9"/>
      <w:numFmt w:val="bullet"/>
      <w:start w:val="1"/>
    </w:lvl>
  </w:abstractNum>
  <w:abstractNum w:abstractNumId="5">
    <w:nsid w:val="5BD062C2"/>
    <w:multiLevelType w:val="hybridMultilevel"/>
    <w:lvl w:ilvl="0">
      <w:lvlJc w:val="left"/>
      <w:lvlText w:val="(%1)"/>
      <w:numFmt w:val="lowerLetter"/>
      <w:start w:val="1"/>
    </w:lvl>
  </w:abstractNum>
  <w:abstractNum w:abstractNumId="6">
    <w:nsid w:val="12200854"/>
    <w:multiLevelType w:val="hybridMultilevel"/>
    <w:lvl w:ilvl="0">
      <w:lvlJc w:val="left"/>
      <w:lvlText w:val="2"/>
      <w:numFmt w:val="bullet"/>
      <w:start w:val="1"/>
    </w:lvl>
  </w:abstractNum>
  <w:abstractNum w:abstractNumId="7">
    <w:nsid w:val="4DB127F8"/>
    <w:multiLevelType w:val="hybridMultilevel"/>
    <w:lvl w:ilvl="0">
      <w:lvlJc w:val="left"/>
      <w:lvlText w:val="3"/>
      <w:numFmt w:val="bullet"/>
      <w:start w:val="1"/>
    </w:lvl>
  </w:abstractNum>
  <w:abstractNum w:abstractNumId="8">
    <w:nsid w:val="216231B"/>
    <w:multiLevelType w:val="hybridMultilevel"/>
    <w:lvl w:ilvl="0">
      <w:lvlJc w:val="left"/>
      <w:lvlText w:val="9"/>
      <w:numFmt w:val="bullet"/>
      <w:start w:val="1"/>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2024-02-14T06:53:54Z</dcterms:created>
  <dcterms:modified xsi:type="dcterms:W3CDTF">2024-02-14T06:53:54Z</dcterms:modified>
</cp:coreProperties>
</file>