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$0.00001 par value per share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69353Y103</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41" w:lineRule="exact"/>
        <w:rPr>
          <w:sz w:val="24"/>
          <w:szCs w:val="24"/>
          <w:color w:val="auto"/>
        </w:rPr>
      </w:pPr>
    </w:p>
    <w:p>
      <w:pPr>
        <w:ind w:left="1200" w:hanging="200"/>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00"/>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00"/>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9"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____________</w:t>
      </w:r>
    </w:p>
    <w:p>
      <w:pPr>
        <w:spacing w:after="0" w:line="7" w:lineRule="exact"/>
        <w:rPr>
          <w:rFonts w:ascii="MS PGothic" w:cs="MS PGothic" w:eastAsia="MS PGothic" w:hAnsi="MS PGothic"/>
          <w:sz w:val="18"/>
          <w:szCs w:val="18"/>
          <w:color w:val="auto"/>
        </w:rPr>
      </w:pPr>
    </w:p>
    <w:p>
      <w:pPr>
        <w:spacing w:after="0" w:line="260"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69353Y103</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13G</w:t>
            </w:r>
          </w:p>
        </w:tc>
        <w:tc>
          <w:tcPr>
            <w:tcW w:w="20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6"/>
              </w:rPr>
              <w:t>Page 2 of 9 Pages</w:t>
            </w: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gridSpan w:val="5"/>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vMerge w:val="continue"/>
          </w:tcPr>
          <w:p>
            <w:pPr>
              <w:spacing w:after="0"/>
              <w:rPr>
                <w:sz w:val="24"/>
                <w:szCs w:val="24"/>
                <w:color w:val="auto"/>
              </w:rPr>
            </w:pPr>
          </w:p>
        </w:tc>
        <w:tc>
          <w:tcPr>
            <w:tcW w:w="768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Boxer Capital, LLC</w:t>
            </w: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7680" w:type="dxa"/>
            <w:vAlign w:val="bottom"/>
            <w:gridSpan w:val="5"/>
            <w:vMerge w:val="continue"/>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80" w:type="dxa"/>
            <w:vAlign w:val="bottom"/>
            <w:tcBorders>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7680" w:type="dxa"/>
            <w:vAlign w:val="bottom"/>
            <w:tcBorders>
              <w:bottom w:val="single" w:sz="8" w:color="auto"/>
            </w:tcBorders>
            <w:gridSpan w:val="5"/>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0" w:type="dxa"/>
            <w:vAlign w:val="bottom"/>
            <w:tcBorders>
              <w:right w:val="single" w:sz="8" w:color="auto"/>
            </w:tcBorders>
          </w:tcPr>
          <w:p>
            <w:pPr>
              <w:spacing w:after="0"/>
              <w:rPr>
                <w:sz w:val="23"/>
                <w:szCs w:val="23"/>
                <w:color w:val="auto"/>
              </w:rPr>
            </w:pPr>
          </w:p>
        </w:tc>
        <w:tc>
          <w:tcPr>
            <w:tcW w:w="1380" w:type="dxa"/>
            <w:vAlign w:val="bottom"/>
            <w:tcBorders>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20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80" w:type="dxa"/>
            <w:vAlign w:val="bottom"/>
            <w:tcBorders>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6360" w:type="dxa"/>
            <w:vAlign w:val="bottom"/>
            <w:shd w:val="clear" w:color="auto" w:fill="BFBFBF"/>
          </w:tcPr>
          <w:p>
            <w:pPr>
              <w:spacing w:after="0"/>
              <w:rPr>
                <w:sz w:val="20"/>
                <w:szCs w:val="20"/>
                <w:color w:val="auto"/>
              </w:rPr>
            </w:pPr>
          </w:p>
        </w:tc>
        <w:tc>
          <w:tcPr>
            <w:tcW w:w="20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6360" w:type="dxa"/>
            <w:vAlign w:val="bottom"/>
            <w:shd w:val="clear" w:color="auto" w:fill="BFBFBF"/>
          </w:tcPr>
          <w:p>
            <w:pPr>
              <w:spacing w:after="0"/>
              <w:rPr>
                <w:sz w:val="24"/>
                <w:szCs w:val="24"/>
                <w:color w:val="auto"/>
              </w:rPr>
            </w:pPr>
          </w:p>
        </w:tc>
        <w:tc>
          <w:tcPr>
            <w:tcW w:w="20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80" w:type="dxa"/>
            <w:vAlign w:val="bottom"/>
            <w:tcBorders>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80" w:type="dxa"/>
            <w:vAlign w:val="bottom"/>
            <w:tcBorders>
              <w:bottom w:val="single" w:sz="8" w:color="auto"/>
            </w:tcBorders>
            <w:gridSpan w:val="2"/>
            <w:shd w:val="clear" w:color="auto" w:fill="BFBFBF"/>
          </w:tcPr>
          <w:p>
            <w:pPr>
              <w:spacing w:after="0"/>
              <w:rPr>
                <w:sz w:val="23"/>
                <w:szCs w:val="23"/>
                <w:color w:val="auto"/>
              </w:rPr>
            </w:pPr>
          </w:p>
        </w:tc>
        <w:tc>
          <w:tcPr>
            <w:tcW w:w="20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80" w:type="dxa"/>
            <w:vAlign w:val="bottom"/>
            <w:tcBorders>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right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8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Pr>
          <w:p>
            <w:pPr>
              <w:jc w:val="right"/>
              <w:ind w:right="6130"/>
              <w:spacing w:after="0"/>
              <w:rPr>
                <w:sz w:val="20"/>
                <w:szCs w:val="20"/>
                <w:color w:val="auto"/>
              </w:rPr>
            </w:pPr>
            <w:r>
              <w:rPr>
                <w:rFonts w:ascii="Times New Roman" w:cs="Times New Roman" w:eastAsia="Times New Roman" w:hAnsi="Times New Roman"/>
                <w:sz w:val="18"/>
                <w:szCs w:val="18"/>
                <w:color w:val="auto"/>
              </w:rPr>
              <w:t>0</w:t>
            </w: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360" w:type="dxa"/>
            <w:vAlign w:val="bottom"/>
            <w:tcBorders>
              <w:bottom w:val="single" w:sz="8" w:color="auto"/>
            </w:tcBorders>
          </w:tcPr>
          <w:p>
            <w:pPr>
              <w:spacing w:after="0"/>
              <w:rPr>
                <w:sz w:val="14"/>
                <w:szCs w:val="14"/>
                <w:color w:val="auto"/>
              </w:rPr>
            </w:pPr>
          </w:p>
        </w:tc>
        <w:tc>
          <w:tcPr>
            <w:tcW w:w="2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0" w:type="dxa"/>
            <w:vAlign w:val="bottom"/>
            <w:tcBorders>
              <w:right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8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21"/>
                <w:szCs w:val="21"/>
                <w:color w:val="auto"/>
              </w:rPr>
            </w:pPr>
          </w:p>
        </w:tc>
        <w:tc>
          <w:tcPr>
            <w:tcW w:w="50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360" w:type="dxa"/>
            <w:vAlign w:val="bottom"/>
          </w:tcPr>
          <w:p>
            <w:pPr>
              <w:jc w:val="right"/>
              <w:ind w:right="6130"/>
              <w:spacing w:after="0"/>
              <w:rPr>
                <w:sz w:val="20"/>
                <w:szCs w:val="20"/>
                <w:color w:val="auto"/>
              </w:rPr>
            </w:pPr>
            <w:r>
              <w:rPr>
                <w:rFonts w:ascii="Times New Roman" w:cs="Times New Roman" w:eastAsia="Times New Roman" w:hAnsi="Times New Roman"/>
                <w:sz w:val="18"/>
                <w:szCs w:val="18"/>
                <w:color w:val="auto"/>
              </w:rPr>
              <w:t>0</w:t>
            </w: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80" w:type="dxa"/>
            <w:vAlign w:val="bottom"/>
            <w:tcBorders>
              <w:right w:val="single" w:sz="8" w:color="auto"/>
            </w:tcBorders>
          </w:tcPr>
          <w:p>
            <w:pPr>
              <w:spacing w:after="0"/>
              <w:rPr>
                <w:sz w:val="5"/>
                <w:szCs w:val="5"/>
                <w:color w:val="auto"/>
              </w:rPr>
            </w:pPr>
          </w:p>
        </w:tc>
        <w:tc>
          <w:tcPr>
            <w:tcW w:w="202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0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6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80" w:type="dxa"/>
            <w:vAlign w:val="bottom"/>
            <w:tcBorders>
              <w:right w:val="single" w:sz="8" w:color="auto"/>
            </w:tcBorders>
          </w:tcPr>
          <w:p>
            <w:pPr>
              <w:spacing w:after="0"/>
              <w:rPr>
                <w:sz w:val="16"/>
                <w:szCs w:val="16"/>
                <w:color w:val="auto"/>
              </w:rPr>
            </w:pPr>
          </w:p>
        </w:tc>
        <w:tc>
          <w:tcPr>
            <w:tcW w:w="1380" w:type="dxa"/>
            <w:vAlign w:val="bottom"/>
            <w:vMerge w:val="restart"/>
          </w:tcPr>
          <w:p>
            <w:pPr>
              <w:jc w:val="center"/>
              <w:ind w:left="48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360" w:type="dxa"/>
            <w:vAlign w:val="bottom"/>
          </w:tcPr>
          <w:p>
            <w:pPr>
              <w:jc w:val="right"/>
              <w:ind w:right="613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2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80" w:type="dxa"/>
            <w:vAlign w:val="bottom"/>
            <w:tcBorders>
              <w:right w:val="single" w:sz="8" w:color="auto"/>
            </w:tcBorders>
          </w:tcPr>
          <w:p>
            <w:pPr>
              <w:spacing w:after="0"/>
              <w:rPr>
                <w:sz w:val="4"/>
                <w:szCs w:val="4"/>
                <w:color w:val="auto"/>
              </w:rPr>
            </w:pPr>
          </w:p>
        </w:tc>
        <w:tc>
          <w:tcPr>
            <w:tcW w:w="138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360" w:type="dxa"/>
            <w:vAlign w:val="bottom"/>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8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tcBorders>
              <w:right w:val="single" w:sz="8" w:color="auto"/>
            </w:tcBorders>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80" w:type="dxa"/>
            <w:vAlign w:val="bottom"/>
            <w:tcBorders>
              <w:righ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vMerge w:val="restart"/>
          </w:tcPr>
          <w:p>
            <w:pPr>
              <w:jc w:val="right"/>
              <w:ind w:right="6130"/>
              <w:spacing w:after="0"/>
              <w:rPr>
                <w:sz w:val="20"/>
                <w:szCs w:val="20"/>
                <w:color w:val="auto"/>
              </w:rPr>
            </w:pPr>
            <w:r>
              <w:rPr>
                <w:rFonts w:ascii="Times New Roman" w:cs="Times New Roman" w:eastAsia="Times New Roman" w:hAnsi="Times New Roman"/>
                <w:sz w:val="18"/>
                <w:szCs w:val="18"/>
                <w:color w:val="auto"/>
              </w:rPr>
              <w:t>0</w:t>
            </w: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80" w:type="dxa"/>
            <w:vAlign w:val="bottom"/>
            <w:tcBorders>
              <w:right w:val="single" w:sz="8" w:color="auto"/>
            </w:tcBorders>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vMerge w:val="continue"/>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80" w:type="dxa"/>
            <w:vAlign w:val="bottom"/>
            <w:tcBorders>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6380" w:type="dxa"/>
            <w:vAlign w:val="bottom"/>
            <w:tcBorders>
              <w:bottom w:val="single" w:sz="8" w:color="auto"/>
            </w:tcBorders>
            <w:gridSpan w:val="2"/>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80" w:type="dxa"/>
            <w:vAlign w:val="bottom"/>
            <w:tcBorders>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38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68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80" w:type="dxa"/>
            <w:vAlign w:val="bottom"/>
            <w:tcBorders>
              <w:right w:val="single" w:sz="8" w:color="auto"/>
            </w:tcBorders>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6360" w:type="dxa"/>
            <w:vAlign w:val="bottom"/>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80" w:type="dxa"/>
            <w:vAlign w:val="bottom"/>
            <w:tcBorders>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380" w:type="dxa"/>
            <w:vAlign w:val="bottom"/>
            <w:tcBorders>
              <w:bottom w:val="single" w:sz="8" w:color="auto"/>
            </w:tcBorders>
            <w:gridSpan w:val="2"/>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80" w:type="dxa"/>
            <w:vAlign w:val="bottom"/>
            <w:tcBorders>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380" w:type="dxa"/>
            <w:vAlign w:val="bottom"/>
            <w:tcBorders>
              <w:bottom w:val="single" w:sz="8" w:color="auto"/>
            </w:tcBorders>
            <w:gridSpan w:val="2"/>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8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80" w:type="dxa"/>
            <w:vAlign w:val="bottom"/>
            <w:tcBorders>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9"/>
        </w:trPr>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69353Y103</w:t>
            </w:r>
          </w:p>
        </w:tc>
        <w:tc>
          <w:tcPr>
            <w:tcW w:w="500" w:type="dxa"/>
            <w:vAlign w:val="bottom"/>
          </w:tcPr>
          <w:p>
            <w:pPr>
              <w:spacing w:after="0"/>
              <w:rPr>
                <w:sz w:val="20"/>
                <w:szCs w:val="20"/>
                <w:color w:val="auto"/>
              </w:rPr>
            </w:pPr>
          </w:p>
        </w:tc>
        <w:tc>
          <w:tcPr>
            <w:tcW w:w="63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13G</w:t>
            </w:r>
          </w:p>
        </w:tc>
        <w:tc>
          <w:tcPr>
            <w:tcW w:w="19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Page 3 of 9 Pages</w:t>
            </w: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gridSpan w:val="4"/>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76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Boxer Asset Management Inc.</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7600" w:type="dxa"/>
            <w:vAlign w:val="bottom"/>
            <w:gridSpan w:val="4"/>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7600" w:type="dxa"/>
            <w:vAlign w:val="bottom"/>
            <w:tcBorders>
              <w:bottom w:val="single" w:sz="8" w:color="auto"/>
            </w:tcBorders>
            <w:gridSpan w:val="4"/>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0" w:type="dxa"/>
            <w:vAlign w:val="bottom"/>
            <w:tcBorders>
              <w:right w:val="single" w:sz="8" w:color="auto"/>
            </w:tcBorders>
          </w:tcPr>
          <w:p>
            <w:pPr>
              <w:spacing w:after="0"/>
              <w:rPr>
                <w:sz w:val="23"/>
                <w:szCs w:val="23"/>
                <w:color w:val="auto"/>
              </w:rPr>
            </w:pPr>
          </w:p>
        </w:tc>
        <w:tc>
          <w:tcPr>
            <w:tcW w:w="1360" w:type="dxa"/>
            <w:vAlign w:val="bottom"/>
            <w:tcBorders>
              <w:right w:val="single" w:sz="8" w:color="auto"/>
            </w:tcBorders>
            <w:vMerge w:val="continue"/>
          </w:tcPr>
          <w:p>
            <w:pPr>
              <w:spacing w:after="0"/>
              <w:rPr>
                <w:sz w:val="23"/>
                <w:szCs w:val="23"/>
                <w:color w:val="auto"/>
              </w:rPr>
            </w:pPr>
          </w:p>
        </w:tc>
        <w:tc>
          <w:tcPr>
            <w:tcW w:w="7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3"/>
                <w:szCs w:val="23"/>
                <w:color w:val="auto"/>
              </w:rPr>
            </w:pPr>
          </w:p>
        </w:tc>
        <w:tc>
          <w:tcPr>
            <w:tcW w:w="6320" w:type="dxa"/>
            <w:vAlign w:val="bottom"/>
          </w:tcPr>
          <w:p>
            <w:pPr>
              <w:spacing w:after="0"/>
              <w:rPr>
                <w:sz w:val="23"/>
                <w:szCs w:val="23"/>
                <w:color w:val="auto"/>
              </w:rPr>
            </w:pPr>
          </w:p>
        </w:tc>
        <w:tc>
          <w:tcPr>
            <w:tcW w:w="19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200" w:type="dxa"/>
            <w:vAlign w:val="bottom"/>
            <w:tcBorders>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760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19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632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0" w:type="dxa"/>
            <w:vAlign w:val="bottom"/>
            <w:tcBorders>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4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20" w:type="dxa"/>
            <w:vAlign w:val="bottom"/>
            <w:tcBorders>
              <w:bottom w:val="single" w:sz="8" w:color="auto"/>
            </w:tcBorders>
            <w:shd w:val="clear" w:color="auto" w:fill="BFBFBF"/>
          </w:tcPr>
          <w:p>
            <w:pPr>
              <w:spacing w:after="0"/>
              <w:rPr>
                <w:sz w:val="23"/>
                <w:szCs w:val="23"/>
                <w:color w:val="auto"/>
              </w:rPr>
            </w:pPr>
          </w:p>
        </w:tc>
        <w:tc>
          <w:tcPr>
            <w:tcW w:w="19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Bahamas</w:t>
            </w:r>
          </w:p>
        </w:tc>
        <w:tc>
          <w:tcPr>
            <w:tcW w:w="5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6320" w:type="dxa"/>
            <w:vAlign w:val="bottom"/>
          </w:tcPr>
          <w:p>
            <w:pPr>
              <w:jc w:val="right"/>
              <w:ind w:right="607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632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21"/>
                <w:szCs w:val="21"/>
                <w:color w:val="auto"/>
              </w:rPr>
            </w:pPr>
          </w:p>
        </w:tc>
        <w:tc>
          <w:tcPr>
            <w:tcW w:w="500" w:type="dxa"/>
            <w:vAlign w:val="bottom"/>
            <w:tcBorders>
              <w:right w:val="single" w:sz="8" w:color="auto"/>
            </w:tcBorders>
            <w:vMerge w:val="continue"/>
          </w:tcPr>
          <w:p>
            <w:pPr>
              <w:spacing w:after="0"/>
              <w:rPr>
                <w:sz w:val="21"/>
                <w:szCs w:val="21"/>
                <w:color w:val="auto"/>
              </w:rPr>
            </w:pPr>
          </w:p>
        </w:tc>
        <w:tc>
          <w:tcPr>
            <w:tcW w:w="6320" w:type="dxa"/>
            <w:vAlign w:val="bottom"/>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6320" w:type="dxa"/>
            <w:vAlign w:val="bottom"/>
          </w:tcPr>
          <w:p>
            <w:pPr>
              <w:jc w:val="right"/>
              <w:ind w:right="607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0" w:type="dxa"/>
            <w:vAlign w:val="bottom"/>
            <w:tcBorders>
              <w:right w:val="single" w:sz="8" w:color="auto"/>
            </w:tcBorders>
          </w:tcPr>
          <w:p>
            <w:pPr>
              <w:spacing w:after="0"/>
              <w:rPr>
                <w:sz w:val="5"/>
                <w:szCs w:val="5"/>
                <w:color w:val="auto"/>
              </w:rPr>
            </w:pPr>
          </w:p>
        </w:tc>
        <w:tc>
          <w:tcPr>
            <w:tcW w:w="2000" w:type="dxa"/>
            <w:vAlign w:val="bottom"/>
            <w:tcBorders>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4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320" w:type="dxa"/>
            <w:vAlign w:val="bottom"/>
            <w:vMerge w:val="continue"/>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0" w:type="dxa"/>
            <w:vAlign w:val="bottom"/>
            <w:tcBorders>
              <w:right w:val="single" w:sz="8" w:color="auto"/>
            </w:tcBorders>
          </w:tcPr>
          <w:p>
            <w:pPr>
              <w:spacing w:after="0"/>
              <w:rPr>
                <w:sz w:val="16"/>
                <w:szCs w:val="16"/>
                <w:color w:val="auto"/>
              </w:rPr>
            </w:pPr>
          </w:p>
        </w:tc>
        <w:tc>
          <w:tcPr>
            <w:tcW w:w="1360" w:type="dxa"/>
            <w:vAlign w:val="bottom"/>
            <w:vMerge w:val="restart"/>
          </w:tcPr>
          <w:p>
            <w:pPr>
              <w:jc w:val="center"/>
              <w:ind w:left="46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Borders>
              <w:right w:val="single" w:sz="8" w:color="auto"/>
            </w:tcBorders>
            <w:vMerge w:val="continue"/>
          </w:tcPr>
          <w:p>
            <w:pPr>
              <w:spacing w:after="0"/>
              <w:rPr>
                <w:sz w:val="16"/>
                <w:szCs w:val="16"/>
                <w:color w:val="auto"/>
              </w:rPr>
            </w:pPr>
          </w:p>
        </w:tc>
        <w:tc>
          <w:tcPr>
            <w:tcW w:w="6320" w:type="dxa"/>
            <w:vAlign w:val="bottom"/>
          </w:tcPr>
          <w:p>
            <w:pPr>
              <w:jc w:val="right"/>
              <w:ind w:right="607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6320" w:type="dxa"/>
            <w:vAlign w:val="bottom"/>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6320" w:type="dxa"/>
            <w:vAlign w:val="bottom"/>
            <w:vMerge w:val="restart"/>
          </w:tcPr>
          <w:p>
            <w:pPr>
              <w:jc w:val="right"/>
              <w:ind w:right="607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0" w:type="dxa"/>
            <w:vAlign w:val="bottom"/>
            <w:tcBorders>
              <w:righ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6320" w:type="dxa"/>
            <w:vAlign w:val="bottom"/>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82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5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7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6320" w:type="dxa"/>
            <w:vAlign w:val="bottom"/>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0" w:type="dxa"/>
            <w:vAlign w:val="bottom"/>
            <w:tcBorders>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632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5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8"/>
        </w:trPr>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80" w:top="553"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69353Y103</w:t>
            </w:r>
          </w:p>
        </w:tc>
        <w:tc>
          <w:tcPr>
            <w:tcW w:w="460" w:type="dxa"/>
            <w:vAlign w:val="bottom"/>
          </w:tcPr>
          <w:p>
            <w:pPr>
              <w:spacing w:after="0"/>
              <w:rPr>
                <w:sz w:val="20"/>
                <w:szCs w:val="20"/>
                <w:color w:val="auto"/>
              </w:rPr>
            </w:pPr>
          </w:p>
        </w:tc>
        <w:tc>
          <w:tcPr>
            <w:tcW w:w="63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13G</w:t>
            </w:r>
          </w:p>
        </w:tc>
        <w:tc>
          <w:tcPr>
            <w:tcW w:w="19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Page 4 of 9 Pages</w:t>
            </w: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gridSpan w:val="4"/>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Joe Lewis</w:t>
            </w:r>
          </w:p>
        </w:tc>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7600" w:type="dxa"/>
            <w:vAlign w:val="bottom"/>
            <w:tcBorders>
              <w:bottom w:val="single" w:sz="8" w:color="auto"/>
            </w:tcBorders>
            <w:gridSpan w:val="4"/>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0" w:type="dxa"/>
            <w:vAlign w:val="bottom"/>
            <w:tcBorders>
              <w:right w:val="single" w:sz="8" w:color="auto"/>
            </w:tcBorders>
          </w:tcPr>
          <w:p>
            <w:pPr>
              <w:spacing w:after="0"/>
              <w:rPr>
                <w:sz w:val="23"/>
                <w:szCs w:val="23"/>
                <w:color w:val="auto"/>
              </w:rPr>
            </w:pPr>
          </w:p>
        </w:tc>
        <w:tc>
          <w:tcPr>
            <w:tcW w:w="136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6320" w:type="dxa"/>
            <w:vAlign w:val="bottom"/>
          </w:tcPr>
          <w:p>
            <w:pPr>
              <w:spacing w:after="0"/>
              <w:rPr>
                <w:sz w:val="23"/>
                <w:szCs w:val="23"/>
                <w:color w:val="auto"/>
              </w:rPr>
            </w:pPr>
          </w:p>
        </w:tc>
        <w:tc>
          <w:tcPr>
            <w:tcW w:w="19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200" w:type="dxa"/>
            <w:vAlign w:val="bottom"/>
            <w:tcBorders>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760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19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32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0" w:type="dxa"/>
            <w:vAlign w:val="bottom"/>
            <w:tcBorders>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4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20" w:type="dxa"/>
            <w:vAlign w:val="bottom"/>
            <w:tcBorders>
              <w:bottom w:val="single" w:sz="8" w:color="auto"/>
            </w:tcBorders>
            <w:shd w:val="clear" w:color="auto" w:fill="BFBFBF"/>
          </w:tcPr>
          <w:p>
            <w:pPr>
              <w:spacing w:after="0"/>
              <w:rPr>
                <w:sz w:val="23"/>
                <w:szCs w:val="23"/>
                <w:color w:val="auto"/>
              </w:rPr>
            </w:pPr>
          </w:p>
        </w:tc>
        <w:tc>
          <w:tcPr>
            <w:tcW w:w="19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w w:val="98"/>
              </w:rPr>
              <w:t>United Kingdom</w:t>
            </w: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320" w:type="dxa"/>
            <w:vAlign w:val="bottom"/>
          </w:tcPr>
          <w:p>
            <w:pPr>
              <w:jc w:val="right"/>
              <w:ind w:right="607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32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21"/>
                <w:szCs w:val="21"/>
                <w:color w:val="auto"/>
              </w:rPr>
            </w:pPr>
          </w:p>
        </w:tc>
        <w:tc>
          <w:tcPr>
            <w:tcW w:w="460" w:type="dxa"/>
            <w:vAlign w:val="bottom"/>
            <w:tcBorders>
              <w:right w:val="single" w:sz="8" w:color="auto"/>
            </w:tcBorders>
            <w:vMerge w:val="continue"/>
          </w:tcPr>
          <w:p>
            <w:pPr>
              <w:spacing w:after="0"/>
              <w:rPr>
                <w:sz w:val="21"/>
                <w:szCs w:val="21"/>
                <w:color w:val="auto"/>
              </w:rPr>
            </w:pPr>
          </w:p>
        </w:tc>
        <w:tc>
          <w:tcPr>
            <w:tcW w:w="6320" w:type="dxa"/>
            <w:vAlign w:val="bottom"/>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320" w:type="dxa"/>
            <w:vAlign w:val="bottom"/>
          </w:tcPr>
          <w:p>
            <w:pPr>
              <w:jc w:val="right"/>
              <w:ind w:right="607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0" w:type="dxa"/>
            <w:vAlign w:val="bottom"/>
            <w:tcBorders>
              <w:right w:val="single" w:sz="8" w:color="auto"/>
            </w:tcBorders>
          </w:tcPr>
          <w:p>
            <w:pPr>
              <w:spacing w:after="0"/>
              <w:rPr>
                <w:sz w:val="5"/>
                <w:szCs w:val="5"/>
                <w:color w:val="auto"/>
              </w:rPr>
            </w:pPr>
          </w:p>
        </w:tc>
        <w:tc>
          <w:tcPr>
            <w:tcW w:w="200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8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320" w:type="dxa"/>
            <w:vAlign w:val="bottom"/>
            <w:vMerge w:val="continue"/>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0" w:type="dxa"/>
            <w:vAlign w:val="bottom"/>
            <w:tcBorders>
              <w:right w:val="single" w:sz="8" w:color="auto"/>
            </w:tcBorders>
          </w:tcPr>
          <w:p>
            <w:pPr>
              <w:spacing w:after="0"/>
              <w:rPr>
                <w:sz w:val="16"/>
                <w:szCs w:val="16"/>
                <w:color w:val="auto"/>
              </w:rPr>
            </w:pPr>
          </w:p>
        </w:tc>
        <w:tc>
          <w:tcPr>
            <w:tcW w:w="1360" w:type="dxa"/>
            <w:vAlign w:val="bottom"/>
            <w:vMerge w:val="restart"/>
          </w:tcPr>
          <w:p>
            <w:pPr>
              <w:jc w:val="center"/>
              <w:ind w:left="46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320" w:type="dxa"/>
            <w:vAlign w:val="bottom"/>
          </w:tcPr>
          <w:p>
            <w:pPr>
              <w:jc w:val="right"/>
              <w:ind w:right="607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320" w:type="dxa"/>
            <w:vAlign w:val="bottom"/>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320" w:type="dxa"/>
            <w:vAlign w:val="bottom"/>
            <w:vMerge w:val="restart"/>
          </w:tcPr>
          <w:p>
            <w:pPr>
              <w:jc w:val="right"/>
              <w:ind w:right="607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0" w:type="dxa"/>
            <w:vAlign w:val="bottom"/>
            <w:tcBorders>
              <w:righ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6320" w:type="dxa"/>
            <w:vAlign w:val="bottom"/>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82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5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6320" w:type="dxa"/>
            <w:vAlign w:val="bottom"/>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0" w:type="dxa"/>
            <w:vAlign w:val="bottom"/>
            <w:tcBorders>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632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46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0" w:type="dxa"/>
            <w:vAlign w:val="bottom"/>
            <w:tcBorders>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48"/>
        </w:trPr>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80" w:top="55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69353Y103</w:t>
            </w:r>
          </w:p>
        </w:tc>
        <w:tc>
          <w:tcPr>
            <w:tcW w:w="480" w:type="dxa"/>
            <w:vAlign w:val="bottom"/>
          </w:tcPr>
          <w:p>
            <w:pPr>
              <w:spacing w:after="0"/>
              <w:rPr>
                <w:sz w:val="20"/>
                <w:szCs w:val="20"/>
                <w:color w:val="auto"/>
              </w:rPr>
            </w:pPr>
          </w:p>
        </w:tc>
        <w:tc>
          <w:tcPr>
            <w:tcW w:w="63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13G</w:t>
            </w:r>
          </w:p>
        </w:tc>
        <w:tc>
          <w:tcPr>
            <w:tcW w:w="19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Page 5 of 9 Pages</w:t>
            </w: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gridSpan w:val="4"/>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76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MVA Investors, LLC</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7600" w:type="dxa"/>
            <w:vAlign w:val="bottom"/>
            <w:gridSpan w:val="4"/>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7600" w:type="dxa"/>
            <w:vAlign w:val="bottom"/>
            <w:tcBorders>
              <w:bottom w:val="single" w:sz="8" w:color="auto"/>
            </w:tcBorders>
            <w:gridSpan w:val="4"/>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0" w:type="dxa"/>
            <w:vAlign w:val="bottom"/>
            <w:tcBorders>
              <w:right w:val="single" w:sz="8" w:color="auto"/>
            </w:tcBorders>
          </w:tcPr>
          <w:p>
            <w:pPr>
              <w:spacing w:after="0"/>
              <w:rPr>
                <w:sz w:val="23"/>
                <w:szCs w:val="23"/>
                <w:color w:val="auto"/>
              </w:rPr>
            </w:pPr>
          </w:p>
        </w:tc>
        <w:tc>
          <w:tcPr>
            <w:tcW w:w="1360" w:type="dxa"/>
            <w:vAlign w:val="bottom"/>
            <w:tcBorders>
              <w:right w:val="single" w:sz="8" w:color="auto"/>
            </w:tcBorders>
            <w:vMerge w:val="continue"/>
          </w:tcPr>
          <w:p>
            <w:pPr>
              <w:spacing w:after="0"/>
              <w:rPr>
                <w:sz w:val="23"/>
                <w:szCs w:val="23"/>
                <w:color w:val="auto"/>
              </w:rPr>
            </w:pPr>
          </w:p>
        </w:tc>
        <w:tc>
          <w:tcPr>
            <w:tcW w:w="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6320" w:type="dxa"/>
            <w:vAlign w:val="bottom"/>
          </w:tcPr>
          <w:p>
            <w:pPr>
              <w:spacing w:after="0"/>
              <w:rPr>
                <w:sz w:val="23"/>
                <w:szCs w:val="23"/>
                <w:color w:val="auto"/>
              </w:rPr>
            </w:pPr>
          </w:p>
        </w:tc>
        <w:tc>
          <w:tcPr>
            <w:tcW w:w="19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200" w:type="dxa"/>
            <w:vAlign w:val="bottom"/>
            <w:tcBorders>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760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19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632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0" w:type="dxa"/>
            <w:vAlign w:val="bottom"/>
            <w:tcBorders>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4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320" w:type="dxa"/>
            <w:vAlign w:val="bottom"/>
            <w:tcBorders>
              <w:bottom w:val="single" w:sz="8" w:color="auto"/>
            </w:tcBorders>
            <w:shd w:val="clear" w:color="auto" w:fill="BFBFBF"/>
          </w:tcPr>
          <w:p>
            <w:pPr>
              <w:spacing w:after="0"/>
              <w:rPr>
                <w:sz w:val="23"/>
                <w:szCs w:val="23"/>
                <w:color w:val="auto"/>
              </w:rPr>
            </w:pPr>
          </w:p>
        </w:tc>
        <w:tc>
          <w:tcPr>
            <w:tcW w:w="19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6320" w:type="dxa"/>
            <w:vAlign w:val="bottom"/>
          </w:tcPr>
          <w:p>
            <w:pPr>
              <w:jc w:val="right"/>
              <w:ind w:right="607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632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6320" w:type="dxa"/>
            <w:vAlign w:val="bottom"/>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6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320" w:type="dxa"/>
            <w:vAlign w:val="bottom"/>
          </w:tcPr>
          <w:p>
            <w:pPr>
              <w:jc w:val="right"/>
              <w:ind w:right="607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0" w:type="dxa"/>
            <w:vAlign w:val="bottom"/>
            <w:tcBorders>
              <w:right w:val="single" w:sz="8" w:color="auto"/>
            </w:tcBorders>
          </w:tcPr>
          <w:p>
            <w:pPr>
              <w:spacing w:after="0"/>
              <w:rPr>
                <w:sz w:val="5"/>
                <w:szCs w:val="5"/>
                <w:color w:val="auto"/>
              </w:rPr>
            </w:pPr>
          </w:p>
        </w:tc>
        <w:tc>
          <w:tcPr>
            <w:tcW w:w="200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16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320" w:type="dxa"/>
            <w:vAlign w:val="bottom"/>
            <w:vMerge w:val="continue"/>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0" w:type="dxa"/>
            <w:vAlign w:val="bottom"/>
            <w:tcBorders>
              <w:right w:val="single" w:sz="8" w:color="auto"/>
            </w:tcBorders>
          </w:tcPr>
          <w:p>
            <w:pPr>
              <w:spacing w:after="0"/>
              <w:rPr>
                <w:sz w:val="16"/>
                <w:szCs w:val="16"/>
                <w:color w:val="auto"/>
              </w:rPr>
            </w:pPr>
          </w:p>
        </w:tc>
        <w:tc>
          <w:tcPr>
            <w:tcW w:w="1360" w:type="dxa"/>
            <w:vAlign w:val="bottom"/>
            <w:vMerge w:val="restart"/>
          </w:tcPr>
          <w:p>
            <w:pPr>
              <w:jc w:val="center"/>
              <w:ind w:left="46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6320" w:type="dxa"/>
            <w:vAlign w:val="bottom"/>
          </w:tcPr>
          <w:p>
            <w:pPr>
              <w:jc w:val="right"/>
              <w:ind w:right="607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6320" w:type="dxa"/>
            <w:vAlign w:val="bottom"/>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6320" w:type="dxa"/>
            <w:vAlign w:val="bottom"/>
            <w:vMerge w:val="restart"/>
          </w:tcPr>
          <w:p>
            <w:pPr>
              <w:jc w:val="right"/>
              <w:ind w:right="607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0" w:type="dxa"/>
            <w:vAlign w:val="bottom"/>
            <w:tcBorders>
              <w:righ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6320" w:type="dxa"/>
            <w:vAlign w:val="bottom"/>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82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52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6320" w:type="dxa"/>
            <w:vAlign w:val="bottom"/>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0" w:type="dxa"/>
            <w:vAlign w:val="bottom"/>
            <w:tcBorders>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632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0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9"/>
        </w:trPr>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80" w:top="337"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69353Y103</w:t>
            </w:r>
          </w:p>
        </w:tc>
        <w:tc>
          <w:tcPr>
            <w:tcW w:w="640" w:type="dxa"/>
            <w:vAlign w:val="bottom"/>
          </w:tcPr>
          <w:p>
            <w:pPr>
              <w:spacing w:after="0"/>
              <w:rPr>
                <w:sz w:val="20"/>
                <w:szCs w:val="20"/>
                <w:color w:val="auto"/>
              </w:rPr>
            </w:pPr>
          </w:p>
        </w:tc>
        <w:tc>
          <w:tcPr>
            <w:tcW w:w="63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13G</w:t>
            </w:r>
          </w:p>
        </w:tc>
        <w:tc>
          <w:tcPr>
            <w:tcW w:w="19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Page 6 of 9 Pages</w:t>
            </w: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gridSpan w:val="3"/>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Aaron I. Davis</w:t>
            </w: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6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7600" w:type="dxa"/>
            <w:vAlign w:val="bottom"/>
            <w:tcBorders>
              <w:bottom w:val="single" w:sz="8" w:color="auto"/>
            </w:tcBorders>
            <w:gridSpan w:val="3"/>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0" w:type="dxa"/>
            <w:vAlign w:val="bottom"/>
            <w:tcBorders>
              <w:right w:val="single" w:sz="8" w:color="auto"/>
            </w:tcBorders>
          </w:tcPr>
          <w:p>
            <w:pPr>
              <w:spacing w:after="0"/>
              <w:rPr>
                <w:sz w:val="23"/>
                <w:szCs w:val="23"/>
                <w:color w:val="auto"/>
              </w:rPr>
            </w:pPr>
          </w:p>
        </w:tc>
        <w:tc>
          <w:tcPr>
            <w:tcW w:w="1360" w:type="dxa"/>
            <w:vAlign w:val="bottom"/>
            <w:tcBorders>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40" w:type="dxa"/>
            <w:vAlign w:val="bottom"/>
          </w:tcPr>
          <w:p>
            <w:pPr>
              <w:spacing w:after="0"/>
              <w:rPr>
                <w:sz w:val="23"/>
                <w:szCs w:val="23"/>
                <w:color w:val="auto"/>
              </w:rPr>
            </w:pPr>
          </w:p>
        </w:tc>
        <w:tc>
          <w:tcPr>
            <w:tcW w:w="6320" w:type="dxa"/>
            <w:vAlign w:val="bottom"/>
          </w:tcPr>
          <w:p>
            <w:pPr>
              <w:spacing w:after="0"/>
              <w:rPr>
                <w:sz w:val="23"/>
                <w:szCs w:val="23"/>
                <w:color w:val="auto"/>
              </w:rPr>
            </w:pPr>
          </w:p>
        </w:tc>
        <w:tc>
          <w:tcPr>
            <w:tcW w:w="19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360" w:type="dxa"/>
            <w:vAlign w:val="bottom"/>
            <w:tcBorders>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760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19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320" w:type="dxa"/>
            <w:vAlign w:val="bottom"/>
            <w:shd w:val="clear" w:color="auto" w:fill="BFBFBF"/>
          </w:tcPr>
          <w:p>
            <w:pPr>
              <w:spacing w:after="0"/>
              <w:rPr>
                <w:sz w:val="24"/>
                <w:szCs w:val="24"/>
                <w:color w:val="auto"/>
              </w:rPr>
            </w:pPr>
          </w:p>
        </w:tc>
        <w:tc>
          <w:tcPr>
            <w:tcW w:w="19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Borders>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320" w:type="dxa"/>
            <w:vAlign w:val="bottom"/>
            <w:tcBorders>
              <w:bottom w:val="single" w:sz="8" w:color="auto"/>
            </w:tcBorders>
            <w:shd w:val="clear" w:color="auto" w:fill="BFBFBF"/>
          </w:tcPr>
          <w:p>
            <w:pPr>
              <w:spacing w:after="0"/>
              <w:rPr>
                <w:sz w:val="23"/>
                <w:szCs w:val="23"/>
                <w:color w:val="auto"/>
              </w:rPr>
            </w:pPr>
          </w:p>
        </w:tc>
        <w:tc>
          <w:tcPr>
            <w:tcW w:w="19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7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7600" w:type="dxa"/>
            <w:vAlign w:val="bottom"/>
            <w:gridSpan w:val="3"/>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6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6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6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320" w:type="dxa"/>
            <w:vAlign w:val="bottom"/>
          </w:tcPr>
          <w:p>
            <w:pPr>
              <w:jc w:val="right"/>
              <w:ind w:right="607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32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40" w:type="dxa"/>
            <w:vAlign w:val="bottom"/>
            <w:tcBorders>
              <w:right w:val="single" w:sz="8" w:color="auto"/>
            </w:tcBorders>
            <w:vMerge w:val="continue"/>
          </w:tcPr>
          <w:p>
            <w:pPr>
              <w:spacing w:after="0"/>
              <w:rPr>
                <w:sz w:val="21"/>
                <w:szCs w:val="21"/>
                <w:color w:val="auto"/>
              </w:rPr>
            </w:pPr>
          </w:p>
        </w:tc>
        <w:tc>
          <w:tcPr>
            <w:tcW w:w="6320" w:type="dxa"/>
            <w:vAlign w:val="bottom"/>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40" w:type="dxa"/>
            <w:vAlign w:val="bottom"/>
            <w:tcBorders>
              <w:right w:val="single" w:sz="8" w:color="auto"/>
            </w:tcBorders>
          </w:tcPr>
          <w:p>
            <w:pPr>
              <w:spacing w:after="0"/>
              <w:rPr>
                <w:sz w:val="18"/>
                <w:szCs w:val="18"/>
                <w:color w:val="auto"/>
              </w:rPr>
            </w:pPr>
          </w:p>
        </w:tc>
        <w:tc>
          <w:tcPr>
            <w:tcW w:w="6320" w:type="dxa"/>
            <w:vAlign w:val="bottom"/>
          </w:tcPr>
          <w:p>
            <w:pPr>
              <w:jc w:val="right"/>
              <w:ind w:right="607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40" w:type="dxa"/>
            <w:vAlign w:val="bottom"/>
            <w:tcBorders>
              <w:bottom w:val="single" w:sz="8" w:color="auto"/>
              <w:right w:val="single" w:sz="8" w:color="auto"/>
            </w:tcBorders>
          </w:tcPr>
          <w:p>
            <w:pPr>
              <w:spacing w:after="0"/>
              <w:rPr>
                <w:sz w:val="9"/>
                <w:szCs w:val="9"/>
                <w:color w:val="auto"/>
              </w:rPr>
            </w:pPr>
          </w:p>
        </w:tc>
        <w:tc>
          <w:tcPr>
            <w:tcW w:w="6320" w:type="dxa"/>
            <w:vAlign w:val="bottom"/>
            <w:tcBorders>
              <w:bottom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60" w:type="dxa"/>
            <w:vAlign w:val="bottom"/>
            <w:tcBorders>
              <w:right w:val="single" w:sz="8" w:color="auto"/>
            </w:tcBorders>
          </w:tcPr>
          <w:p>
            <w:pPr>
              <w:spacing w:after="0"/>
              <w:rPr>
                <w:sz w:val="5"/>
                <w:szCs w:val="5"/>
                <w:color w:val="auto"/>
              </w:rPr>
            </w:pPr>
          </w:p>
        </w:tc>
        <w:tc>
          <w:tcPr>
            <w:tcW w:w="2000" w:type="dxa"/>
            <w:vAlign w:val="bottom"/>
            <w:tcBorders>
              <w:right w:val="single" w:sz="8" w:color="auto"/>
            </w:tcBorders>
            <w:gridSpan w:val="2"/>
            <w:vMerge w:val="continue"/>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6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320" w:type="dxa"/>
            <w:vAlign w:val="bottom"/>
            <w:vMerge w:val="continue"/>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Borders>
              <w:right w:val="single" w:sz="8" w:color="auto"/>
            </w:tcBorders>
          </w:tcPr>
          <w:p>
            <w:pPr>
              <w:spacing w:after="0"/>
              <w:rPr>
                <w:sz w:val="16"/>
                <w:szCs w:val="16"/>
                <w:color w:val="auto"/>
              </w:rPr>
            </w:pPr>
          </w:p>
        </w:tc>
        <w:tc>
          <w:tcPr>
            <w:tcW w:w="1360" w:type="dxa"/>
            <w:vAlign w:val="bottom"/>
            <w:vMerge w:val="restart"/>
          </w:tcPr>
          <w:p>
            <w:pPr>
              <w:jc w:val="center"/>
              <w:ind w:left="46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6320" w:type="dxa"/>
            <w:vAlign w:val="bottom"/>
          </w:tcPr>
          <w:p>
            <w:pPr>
              <w:jc w:val="right"/>
              <w:ind w:right="607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60" w:type="dxa"/>
            <w:vAlign w:val="bottom"/>
            <w:tcBorders>
              <w:right w:val="single" w:sz="8" w:color="auto"/>
            </w:tcBorders>
          </w:tcPr>
          <w:p>
            <w:pPr>
              <w:spacing w:after="0"/>
              <w:rPr>
                <w:sz w:val="4"/>
                <w:szCs w:val="4"/>
                <w:color w:val="auto"/>
              </w:rPr>
            </w:pPr>
          </w:p>
        </w:tc>
        <w:tc>
          <w:tcPr>
            <w:tcW w:w="136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320" w:type="dxa"/>
            <w:vAlign w:val="bottom"/>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6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36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vMerge w:val="continue"/>
          </w:tcPr>
          <w:p>
            <w:pPr>
              <w:spacing w:after="0"/>
              <w:rPr>
                <w:sz w:val="24"/>
                <w:szCs w:val="24"/>
                <w:color w:val="auto"/>
              </w:rPr>
            </w:pPr>
          </w:p>
        </w:tc>
        <w:tc>
          <w:tcPr>
            <w:tcW w:w="6320" w:type="dxa"/>
            <w:vAlign w:val="bottom"/>
            <w:vMerge w:val="restart"/>
          </w:tcPr>
          <w:p>
            <w:pPr>
              <w:jc w:val="right"/>
              <w:ind w:right="607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60" w:type="dxa"/>
            <w:vAlign w:val="bottom"/>
            <w:tcBorders>
              <w:right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6320" w:type="dxa"/>
            <w:vAlign w:val="bottom"/>
            <w:vMerge w:val="continue"/>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60" w:type="dxa"/>
            <w:vAlign w:val="bottom"/>
            <w:tcBorders>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6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52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6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320" w:type="dxa"/>
            <w:vAlign w:val="bottom"/>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60" w:type="dxa"/>
            <w:vAlign w:val="bottom"/>
            <w:tcBorders>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320" w:type="dxa"/>
            <w:vAlign w:val="bottom"/>
            <w:tcBorders>
              <w:bottom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6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3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6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60" w:type="dxa"/>
            <w:vAlign w:val="bottom"/>
            <w:tcBorders>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9"/>
        </w:trPr>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6" w:name="page7"/>
    <w:bookmarkEnd w:id="6"/>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CUSIP No.: 69353Y103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7 of 9 Pages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No. 3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amends and supplements the statement on Schedule 13G filed on September 30, 2020 (the “</w:t>
      </w:r>
      <w:r>
        <w:rPr>
          <w:rFonts w:ascii="Times New Roman" w:cs="Times New Roman" w:eastAsia="Times New Roman" w:hAnsi="Times New Roman"/>
          <w:sz w:val="18"/>
          <w:szCs w:val="18"/>
          <w:u w:val="single" w:color="auto"/>
          <w:color w:val="auto"/>
        </w:rPr>
        <w:t>Original Filing</w:t>
      </w:r>
      <w:r>
        <w:rPr>
          <w:rFonts w:ascii="Times New Roman" w:cs="Times New Roman" w:eastAsia="Times New Roman" w:hAnsi="Times New Roman"/>
          <w:sz w:val="18"/>
          <w:szCs w:val="18"/>
          <w:color w:val="auto"/>
        </w:rPr>
        <w:t>”) by Boxer Capital, LLC (“</w:t>
      </w:r>
      <w:r>
        <w:rPr>
          <w:rFonts w:ascii="Times New Roman" w:cs="Times New Roman" w:eastAsia="Times New Roman" w:hAnsi="Times New Roman"/>
          <w:sz w:val="18"/>
          <w:szCs w:val="18"/>
          <w:u w:val="single" w:color="auto"/>
          <w:color w:val="auto"/>
        </w:rPr>
        <w:t>Boxer Capital</w:t>
      </w:r>
      <w:r>
        <w:rPr>
          <w:rFonts w:ascii="Times New Roman" w:cs="Times New Roman" w:eastAsia="Times New Roman" w:hAnsi="Times New Roman"/>
          <w:sz w:val="18"/>
          <w:szCs w:val="18"/>
          <w:color w:val="auto"/>
        </w:rPr>
        <w:t>”), Boxer Asset Management Inc. (“</w:t>
      </w:r>
      <w:r>
        <w:rPr>
          <w:rFonts w:ascii="Times New Roman" w:cs="Times New Roman" w:eastAsia="Times New Roman" w:hAnsi="Times New Roman"/>
          <w:sz w:val="18"/>
          <w:szCs w:val="18"/>
          <w:u w:val="single" w:color="auto"/>
          <w:color w:val="auto"/>
        </w:rPr>
        <w:t>Boxer Management</w:t>
      </w:r>
      <w:r>
        <w:rPr>
          <w:rFonts w:ascii="Times New Roman" w:cs="Times New Roman" w:eastAsia="Times New Roman" w:hAnsi="Times New Roman"/>
          <w:sz w:val="18"/>
          <w:szCs w:val="18"/>
          <w:color w:val="auto"/>
        </w:rPr>
        <w:t>”), Joe Lewis, MVA Investors, LLC (“</w:t>
      </w:r>
      <w:r>
        <w:rPr>
          <w:rFonts w:ascii="Times New Roman" w:cs="Times New Roman" w:eastAsia="Times New Roman" w:hAnsi="Times New Roman"/>
          <w:sz w:val="18"/>
          <w:szCs w:val="18"/>
          <w:u w:val="single" w:color="auto"/>
          <w:color w:val="auto"/>
        </w:rPr>
        <w:t>MVA Investors</w:t>
      </w:r>
      <w:r>
        <w:rPr>
          <w:rFonts w:ascii="Times New Roman" w:cs="Times New Roman" w:eastAsia="Times New Roman" w:hAnsi="Times New Roman"/>
          <w:sz w:val="18"/>
          <w:szCs w:val="18"/>
          <w:color w:val="auto"/>
        </w:rPr>
        <w:t>”) and Aaron I. Davis (together with Boxer Capital, Boxer Management, Joe Lewis and MVA Investors,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as amended by Amendment No. 1 on February 14, 2022 and Amendment No. 2 on February 14, 2023 by the Reporting Persons. The Original Filing remains in effect except to the extent that it is amended, restated or superseded by information contained in this Amendment No. 3. Capitalized terms used and not defined in this Amendment No. 3 have the meanings set forth in the Original Filing, as amended.</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1960" w:right="440" w:hanging="620"/>
        <w:spacing w:after="0" w:line="266" w:lineRule="auto"/>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beneficially owned</w:t>
      </w:r>
      <w:r>
        <w:rPr>
          <w:rFonts w:ascii="Times New Roman" w:cs="Times New Roman" w:eastAsia="Times New Roman" w:hAnsi="Times New Roman"/>
          <w:sz w:val="18"/>
          <w:szCs w:val="18"/>
          <w:color w:val="auto"/>
        </w:rPr>
        <w:t>: Boxer, Boxer Management and Joe Lewis beneficially own 0 shares of Common Stock. MVA Investors and Aaron I. Davis beneficially own 0 shares of Common Stock. The Reporting Persons beneficially own, in the aggregate, 0 shares of Common Stock.</w:t>
      </w:r>
    </w:p>
    <w:p>
      <w:pPr>
        <w:spacing w:after="0" w:line="175" w:lineRule="exact"/>
        <w:rPr>
          <w:rFonts w:ascii="Times New Roman" w:cs="Times New Roman" w:eastAsia="Times New Roman" w:hAnsi="Times New Roman"/>
          <w:sz w:val="18"/>
          <w:szCs w:val="18"/>
          <w:color w:val="auto"/>
        </w:rPr>
      </w:pPr>
    </w:p>
    <w:p>
      <w:pPr>
        <w:ind w:left="1960" w:right="140" w:hanging="620"/>
        <w:spacing w:after="0" w:line="258" w:lineRule="auto"/>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Percent of class</w:t>
      </w:r>
      <w:r>
        <w:rPr>
          <w:rFonts w:ascii="Times New Roman" w:cs="Times New Roman" w:eastAsia="Times New Roman" w:hAnsi="Times New Roman"/>
          <w:sz w:val="18"/>
          <w:szCs w:val="18"/>
          <w:color w:val="auto"/>
        </w:rPr>
        <w:t>: The shares of Common Stock beneficially owned by Boxer Capital, Boxer Management and Joe Lewis represents 0% of the Issuer's outstanding shares of Common Stock. The shares of Common Stock beneficially owned by MVA Investors and Aaron I. Davis represents 0% of the Issuer's outstanding shares of Common Stock. The shares of Common Stock beneficially owned by the Reporting Persons represents, in the aggregate, 0% of the Issuer's outstanding shares of Common Stock.</w:t>
      </w:r>
    </w:p>
    <w:p>
      <w:pPr>
        <w:spacing w:after="0" w:line="183" w:lineRule="exact"/>
        <w:rPr>
          <w:rFonts w:ascii="Times New Roman" w:cs="Times New Roman" w:eastAsia="Times New Roman" w:hAnsi="Times New Roman"/>
          <w:sz w:val="18"/>
          <w:szCs w:val="18"/>
          <w:color w:val="auto"/>
        </w:rPr>
      </w:pPr>
    </w:p>
    <w:p>
      <w:pPr>
        <w:ind w:left="1960" w:hanging="620"/>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vote or to direct the vote</w:t>
      </w:r>
      <w:r>
        <w:rPr>
          <w:rFonts w:ascii="Times New Roman" w:cs="Times New Roman" w:eastAsia="Times New Roman" w:hAnsi="Times New Roman"/>
          <w:sz w:val="18"/>
          <w:szCs w:val="18"/>
          <w:color w:val="auto"/>
        </w:rPr>
        <w:t>: None of the Reporting Persons has sole power to vote or to direct the vote of any shares of Common Stock.</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shared power to vote or to direct the vote</w:t>
      </w:r>
      <w:r>
        <w:rPr>
          <w:rFonts w:ascii="Times New Roman" w:cs="Times New Roman" w:eastAsia="Times New Roman" w:hAnsi="Times New Roman"/>
          <w:sz w:val="18"/>
          <w:szCs w:val="18"/>
          <w:color w:val="auto"/>
        </w:rPr>
        <w:t>: Boxer Capital, Boxer Management and Joe Lewis have shared power to vote or to direct the vote of the 0 shares of Common Stock they beneficially own. MVA Investors and Aaron I. Davis have shared power to vote or to direct the vote of the 0 shares of Common Stock they beneficially own.</w:t>
      </w:r>
    </w:p>
    <w:p>
      <w:pPr>
        <w:spacing w:after="0" w:line="17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power to dispose or to direct the disposition of</w:t>
      </w:r>
      <w:r>
        <w:rPr>
          <w:rFonts w:ascii="Times New Roman" w:cs="Times New Roman" w:eastAsia="Times New Roman" w:hAnsi="Times New Roman"/>
          <w:sz w:val="18"/>
          <w:szCs w:val="18"/>
          <w:color w:val="auto"/>
        </w:rPr>
        <w:t>: None of the Reporting Persons has sole power to dispose or to direct the disposition of any shares of Common Stock.</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shared power to dispose or to direct the disposition of</w:t>
      </w:r>
      <w:r>
        <w:rPr>
          <w:rFonts w:ascii="Times New Roman" w:cs="Times New Roman" w:eastAsia="Times New Roman" w:hAnsi="Times New Roman"/>
          <w:sz w:val="18"/>
          <w:szCs w:val="18"/>
          <w:color w:val="auto"/>
        </w:rPr>
        <w:t>: Boxer Capital, Boxer Management and Joe Lewis have shared power to dispose or to direct the disposition of the 0 shares of Common Stock they beneficially own. MVA Investors and Aaron I. Davis have shared power to dispose or to direct the disposition of the 0 shares of Common Stock they beneficially own.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3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Ownership of Five Percent or Less of a Class</w:t>
            </w:r>
          </w:p>
        </w:tc>
        <w:tc>
          <w:tcPr>
            <w:tcW w:w="6660" w:type="dxa"/>
            <w:vAlign w:val="bottom"/>
          </w:tcPr>
          <w:p>
            <w:pPr>
              <w:spacing w:after="0"/>
              <w:rPr>
                <w:sz w:val="18"/>
                <w:szCs w:val="18"/>
                <w:color w:val="auto"/>
              </w:rPr>
            </w:pPr>
          </w:p>
        </w:tc>
      </w:tr>
      <w:tr>
        <w:trPr>
          <w:trHeight w:val="399"/>
        </w:trPr>
        <w:tc>
          <w:tcPr>
            <w:tcW w:w="114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w:t>
            </w:r>
          </w:p>
        </w:tc>
      </w:tr>
      <w:tr>
        <w:trPr>
          <w:trHeight w:val="303"/>
        </w:trPr>
        <w:tc>
          <w:tcPr>
            <w:tcW w:w="1140" w:type="dxa"/>
            <w:vAlign w:val="bottom"/>
          </w:tcPr>
          <w:p>
            <w:pPr>
              <w:spacing w:after="0"/>
              <w:rPr>
                <w:sz w:val="24"/>
                <w:szCs w:val="24"/>
                <w:color w:val="auto"/>
              </w:rPr>
            </w:pPr>
          </w:p>
        </w:tc>
        <w:tc>
          <w:tcPr>
            <w:tcW w:w="1010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359"/>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120" w:type="dxa"/>
            <w:vAlign w:val="bottom"/>
            <w:gridSpan w:val="2"/>
          </w:tcPr>
          <w:p>
            <w:pPr>
              <w:spacing w:after="0" w:line="20" w:lineRule="exact"/>
              <w:rPr>
                <w:sz w:val="1"/>
                <w:szCs w:val="1"/>
                <w:color w:val="auto"/>
              </w:rPr>
            </w:pPr>
          </w:p>
        </w:tc>
      </w:tr>
      <w:tr>
        <w:trPr>
          <w:trHeight w:val="434"/>
        </w:trPr>
        <w:tc>
          <w:tcPr>
            <w:tcW w:w="114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w:t>
            </w:r>
          </w:p>
        </w:tc>
      </w:tr>
      <w:tr>
        <w:trPr>
          <w:trHeight w:val="216"/>
        </w:trPr>
        <w:tc>
          <w:tcPr>
            <w:tcW w:w="1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purpose of or with the effect of changing or influencing the control of the issuer of the securities and were not acquired and are not</w:t>
            </w:r>
          </w:p>
        </w:tc>
      </w:tr>
      <w:tr>
        <w:trPr>
          <w:trHeight w:val="234"/>
        </w:trPr>
        <w:tc>
          <w:tcPr>
            <w:tcW w:w="114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held in</w:t>
            </w:r>
          </w:p>
        </w:tc>
      </w:tr>
      <w:tr>
        <w:trPr>
          <w:trHeight w:val="830"/>
        </w:trPr>
        <w:tc>
          <w:tcPr>
            <w:tcW w:w="1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7" w:name="page8"/>
    <w:bookmarkEnd w:id="7"/>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CUSIP No.: 69353Y103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8 of 9 Pages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40" w:right="680"/>
        <w:spacing w:after="0" w:line="282" w:lineRule="auto"/>
        <w:rPr>
          <w:sz w:val="20"/>
          <w:szCs w:val="20"/>
          <w:color w:val="auto"/>
        </w:rPr>
      </w:pPr>
      <w:r>
        <w:rPr>
          <w:rFonts w:ascii="Times New Roman" w:cs="Times New Roman" w:eastAsia="Times New Roman" w:hAnsi="Times New Roman"/>
          <w:sz w:val="18"/>
          <w:szCs w:val="18"/>
          <w:color w:val="auto"/>
        </w:rPr>
        <w:t>connection with or as a participant in any transaction having that purpose or effect, other than activities solely in connection with a nomination under § 240.14a-11.</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1300" w:right="80" w:hanging="1292"/>
        <w:spacing w:after="0" w:line="282" w:lineRule="auto"/>
        <w:tabs>
          <w:tab w:leader="none" w:pos="1300" w:val="left"/>
        </w:tabs>
        <w:numPr>
          <w:ilvl w:val="0"/>
          <w:numId w:val="5"/>
        </w:numPr>
        <w:rPr>
          <w:rFonts w:ascii="Times New Roman" w:cs="Times New Roman" w:eastAsia="Times New Roman" w:hAnsi="Times New Roman"/>
          <w:sz w:val="18"/>
          <w:szCs w:val="18"/>
          <w:u w:val="single" w:color="auto"/>
          <w:color w:val="0000EE"/>
        </w:rPr>
      </w:pPr>
      <w:hyperlink r:id="rId12">
        <w:r>
          <w:rPr>
            <w:rFonts w:ascii="Times New Roman" w:cs="Times New Roman" w:eastAsia="Times New Roman" w:hAnsi="Times New Roman"/>
            <w:sz w:val="18"/>
            <w:szCs w:val="18"/>
            <w:u w:val="single" w:color="auto"/>
            <w:color w:val="0000EE"/>
          </w:rPr>
          <w:t>Joint Filing Agreement, dated September 30, 2020, among the Reporting Persons, incorporated herein by reference to Exhibit 99.1 to the</w:t>
        </w:r>
      </w:hyperlink>
      <w:r>
        <w:rPr>
          <w:rFonts w:ascii="Times New Roman" w:cs="Times New Roman" w:eastAsia="Times New Roman" w:hAnsi="Times New Roman"/>
          <w:sz w:val="18"/>
          <w:szCs w:val="18"/>
          <w:u w:val="single" w:color="auto"/>
          <w:color w:val="0000EE"/>
        </w:rPr>
        <w:t xml:space="preserve"> </w:t>
      </w:r>
      <w:hyperlink r:id="rId12">
        <w:r>
          <w:rPr>
            <w:rFonts w:ascii="Times New Roman" w:cs="Times New Roman" w:eastAsia="Times New Roman" w:hAnsi="Times New Roman"/>
            <w:sz w:val="18"/>
            <w:szCs w:val="18"/>
            <w:u w:val="single" w:color="auto"/>
            <w:color w:val="0000EE"/>
          </w:rPr>
          <w:t>Schedule 13G filed on September 30, 2020.</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tabs>
          <w:tab w:leader="none" w:pos="5460" w:val="left"/>
          <w:tab w:leader="none" w:pos="9940" w:val="left"/>
        </w:tabs>
        <w:rPr>
          <w:sz w:val="20"/>
          <w:szCs w:val="20"/>
          <w:color w:val="auto"/>
        </w:rPr>
      </w:pPr>
      <w:r>
        <w:rPr>
          <w:rFonts w:ascii="Times New Roman" w:cs="Times New Roman" w:eastAsia="Times New Roman" w:hAnsi="Times New Roman"/>
          <w:sz w:val="18"/>
          <w:szCs w:val="18"/>
          <w:color w:val="auto"/>
        </w:rPr>
        <w:t>CUSIP No.: 69353Y103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9 of 9 Pages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BOXER CAPITAL, LLC</w:t>
      </w:r>
    </w:p>
    <w:p>
      <w:pPr>
        <w:spacing w:after="0" w:line="229" w:lineRule="exact"/>
        <w:rPr>
          <w:sz w:val="20"/>
          <w:szCs w:val="20"/>
          <w:color w:val="auto"/>
        </w:rPr>
      </w:pPr>
    </w:p>
    <w:tbl>
      <w:tblPr>
        <w:tblLayout w:type="fixed"/>
        <w:tblInd w:w="436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198"/>
        </w:trPr>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Aaron I. Davis</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BOXER ASSET MANAGEMENT INC.</w:t>
      </w:r>
    </w:p>
    <w:p>
      <w:pPr>
        <w:spacing w:after="0" w:line="229" w:lineRule="exact"/>
        <w:rPr>
          <w:sz w:val="20"/>
          <w:szCs w:val="20"/>
          <w:color w:val="auto"/>
        </w:rPr>
      </w:pPr>
    </w:p>
    <w:tbl>
      <w:tblPr>
        <w:tblLayout w:type="fixed"/>
        <w:tblInd w:w="436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Higgs</w:t>
            </w:r>
          </w:p>
        </w:tc>
      </w:tr>
      <w:tr>
        <w:trPr>
          <w:trHeight w:val="198"/>
        </w:trPr>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Paul Higgs</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JOSEPH C. LEWIS</w:t>
      </w:r>
    </w:p>
    <w:p>
      <w:pPr>
        <w:spacing w:after="0" w:line="2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17145</wp:posOffset>
            </wp:positionV>
            <wp:extent cx="34029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02965" cy="17145"/>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Joseph C. Lewis Individually</w:t>
      </w:r>
    </w:p>
    <w:p>
      <w:pPr>
        <w:spacing w:after="0" w:line="2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MVA INVESTORS, LLC</w:t>
      </w:r>
    </w:p>
    <w:p>
      <w:pPr>
        <w:spacing w:after="0" w:line="229" w:lineRule="exact"/>
        <w:rPr>
          <w:sz w:val="20"/>
          <w:szCs w:val="20"/>
          <w:color w:val="auto"/>
        </w:rPr>
      </w:pPr>
    </w:p>
    <w:tbl>
      <w:tblPr>
        <w:tblLayout w:type="fixed"/>
        <w:tblInd w:w="436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198"/>
        </w:trPr>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Aaron I. Davis</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AARON I. DAVIS</w:t>
      </w:r>
    </w:p>
    <w:p>
      <w:pPr>
        <w:spacing w:after="0" w:line="2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17145</wp:posOffset>
            </wp:positionV>
            <wp:extent cx="34029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02965" cy="17145"/>
                    </a:xfrm>
                    <a:prstGeom prst="rect">
                      <a:avLst/>
                    </a:prstGeom>
                    <a:noFill/>
                  </pic:spPr>
                </pic:pic>
              </a:graphicData>
            </a:graphic>
          </wp:anchor>
        </w:drawing>
      </w:r>
    </w:p>
    <w:p>
      <w:pPr>
        <w:spacing w:after="0" w:line="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Aaron I. Davis, Individually</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1)"/>
      <w:numFmt w:val="lowerLetter"/>
      <w:start w:val="1"/>
    </w:lvl>
    <w:lvl w:ilvl="1">
      <w:lvlJc w:val="left"/>
      <w:lvlText w:val="(%2)"/>
      <w:numFmt w:val="lowerRoman"/>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2" Type="http://schemas.openxmlformats.org/officeDocument/2006/relationships/hyperlink" Target="https://www.sec.gov/Archives/edgar/data/1042074/000119312520253460/d67887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2024-02-14T15:18:51Z</dcterms:created>
  <dcterms:modified xsi:type="dcterms:W3CDTF">2024-02-14T15:18:51Z</dcterms:modified>
</cp:coreProperties>
</file>