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080" w:right="172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212090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4560" w:type="dxa"/>
            <w:vAlign w:val="bottom"/>
            <w:gridSpan w:val="3"/>
          </w:tcPr>
          <w:p>
            <w:pPr>
              <w:jc w:val="center"/>
              <w:ind w:right="80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90"/>
        </w:trPr>
        <w:tc>
          <w:tcPr>
            <w:tcW w:w="456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900" w:type="dxa"/>
            <w:vAlign w:val="bottom"/>
          </w:tcPr>
          <w:p>
            <w:pPr>
              <w:spacing w:after="0"/>
              <w:rPr>
                <w:sz w:val="16"/>
                <w:szCs w:val="16"/>
                <w:color w:val="auto"/>
              </w:rPr>
            </w:pPr>
          </w:p>
        </w:tc>
        <w:tc>
          <w:tcPr>
            <w:tcW w:w="2880" w:type="dxa"/>
            <w:vAlign w:val="bottom"/>
            <w:gridSpan w:val="2"/>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780" w:type="dxa"/>
            <w:vAlign w:val="bottom"/>
            <w:gridSpan w:val="3"/>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rPr>
              <w:t>8 Clarke Drive, Suite 3</w:t>
            </w:r>
          </w:p>
        </w:tc>
      </w:tr>
      <w:tr>
        <w:trPr>
          <w:trHeight w:val="214"/>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780" w:type="dxa"/>
            <w:vAlign w:val="bottom"/>
            <w:gridSpan w:val="3"/>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9"/>
              </w:rPr>
              <w:t>Cranbury, NJ 08512</w:t>
            </w:r>
          </w:p>
        </w:tc>
      </w:tr>
      <w:tr>
        <w:trPr>
          <w:trHeight w:val="190"/>
        </w:trPr>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20" w:type="dxa"/>
            <w:vAlign w:val="bottom"/>
            <w:gridSpan w:val="4"/>
          </w:tcPr>
          <w:p>
            <w:pPr>
              <w:jc w:val="center"/>
              <w:ind w:right="261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415"/>
        </w:trPr>
        <w:tc>
          <w:tcPr>
            <w:tcW w:w="2200" w:type="dxa"/>
            <w:vAlign w:val="bottom"/>
          </w:tcPr>
          <w:p>
            <w:pPr>
              <w:spacing w:after="0"/>
              <w:rPr>
                <w:sz w:val="24"/>
                <w:szCs w:val="24"/>
                <w:color w:val="auto"/>
              </w:rPr>
            </w:pPr>
          </w:p>
        </w:tc>
        <w:tc>
          <w:tcPr>
            <w:tcW w:w="8140" w:type="dxa"/>
            <w:vAlign w:val="bottom"/>
            <w:gridSpan w:val="5"/>
          </w:tcPr>
          <w:p>
            <w:pPr>
              <w:jc w:val="center"/>
              <w:ind w:right="1470"/>
              <w:spacing w:after="0"/>
              <w:rPr>
                <w:sz w:val="20"/>
                <w:szCs w:val="20"/>
                <w:color w:val="auto"/>
              </w:rPr>
            </w:pPr>
            <w:r>
              <w:rPr>
                <w:rFonts w:ascii="Times New Roman" w:cs="Times New Roman" w:eastAsia="Times New Roman" w:hAnsi="Times New Roman"/>
                <w:sz w:val="18"/>
                <w:szCs w:val="18"/>
                <w:b w:val="1"/>
                <w:bCs w:val="1"/>
                <w:color w:val="auto"/>
                <w:w w:val="99"/>
              </w:rPr>
              <w:t>Securities to be registered pursuant to Section 12(b) of the Act:</w:t>
            </w:r>
          </w:p>
        </w:tc>
      </w:tr>
      <w:tr>
        <w:trPr>
          <w:trHeight w:val="367"/>
        </w:trPr>
        <w:tc>
          <w:tcPr>
            <w:tcW w:w="220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780" w:type="dxa"/>
            <w:vAlign w:val="bottom"/>
            <w:gridSpan w:val="3"/>
          </w:tcPr>
          <w:p>
            <w:pPr>
              <w:ind w:left="2740"/>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2200" w:type="dxa"/>
            <w:vAlign w:val="bottom"/>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1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1160" w:type="dxa"/>
            <w:vAlign w:val="bottom"/>
          </w:tcPr>
          <w:p>
            <w:pPr>
              <w:spacing w:after="0"/>
              <w:rPr>
                <w:sz w:val="15"/>
                <w:szCs w:val="15"/>
                <w:color w:val="auto"/>
              </w:rPr>
            </w:pPr>
          </w:p>
        </w:tc>
      </w:tr>
      <w:tr>
        <w:trPr>
          <w:trHeight w:val="232"/>
        </w:trPr>
        <w:tc>
          <w:tcPr>
            <w:tcW w:w="22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w w:val="94"/>
              </w:rPr>
              <w:t>Common Stock,</w:t>
            </w:r>
          </w:p>
        </w:tc>
        <w:tc>
          <w:tcPr>
            <w:tcW w:w="2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par value $0.00001 per share</w:t>
            </w:r>
          </w:p>
        </w:tc>
        <w:tc>
          <w:tcPr>
            <w:tcW w:w="290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The</w:t>
            </w: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Stock Market</w:t>
            </w:r>
          </w:p>
        </w:tc>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217170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0"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333-248627</w:t>
      </w:r>
    </w:p>
    <w:p>
      <w:pPr>
        <w:spacing w:after="0" w:line="203"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60"/>
          </w:cols>
          <w:pgMar w:left="440" w:top="362" w:right="109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w:t>
      </w:r>
      <w:r>
        <w:rPr>
          <w:sz w:val="20"/>
          <w:szCs w:val="20"/>
          <w:color w:val="auto"/>
        </w:rPr>
        <w:tab/>
      </w:r>
      <w:r>
        <w:rPr>
          <w:rFonts w:ascii="Times New Roman" w:cs="Times New Roman" w:eastAsia="Times New Roman" w:hAnsi="Times New Roman"/>
          <w:sz w:val="17"/>
          <w:szCs w:val="17"/>
          <w:b w:val="1"/>
          <w:bCs w:val="1"/>
          <w:color w:val="auto"/>
        </w:rPr>
        <w:t>Description of Registrant’s Securities to be Registered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a description of the securities of PMV Pharmaceuticals, Inc. (the “Registrant”) being registered hereunder, reference is made to the information set forth under the heading “Description of Capital Stock” contained in the Registrant’s Registration Statement on Form S-1 (File No. 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248627), as initially filed with the Securities and Exchange Commission (the “Commission”) on September 4, 2020, as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Under the “Instructions as to Exhibits” section of Form 8-A, no exhibits are required to be filed because no other securities of the Registrant are to be registered on The Nasdaq Stock Market LLC and the securities to be registered hereby are not being registered pursuant to Section 12(g) of the Securities Exchange Act of 1934, as amended.</w:t>
      </w:r>
    </w:p>
    <w:p>
      <w:pPr>
        <w:sectPr>
          <w:pgSz w:w="11900" w:h="16838" w:orient="portrait"/>
          <w:cols w:equalWidth="0" w:num="1">
            <w:col w:w="10960"/>
          </w:cols>
          <w:pgMar w:left="440" w:top="266" w:right="49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 xml:space="preserve">Date: September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2020</w:t>
      </w:r>
      <w:r>
        <w:rPr>
          <w:sz w:val="20"/>
          <w:szCs w:val="20"/>
          <w:color w:val="auto"/>
        </w:rPr>
        <w:tab/>
      </w:r>
      <w:r>
        <w:rPr>
          <w:rFonts w:ascii="Times New Roman" w:cs="Times New Roman" w:eastAsia="Times New Roman" w:hAnsi="Times New Roman"/>
          <w:sz w:val="17"/>
          <w:szCs w:val="17"/>
          <w:b w:val="1"/>
          <w:bCs w:val="1"/>
          <w:color w:val="auto"/>
        </w:rPr>
        <w:t>PMV PHARMACEUTICALS, INC.</w:t>
      </w:r>
    </w:p>
    <w:p>
      <w:pPr>
        <w:spacing w:after="0" w:line="229" w:lineRule="exact"/>
        <w:rPr>
          <w:sz w:val="20"/>
          <w:szCs w:val="20"/>
          <w:color w:val="auto"/>
        </w:rPr>
      </w:pPr>
    </w:p>
    <w:p>
      <w:pPr>
        <w:ind w:left="574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2020-09-21T15:04:38Z</dcterms:created>
  <dcterms:modified xsi:type="dcterms:W3CDTF">2020-09-21T15:04:38Z</dcterms:modified>
</cp:coreProperties>
</file>