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0001055951</w:t>
            </w: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PMV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001-39539</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400 Alexander Park Drive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Suite 301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Princeton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NEW JERSEY</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08540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609-642-6670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96"/>
              </w:rPr>
              <w:t>OrbiMed Private Investments V,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Themis Trading LLC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 Townsquare</w:t>
            </w:r>
          </w:p>
        </w:tc>
        <w:tc>
          <w:tcPr>
            <w:tcW w:w="130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2283654</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3653846.40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Chatham  NJ  07928</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52990864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09/10/2025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09/29/2020</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Initial Public</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24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color w:val="auto"/>
              </w:rPr>
              <w:t>2283654</w:t>
            </w:r>
          </w:p>
        </w:tc>
        <w:tc>
          <w:tcPr>
            <w:tcW w:w="176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w w:val="97"/>
              </w:rPr>
              <w:t>09/29/2020 Cash</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Offering</w:t>
            </w:r>
          </w:p>
        </w:tc>
        <w:tc>
          <w:tcPr>
            <w:tcW w:w="2020" w:type="dxa"/>
            <w:vAlign w:val="bottom"/>
            <w:vMerge w:val="continue"/>
          </w:tcPr>
          <w:p>
            <w:pPr>
              <w:spacing w:after="0"/>
              <w:rPr>
                <w:sz w:val="24"/>
                <w:szCs w:val="24"/>
                <w:color w:val="auto"/>
              </w:rPr>
            </w:pPr>
          </w:p>
        </w:tc>
        <w:tc>
          <w:tcPr>
            <w:tcW w:w="2240" w:type="dxa"/>
            <w:vAlign w:val="bottom"/>
            <w:vMerge w:val="continue"/>
          </w:tcPr>
          <w:p>
            <w:pPr>
              <w:spacing w:after="0"/>
              <w:rPr>
                <w:sz w:val="24"/>
                <w:szCs w:val="24"/>
                <w:color w:val="auto"/>
              </w:rPr>
            </w:pPr>
          </w:p>
        </w:tc>
        <w:tc>
          <w:tcPr>
            <w:tcW w:w="1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92" w:lineRule="exact"/>
        <w:rPr>
          <w:sz w:val="20"/>
          <w:szCs w:val="20"/>
          <w:color w:val="auto"/>
        </w:rPr>
      </w:pPr>
    </w:p>
    <w:p>
      <w:pPr>
        <w:ind w:left="960" w:right="180" w:hanging="919"/>
        <w:spacing w:after="0" w:line="189" w:lineRule="auto"/>
        <w:tabs>
          <w:tab w:leader="none" w:pos="940" w:val="left"/>
        </w:tabs>
        <w:rPr>
          <w:sz w:val="20"/>
          <w:szCs w:val="20"/>
          <w:color w:val="auto"/>
        </w:rPr>
      </w:pPr>
      <w:r>
        <w:rPr>
          <w:rFonts w:ascii="Times New Roman" w:cs="Times New Roman" w:eastAsia="Times New Roman" w:hAnsi="Times New Roman"/>
          <w:sz w:val="38"/>
          <w:szCs w:val="38"/>
          <w:color w:val="auto"/>
          <w:vertAlign w:val="subscript"/>
        </w:rPr>
        <w:t>Remarks</w:t>
      </w:r>
      <w:r>
        <w:rPr>
          <w:sz w:val="20"/>
          <w:szCs w:val="20"/>
          <w:color w:val="auto"/>
        </w:rPr>
        <w:tab/>
      </w:r>
      <w:r>
        <w:rPr>
          <w:rFonts w:ascii="Times New Roman" w:cs="Times New Roman" w:eastAsia="Times New Roman" w:hAnsi="Times New Roman"/>
          <w:sz w:val="20"/>
          <w:szCs w:val="20"/>
          <w:color w:val="auto"/>
        </w:rPr>
        <w:t>OrbiMed Capital GP V LLC is the general partner of OrbiMed Private Investments V, LP. OrbiMed Advisors LLC is the managing member of OrbiMed Capital GP V LLC.</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09/10/2025</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9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960" w:right="360" w:hanging="917"/>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/s/ Douglas Coon, Chief Compliance Officer, OrbiMed Advisors LLC, managing member of the general partner of OrbiMed Private Investments V, LP</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2025-09-10T17:52:20Z</dcterms:created>
  <dcterms:modified xsi:type="dcterms:W3CDTF">2025-09-10T17:52:20Z</dcterms:modified>
</cp:coreProperties>
</file>