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 $0.00001 par value per share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69353Y103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31, 2022</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0" w:lineRule="exact"/>
        <w:rPr>
          <w:sz w:val="24"/>
          <w:szCs w:val="24"/>
          <w:color w:val="auto"/>
        </w:rPr>
      </w:pPr>
    </w:p>
    <w:p>
      <w:pPr>
        <w:spacing w:after="0" w:line="263" w:lineRule="exact"/>
        <w:rPr>
          <w:sz w:val="24"/>
          <w:szCs w:val="24"/>
          <w:color w:val="auto"/>
        </w:rPr>
      </w:pPr>
    </w:p>
    <w:p>
      <w:pPr>
        <w:ind w:left="1240" w:hanging="240"/>
        <w:spacing w:after="0"/>
        <w:tabs>
          <w:tab w:leader="none" w:pos="1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20" w:lineRule="exact"/>
        <w:rPr>
          <w:sz w:val="24"/>
          <w:szCs w:val="24"/>
          <w:color w:val="auto"/>
        </w:rPr>
      </w:pPr>
    </w:p>
    <w:p>
      <w:pPr>
        <w:ind w:left="1240" w:hanging="240"/>
        <w:spacing w:after="0"/>
        <w:tabs>
          <w:tab w:leader="none" w:pos="12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20" w:lineRule="exact"/>
        <w:rPr>
          <w:sz w:val="24"/>
          <w:szCs w:val="24"/>
          <w:color w:val="auto"/>
        </w:rPr>
      </w:pPr>
    </w:p>
    <w:p>
      <w:pPr>
        <w:ind w:left="1240" w:hanging="240"/>
        <w:spacing w:after="0"/>
        <w:tabs>
          <w:tab w:leader="none" w:pos="1240" w:val="left"/>
        </w:tabs>
        <w:numPr>
          <w:ilvl w:val="1"/>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14" w:lineRule="exact"/>
        <w:rPr>
          <w:rFonts w:ascii="MS PGothic" w:cs="MS PGothic" w:eastAsia="MS PGothic" w:hAnsi="MS PGothic"/>
          <w:sz w:val="22"/>
          <w:szCs w:val="22"/>
          <w:color w:val="auto"/>
        </w:rPr>
      </w:pPr>
    </w:p>
    <w:p>
      <w:pPr>
        <w:spacing w:after="0" w:line="230" w:lineRule="auto"/>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____________</w:t>
      </w:r>
    </w:p>
    <w:p>
      <w:pPr>
        <w:jc w:val="both"/>
        <w:spacing w:after="0" w:line="235" w:lineRule="auto"/>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CUSIP No.: 69353Y103</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13G</w:t>
            </w:r>
          </w:p>
        </w:tc>
        <w:tc>
          <w:tcPr>
            <w:tcW w:w="2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Page 2 of 9 Pages</w:t>
            </w:r>
          </w:p>
        </w:tc>
        <w:tc>
          <w:tcPr>
            <w:tcW w:w="0" w:type="dxa"/>
            <w:vAlign w:val="bottom"/>
          </w:tcPr>
          <w:p>
            <w:pPr>
              <w:spacing w:after="0"/>
              <w:rPr>
                <w:sz w:val="1"/>
                <w:szCs w:val="1"/>
                <w:color w:val="auto"/>
              </w:rPr>
            </w:pPr>
          </w:p>
        </w:tc>
      </w:tr>
      <w:tr>
        <w:trPr>
          <w:trHeight w:val="459"/>
        </w:trPr>
        <w:tc>
          <w:tcPr>
            <w:tcW w:w="14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gridSpan w:val="5"/>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68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Boxer Capital, LLC</w:t>
            </w: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7680" w:type="dxa"/>
            <w:vAlign w:val="bottom"/>
            <w:gridSpan w:val="5"/>
            <w:vMerge w:val="continue"/>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7680" w:type="dxa"/>
            <w:vAlign w:val="bottom"/>
            <w:tcBorders>
              <w:bottom w:val="single" w:sz="8" w:color="auto"/>
            </w:tcBorders>
            <w:gridSpan w:val="5"/>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360" w:type="dxa"/>
            <w:vAlign w:val="bottom"/>
            <w:shd w:val="clear" w:color="auto" w:fill="BFBFBF"/>
          </w:tcPr>
          <w:p>
            <w:pPr>
              <w:spacing w:after="0"/>
              <w:rPr>
                <w:sz w:val="20"/>
                <w:szCs w:val="20"/>
                <w:color w:val="auto"/>
              </w:rPr>
            </w:pPr>
          </w:p>
        </w:tc>
        <w:tc>
          <w:tcPr>
            <w:tcW w:w="20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360" w:type="dxa"/>
            <w:vAlign w:val="bottom"/>
            <w:shd w:val="clear" w:color="auto" w:fill="BFBFBF"/>
          </w:tcPr>
          <w:p>
            <w:pPr>
              <w:spacing w:after="0"/>
              <w:rPr>
                <w:sz w:val="24"/>
                <w:szCs w:val="24"/>
                <w:color w:val="auto"/>
              </w:rPr>
            </w:pPr>
          </w:p>
        </w:tc>
        <w:tc>
          <w:tcPr>
            <w:tcW w:w="20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2"/>
            <w:shd w:val="clear" w:color="auto" w:fill="BFBFBF"/>
          </w:tcPr>
          <w:p>
            <w:pPr>
              <w:spacing w:after="0"/>
              <w:rPr>
                <w:sz w:val="23"/>
                <w:szCs w:val="23"/>
                <w:color w:val="auto"/>
              </w:rPr>
            </w:pPr>
          </w:p>
        </w:tc>
        <w:tc>
          <w:tcPr>
            <w:tcW w:w="20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3,163,795</w:t>
            </w: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3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360" w:type="dxa"/>
            <w:vAlign w:val="bottom"/>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3,163,795</w:t>
            </w: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vMerge w:val="continue"/>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3,163,795</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3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68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2"/>
          </w:tcPr>
          <w:p>
            <w:pPr>
              <w:spacing w:after="0"/>
              <w:rPr>
                <w:sz w:val="12"/>
                <w:szCs w:val="12"/>
                <w:color w:val="auto"/>
              </w:rPr>
            </w:pPr>
          </w:p>
        </w:tc>
        <w:tc>
          <w:tcPr>
            <w:tcW w:w="2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0" w:hanging="10"/>
        <w:spacing w:after="0" w:line="258" w:lineRule="auto"/>
        <w:tabs>
          <w:tab w:leader="none" w:pos="45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45,665,428 shares of Common Stock outstanding as of November 8, 2022, as set forth in the Issuer’s Quarterly Report on Form 10-Q filed with the U.S. Securities and Exchange Commission (“SEC”) on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409575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364" w:right="339" w:bottom="1440" w:gutter="0" w:footer="0" w:header="0"/>
        </w:sectPr>
      </w:pPr>
    </w:p>
    <w:bookmarkStart w:id="2" w:name="page3"/>
    <w:bookmarkEnd w:id="2"/>
    <w:tbl>
      <w:tblPr>
        <w:tblLayout w:type="fixed"/>
        <w:tblInd w:w="18"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69353Y103</w:t>
            </w:r>
          </w:p>
        </w:tc>
        <w:tc>
          <w:tcPr>
            <w:tcW w:w="480" w:type="dxa"/>
            <w:vAlign w:val="bottom"/>
          </w:tcPr>
          <w:p>
            <w:pPr>
              <w:spacing w:after="0"/>
              <w:rPr>
                <w:sz w:val="20"/>
                <w:szCs w:val="20"/>
                <w:color w:val="auto"/>
              </w:rPr>
            </w:pPr>
          </w:p>
        </w:tc>
        <w:tc>
          <w:tcPr>
            <w:tcW w:w="63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13G</w:t>
            </w:r>
          </w:p>
        </w:tc>
        <w:tc>
          <w:tcPr>
            <w:tcW w:w="1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Page 3 of 9 Pages</w:t>
            </w:r>
          </w:p>
        </w:tc>
        <w:tc>
          <w:tcPr>
            <w:tcW w:w="0" w:type="dxa"/>
            <w:vAlign w:val="bottom"/>
          </w:tcPr>
          <w:p>
            <w:pPr>
              <w:spacing w:after="0"/>
              <w:rPr>
                <w:sz w:val="1"/>
                <w:szCs w:val="1"/>
                <w:color w:val="auto"/>
              </w:rPr>
            </w:pPr>
          </w:p>
        </w:tc>
      </w:tr>
      <w:tr>
        <w:trPr>
          <w:trHeight w:val="459"/>
        </w:trPr>
        <w:tc>
          <w:tcPr>
            <w:tcW w:w="138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4"/>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380" w:type="dxa"/>
            <w:vAlign w:val="bottom"/>
            <w:tcBorders>
              <w:left w:val="single" w:sz="8" w:color="auto"/>
              <w:right w:val="single" w:sz="8" w:color="auto"/>
            </w:tcBorders>
            <w:vMerge w:val="continue"/>
          </w:tcPr>
          <w:p>
            <w:pPr>
              <w:spacing w:after="0"/>
              <w:rPr>
                <w:sz w:val="24"/>
                <w:szCs w:val="24"/>
                <w:color w:val="auto"/>
              </w:rPr>
            </w:pPr>
          </w:p>
        </w:tc>
        <w:tc>
          <w:tcPr>
            <w:tcW w:w="76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Boxer Asset Management Inc.</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spacing w:after="0"/>
              <w:rPr>
                <w:sz w:val="13"/>
                <w:szCs w:val="13"/>
                <w:color w:val="auto"/>
              </w:rPr>
            </w:pPr>
          </w:p>
        </w:tc>
        <w:tc>
          <w:tcPr>
            <w:tcW w:w="7600" w:type="dxa"/>
            <w:vAlign w:val="bottom"/>
            <w:gridSpan w:val="4"/>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7600" w:type="dxa"/>
            <w:vAlign w:val="bottom"/>
            <w:tcBorders>
              <w:bottom w:val="single" w:sz="8" w:color="auto"/>
            </w:tcBorders>
            <w:gridSpan w:val="4"/>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760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632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20" w:type="dxa"/>
            <w:vAlign w:val="bottom"/>
            <w:tcBorders>
              <w:bottom w:val="single" w:sz="8" w:color="auto"/>
            </w:tcBorders>
            <w:shd w:val="clear" w:color="auto" w:fill="BFBFBF"/>
          </w:tcPr>
          <w:p>
            <w:pPr>
              <w:spacing w:after="0"/>
              <w:rPr>
                <w:sz w:val="23"/>
                <w:szCs w:val="23"/>
                <w:color w:val="auto"/>
              </w:rPr>
            </w:pPr>
          </w:p>
        </w:tc>
        <w:tc>
          <w:tcPr>
            <w:tcW w:w="1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Bahamas</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632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3,163,795</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6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320" w:type="dxa"/>
            <w:vAlign w:val="bottom"/>
            <w:vMerge w:val="continue"/>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tcBorders>
            <w:vMerge w:val="restart"/>
          </w:tcPr>
          <w:p>
            <w:pPr>
              <w:jc w:val="center"/>
              <w:ind w:left="48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63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632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3,163,795</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6320" w:type="dxa"/>
            <w:vAlign w:val="bottom"/>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3,163,795</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82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5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38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3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8" w:hanging="8"/>
        <w:spacing w:after="0" w:line="258" w:lineRule="auto"/>
        <w:tabs>
          <w:tab w:leader="none" w:pos="4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Based on 45,665,428 shares of Common Stock outstanding as of November 8, 2022, as set forth in the Issuer’s Quarterly Report on Form 10-Q filed with the SEC on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409575</wp:posOffset>
            </wp:positionV>
            <wp:extent cx="70294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ectPr>
          <w:pgSz w:w="11900" w:h="16838" w:orient="portrait"/>
          <w:cols w:equalWidth="0" w:num="1">
            <w:col w:w="10908"/>
          </w:cols>
          <w:pgMar w:left="652" w:top="60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69353Y103</w:t>
            </w:r>
          </w:p>
        </w:tc>
        <w:tc>
          <w:tcPr>
            <w:tcW w:w="460" w:type="dxa"/>
            <w:vAlign w:val="bottom"/>
          </w:tcPr>
          <w:p>
            <w:pPr>
              <w:spacing w:after="0"/>
              <w:rPr>
                <w:sz w:val="20"/>
                <w:szCs w:val="20"/>
                <w:color w:val="auto"/>
              </w:rPr>
            </w:pPr>
          </w:p>
        </w:tc>
        <w:tc>
          <w:tcPr>
            <w:tcW w:w="63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13G</w:t>
            </w:r>
          </w:p>
        </w:tc>
        <w:tc>
          <w:tcPr>
            <w:tcW w:w="1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Page 4 of 9 Pages</w:t>
            </w:r>
          </w:p>
        </w:tc>
        <w:tc>
          <w:tcPr>
            <w:tcW w:w="0" w:type="dxa"/>
            <w:vAlign w:val="bottom"/>
          </w:tcPr>
          <w:p>
            <w:pPr>
              <w:spacing w:after="0"/>
              <w:rPr>
                <w:sz w:val="1"/>
                <w:szCs w:val="1"/>
                <w:color w:val="auto"/>
              </w:rPr>
            </w:pPr>
          </w:p>
        </w:tc>
      </w:tr>
      <w:tr>
        <w:trPr>
          <w:trHeight w:val="459"/>
        </w:trPr>
        <w:tc>
          <w:tcPr>
            <w:tcW w:w="138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4"/>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38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Joe Lewis</w:t>
            </w: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7600" w:type="dxa"/>
            <w:vAlign w:val="bottom"/>
            <w:tcBorders>
              <w:bottom w:val="single" w:sz="8" w:color="auto"/>
            </w:tcBorders>
            <w:gridSpan w:val="4"/>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760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32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20" w:type="dxa"/>
            <w:vAlign w:val="bottom"/>
            <w:tcBorders>
              <w:bottom w:val="single" w:sz="8" w:color="auto"/>
            </w:tcBorders>
            <w:shd w:val="clear" w:color="auto" w:fill="BFBFBF"/>
          </w:tcPr>
          <w:p>
            <w:pPr>
              <w:spacing w:after="0"/>
              <w:rPr>
                <w:sz w:val="23"/>
                <w:szCs w:val="23"/>
                <w:color w:val="auto"/>
              </w:rPr>
            </w:pPr>
          </w:p>
        </w:tc>
        <w:tc>
          <w:tcPr>
            <w:tcW w:w="1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w w:val="98"/>
              </w:rPr>
              <w:t>United Kingdom</w:t>
            </w: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632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3,163,795</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320" w:type="dxa"/>
            <w:vAlign w:val="bottom"/>
            <w:vMerge w:val="continue"/>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tcBorders>
            <w:vMerge w:val="restart"/>
          </w:tcPr>
          <w:p>
            <w:pPr>
              <w:jc w:val="center"/>
              <w:ind w:left="48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3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32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3,163,795</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6320" w:type="dxa"/>
            <w:vAlign w:val="bottom"/>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3,163,795</w:t>
            </w: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82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5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38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3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86"/>
        <w:spacing w:after="0" w:line="258" w:lineRule="auto"/>
        <w:tabs>
          <w:tab w:leader="none" w:pos="526"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Based on 45,665,428 shares of Common Stock outstanding as of November 8, 2022, as set forth in the Issuer’s Quarterly Report on Form 10-Q filed with the SEC on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409575</wp:posOffset>
            </wp:positionV>
            <wp:extent cx="70294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ectPr>
          <w:pgSz w:w="11900" w:h="16838" w:orient="portrait"/>
          <w:cols w:equalWidth="0" w:num="1">
            <w:col w:w="10900"/>
          </w:cols>
          <w:pgMar w:left="660" w:top="607" w:right="33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69353Y103</w:t>
            </w:r>
          </w:p>
        </w:tc>
        <w:tc>
          <w:tcPr>
            <w:tcW w:w="480" w:type="dxa"/>
            <w:vAlign w:val="bottom"/>
          </w:tcPr>
          <w:p>
            <w:pPr>
              <w:spacing w:after="0"/>
              <w:rPr>
                <w:sz w:val="20"/>
                <w:szCs w:val="20"/>
                <w:color w:val="auto"/>
              </w:rPr>
            </w:pPr>
          </w:p>
        </w:tc>
        <w:tc>
          <w:tcPr>
            <w:tcW w:w="63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13G</w:t>
            </w:r>
          </w:p>
        </w:tc>
        <w:tc>
          <w:tcPr>
            <w:tcW w:w="1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Page 5 of 9 Pages</w:t>
            </w:r>
          </w:p>
        </w:tc>
        <w:tc>
          <w:tcPr>
            <w:tcW w:w="0" w:type="dxa"/>
            <w:vAlign w:val="bottom"/>
          </w:tcPr>
          <w:p>
            <w:pPr>
              <w:spacing w:after="0"/>
              <w:rPr>
                <w:sz w:val="1"/>
                <w:szCs w:val="1"/>
                <w:color w:val="auto"/>
              </w:rPr>
            </w:pPr>
          </w:p>
        </w:tc>
      </w:tr>
      <w:tr>
        <w:trPr>
          <w:trHeight w:val="459"/>
        </w:trPr>
        <w:tc>
          <w:tcPr>
            <w:tcW w:w="138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4"/>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76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MVA Investors, LLC</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spacing w:after="0"/>
              <w:rPr>
                <w:sz w:val="13"/>
                <w:szCs w:val="13"/>
                <w:color w:val="auto"/>
              </w:rPr>
            </w:pPr>
          </w:p>
        </w:tc>
        <w:tc>
          <w:tcPr>
            <w:tcW w:w="7600" w:type="dxa"/>
            <w:vAlign w:val="bottom"/>
            <w:gridSpan w:val="4"/>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7600" w:type="dxa"/>
            <w:vAlign w:val="bottom"/>
            <w:tcBorders>
              <w:bottom w:val="single" w:sz="8" w:color="auto"/>
            </w:tcBorders>
            <w:gridSpan w:val="4"/>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760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632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20" w:type="dxa"/>
            <w:vAlign w:val="bottom"/>
            <w:tcBorders>
              <w:bottom w:val="single" w:sz="8" w:color="auto"/>
            </w:tcBorders>
            <w:shd w:val="clear" w:color="auto" w:fill="BFBFBF"/>
          </w:tcPr>
          <w:p>
            <w:pPr>
              <w:spacing w:after="0"/>
              <w:rPr>
                <w:sz w:val="23"/>
                <w:szCs w:val="23"/>
                <w:color w:val="auto"/>
              </w:rPr>
            </w:pPr>
          </w:p>
        </w:tc>
        <w:tc>
          <w:tcPr>
            <w:tcW w:w="1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38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632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77,380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6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320" w:type="dxa"/>
            <w:vAlign w:val="bottom"/>
            <w:vMerge w:val="continue"/>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tcBorders>
            <w:vMerge w:val="restart"/>
          </w:tcPr>
          <w:p>
            <w:pPr>
              <w:jc w:val="center"/>
              <w:ind w:left="48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63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632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77,380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6320" w:type="dxa"/>
            <w:vAlign w:val="bottom"/>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77,380</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82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5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38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3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70" w:right="740" w:hanging="170"/>
        <w:spacing w:after="0" w:line="258" w:lineRule="auto"/>
        <w:tabs>
          <w:tab w:leader="none" w:pos="76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45,665,428 shares of Common Stock outstanding as of November 8, 2022, as set forth in the Issuer’s Quarterly Report on Form 10-Q filed with the SEC on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409575</wp:posOffset>
            </wp:positionV>
            <wp:extent cx="70294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ectPr>
          <w:pgSz w:w="11900" w:h="16838" w:orient="portrait"/>
          <w:cols w:equalWidth="0" w:num="1">
            <w:col w:w="11070"/>
          </w:cols>
          <w:pgMar w:left="490" w:top="364" w:right="339" w:bottom="1440" w:gutter="0" w:footer="0" w:header="0"/>
        </w:sectPr>
      </w:pPr>
    </w:p>
    <w:bookmarkStart w:id="5" w:name="page6"/>
    <w:bookmarkEnd w:id="5"/>
    <w:tbl>
      <w:tblPr>
        <w:tblLayout w:type="fixed"/>
        <w:tblInd w:w="18" w:type="dxa"/>
        <w:tblCellMar>
          <w:top w:w="0" w:type="dxa"/>
          <w:left w:w="0" w:type="dxa"/>
          <w:bottom w:w="0" w:type="dxa"/>
          <w:right w:w="0" w:type="dxa"/>
        </w:tblCellMar>
      </w:tblP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69353Y103</w:t>
            </w:r>
          </w:p>
        </w:tc>
        <w:tc>
          <w:tcPr>
            <w:tcW w:w="640" w:type="dxa"/>
            <w:vAlign w:val="bottom"/>
          </w:tcPr>
          <w:p>
            <w:pPr>
              <w:spacing w:after="0"/>
              <w:rPr>
                <w:sz w:val="20"/>
                <w:szCs w:val="20"/>
                <w:color w:val="auto"/>
              </w:rPr>
            </w:pPr>
          </w:p>
        </w:tc>
        <w:tc>
          <w:tcPr>
            <w:tcW w:w="63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13G</w:t>
            </w:r>
          </w:p>
        </w:tc>
        <w:tc>
          <w:tcPr>
            <w:tcW w:w="1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Page 6 of 9 Pages</w:t>
            </w:r>
          </w:p>
        </w:tc>
        <w:tc>
          <w:tcPr>
            <w:tcW w:w="0" w:type="dxa"/>
            <w:vAlign w:val="bottom"/>
          </w:tcPr>
          <w:p>
            <w:pPr>
              <w:spacing w:after="0"/>
              <w:rPr>
                <w:sz w:val="1"/>
                <w:szCs w:val="1"/>
                <w:color w:val="auto"/>
              </w:rPr>
            </w:pPr>
          </w:p>
        </w:tc>
      </w:tr>
      <w:tr>
        <w:trPr>
          <w:trHeight w:val="459"/>
        </w:trPr>
        <w:tc>
          <w:tcPr>
            <w:tcW w:w="138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3"/>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Aaron I. Davis</w:t>
            </w: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7600" w:type="dxa"/>
            <w:vAlign w:val="bottom"/>
            <w:tcBorders>
              <w:bottom w:val="single" w:sz="8" w:color="auto"/>
            </w:tcBorders>
            <w:gridSpan w:val="3"/>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760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32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320" w:type="dxa"/>
            <w:vAlign w:val="bottom"/>
            <w:tcBorders>
              <w:bottom w:val="single" w:sz="8" w:color="auto"/>
            </w:tcBorders>
            <w:shd w:val="clear" w:color="auto" w:fill="BFBFBF"/>
          </w:tcPr>
          <w:p>
            <w:pPr>
              <w:spacing w:after="0"/>
              <w:rPr>
                <w:sz w:val="23"/>
                <w:szCs w:val="23"/>
                <w:color w:val="auto"/>
              </w:rPr>
            </w:pPr>
          </w:p>
        </w:tc>
        <w:tc>
          <w:tcPr>
            <w:tcW w:w="1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380" w:type="dxa"/>
            <w:vAlign w:val="bottom"/>
            <w:tcBorders>
              <w:left w:val="single" w:sz="8" w:color="auto"/>
              <w:right w:val="single" w:sz="8" w:color="auto"/>
            </w:tcBorders>
            <w:vMerge w:val="continue"/>
          </w:tcPr>
          <w:p>
            <w:pPr>
              <w:spacing w:after="0"/>
              <w:rPr>
                <w:sz w:val="24"/>
                <w:szCs w:val="24"/>
                <w:color w:val="auto"/>
              </w:rPr>
            </w:pPr>
          </w:p>
        </w:tc>
        <w:tc>
          <w:tcPr>
            <w:tcW w:w="7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spacing w:after="0"/>
              <w:rPr>
                <w:sz w:val="13"/>
                <w:szCs w:val="13"/>
                <w:color w:val="auto"/>
              </w:rPr>
            </w:pPr>
          </w:p>
        </w:tc>
        <w:tc>
          <w:tcPr>
            <w:tcW w:w="7600" w:type="dxa"/>
            <w:vAlign w:val="bottom"/>
            <w:gridSpan w:val="3"/>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40" w:type="dxa"/>
            <w:vAlign w:val="bottom"/>
            <w:tcBorders>
              <w:right w:val="single" w:sz="8" w:color="auto"/>
            </w:tcBorders>
            <w:vMerge w:val="continue"/>
          </w:tcPr>
          <w:p>
            <w:pPr>
              <w:spacing w:after="0"/>
              <w:rPr>
                <w:sz w:val="21"/>
                <w:szCs w:val="21"/>
                <w:color w:val="auto"/>
              </w:rPr>
            </w:pPr>
          </w:p>
        </w:tc>
        <w:tc>
          <w:tcPr>
            <w:tcW w:w="632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Borders>
              <w:right w:val="single" w:sz="8" w:color="auto"/>
            </w:tcBorders>
          </w:tcPr>
          <w:p>
            <w:pPr>
              <w:spacing w:after="0"/>
              <w:rPr>
                <w:sz w:val="18"/>
                <w:szCs w:val="18"/>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77,380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6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320" w:type="dxa"/>
            <w:vAlign w:val="bottom"/>
            <w:vMerge w:val="continue"/>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tcBorders>
            <w:vMerge w:val="restart"/>
          </w:tcPr>
          <w:p>
            <w:pPr>
              <w:jc w:val="center"/>
              <w:ind w:left="48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3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32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77,380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320" w:type="dxa"/>
            <w:vAlign w:val="bottom"/>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77,380</w:t>
            </w:r>
          </w:p>
        </w:tc>
        <w:tc>
          <w:tcPr>
            <w:tcW w:w="6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5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32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8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8" w:right="580" w:hanging="8"/>
        <w:spacing w:after="0" w:line="258" w:lineRule="auto"/>
        <w:tabs>
          <w:tab w:leader="none" w:pos="76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45,665,428 shares of Common Stock outstanding as of November 8, 2022, as set forth in the Issuer’s Quarterly Report on Form 10-Q filed with the SEC on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409575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23" w:right="339" w:bottom="1440" w:gutter="0" w:footer="0" w:header="0"/>
        </w:sectPr>
      </w:pPr>
    </w:p>
    <w:bookmarkStart w:id="6" w:name="page7"/>
    <w:bookmarkEnd w:id="6"/>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Amendment No. 2 (“Amendment No. 2”) amends and supplements the statement on Schedule 13G is filed on September 30, 2020 (the “Original Filing”) by Boxer Capital, LLC (“Boxer Capital”), Boxer Asset Management Inc. (“Boxer Management”), Joe Lewis, MVA Investors, LLC (“MVA Investors”) and Aaron I. Davis (together with Boxer Capital, Boxer Management, Joe Lewis and MVA Investors, the “Reporting Persons”), as amended by Amendment No. 1 on February 14, 2022 by the Reporting Persons. The Original Filing remains in effect except to the extent that it is amended, restated or superseded by information contained in this Amendment No. 2. Capitalized terms used and not defined in this Amendment No. 2 have the meanings set forth in the Original Filing, as amended.</w:t>
      </w:r>
    </w:p>
    <w:p>
      <w:pPr>
        <w:spacing w:after="0" w:line="1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left="1960" w:hanging="620"/>
        <w:spacing w:after="0" w:line="266"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Boxer, Boxer Management and Joe Lewis beneficially own 3,163,795 shares of Common Stock. MVA Investors and Aaron I. Davis beneficially own 77,380 shares of Common Stock. The Reporting Persons beneficially own, in the aggregate, 3,241,175 shares of Common Stock.</w:t>
      </w:r>
    </w:p>
    <w:p>
      <w:pPr>
        <w:spacing w:after="0" w:line="202" w:lineRule="exact"/>
        <w:rPr>
          <w:rFonts w:ascii="Times New Roman" w:cs="Times New Roman" w:eastAsia="Times New Roman" w:hAnsi="Times New Roman"/>
          <w:sz w:val="18"/>
          <w:szCs w:val="18"/>
          <w:color w:val="auto"/>
        </w:rPr>
      </w:pPr>
    </w:p>
    <w:p>
      <w:pPr>
        <w:jc w:val="both"/>
        <w:ind w:left="1960" w:hanging="620"/>
        <w:spacing w:after="0" w:line="256"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The shares of Common Stock beneficially owned by Boxer Capital, Boxer Management and Joe Lewis represents 6.9% of the Issuer’s outstanding shares of Common Stock. The shares of Common Stock beneficially owned by MVA Investors and Aaron I. Davis represents 0.2% of the Issuer’s outstanding shares of Common Stock. The shares of Common Stock beneficially owned by the Reporting Persons represents, in the aggregate, 7.1% of the Issuer’s outstanding shares of Common Stock. All percentages are based on 45,665,428 shares of Common Stock outstanding as of November 8, 2022, as set forth in the Issuer’s Quarterly Report on Form 10-Q filed with the SEC on November 8, 2022.</w:t>
      </w:r>
    </w:p>
    <w:p>
      <w:pPr>
        <w:spacing w:after="0" w:line="214" w:lineRule="exact"/>
        <w:rPr>
          <w:rFonts w:ascii="Times New Roman" w:cs="Times New Roman" w:eastAsia="Times New Roman" w:hAnsi="Times New Roman"/>
          <w:sz w:val="18"/>
          <w:szCs w:val="18"/>
          <w:color w:val="auto"/>
        </w:rPr>
      </w:pPr>
    </w:p>
    <w:p>
      <w:pPr>
        <w:ind w:left="1960" w:hanging="620"/>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vote or to direct the vote</w:t>
      </w:r>
      <w:r>
        <w:rPr>
          <w:rFonts w:ascii="Times New Roman" w:cs="Times New Roman" w:eastAsia="Times New Roman" w:hAnsi="Times New Roman"/>
          <w:sz w:val="18"/>
          <w:szCs w:val="18"/>
          <w:color w:val="auto"/>
        </w:rPr>
        <w:t>: None of the Reporting Persons has sole power to vote or to direct the vote of any shares of Common Stock.</w:t>
      </w:r>
    </w:p>
    <w:p>
      <w:pPr>
        <w:spacing w:after="0" w:line="188"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vote or to direct the vote</w:t>
      </w:r>
      <w:r>
        <w:rPr>
          <w:rFonts w:ascii="Times New Roman" w:cs="Times New Roman" w:eastAsia="Times New Roman" w:hAnsi="Times New Roman"/>
          <w:sz w:val="18"/>
          <w:szCs w:val="18"/>
          <w:color w:val="auto"/>
        </w:rPr>
        <w:t>: Boxer Capital, Boxer Management and Joe Lewis have shared power to vote or to direct the vote of the 3,163,795 shares of Common Stock they beneficially own. MVA Investors and Aaron I. Davis have shared power to vote or to direct the vote of the 77,380 shares of Common Stock they beneficially own.</w:t>
      </w:r>
    </w:p>
    <w:p>
      <w:pPr>
        <w:spacing w:after="0" w:line="202"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dispose or to direct the disposition of</w:t>
      </w:r>
      <w:r>
        <w:rPr>
          <w:rFonts w:ascii="Times New Roman" w:cs="Times New Roman" w:eastAsia="Times New Roman" w:hAnsi="Times New Roman"/>
          <w:sz w:val="18"/>
          <w:szCs w:val="18"/>
          <w:color w:val="auto"/>
        </w:rPr>
        <w:t>: None of the Reporting Persons has sole power to dispose or to direct the disposition of any shares of Common Stock.</w:t>
      </w:r>
    </w:p>
    <w:p>
      <w:pPr>
        <w:spacing w:after="0" w:line="188"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dispose or to direct the disposition of</w:t>
      </w:r>
      <w:r>
        <w:rPr>
          <w:rFonts w:ascii="Times New Roman" w:cs="Times New Roman" w:eastAsia="Times New Roman" w:hAnsi="Times New Roman"/>
          <w:sz w:val="18"/>
          <w:szCs w:val="18"/>
          <w:color w:val="auto"/>
        </w:rPr>
        <w:t>: Boxer Capital, Boxer Management and Joe Lewis have shared power to dispose or to direct the disposition of the 3,163,795 shares of Common Stock they beneficially own. MVA Investors and Aaron I. Davis have shared power to dispose or to direct the disposition of the 77,380 shares of Common Stock they beneficially own.</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r>
        <w:rPr>
          <w:rFonts w:ascii="Times New Roman" w:cs="Times New Roman" w:eastAsia="Times New Roman" w:hAnsi="Times New Roman"/>
          <w:sz w:val="18"/>
          <w:szCs w:val="18"/>
          <w:b w:val="1"/>
          <w:bCs w:val="1"/>
          <w:color w:val="auto"/>
        </w:rPr>
        <w:t>:</w:t>
      </w:r>
    </w:p>
    <w:p>
      <w:pPr>
        <w:spacing w:after="0" w:line="247" w:lineRule="exact"/>
        <w:rPr>
          <w:sz w:val="20"/>
          <w:szCs w:val="20"/>
          <w:color w:val="auto"/>
        </w:rPr>
      </w:pPr>
    </w:p>
    <w:p>
      <w:pPr>
        <w:jc w:val="both"/>
        <w:ind w:left="1300" w:firstLine="4"/>
        <w:spacing w:after="0" w:line="238" w:lineRule="auto"/>
        <w:tabs>
          <w:tab w:leader="none" w:pos="160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Exhibits</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left="1300" w:hanging="1292"/>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September 30, 2020, among the Reporting Persons, incorporated herein by reference to Exhibit 99.1 to the Schedule 13G filed on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BOXER CAPITAL, LLC</w:t>
      </w:r>
    </w:p>
    <w:p>
      <w:pPr>
        <w:spacing w:after="0" w:line="207" w:lineRule="exact"/>
        <w:rPr>
          <w:sz w:val="20"/>
          <w:szCs w:val="20"/>
          <w:color w:val="auto"/>
        </w:rPr>
      </w:pPr>
    </w:p>
    <w:tbl>
      <w:tblPr>
        <w:tblLayout w:type="fixed"/>
        <w:tblInd w:w="436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BOXER ASSET MANAGEMENT INC.</w:t>
      </w:r>
    </w:p>
    <w:p>
      <w:pPr>
        <w:spacing w:after="0" w:line="225" w:lineRule="exact"/>
        <w:rPr>
          <w:sz w:val="20"/>
          <w:szCs w:val="20"/>
          <w:color w:val="auto"/>
        </w:rPr>
      </w:pPr>
    </w:p>
    <w:tbl>
      <w:tblPr>
        <w:tblLayout w:type="fixed"/>
        <w:tblInd w:w="436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Higgs</w:t>
            </w: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Paul Higgs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JOSEPH C. LEWIS</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17145</wp:posOffset>
            </wp:positionV>
            <wp:extent cx="34029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2965" cy="17145"/>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Joseph C. Lewis Individually</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MVA INVESTORS, LLC</w:t>
      </w:r>
    </w:p>
    <w:p>
      <w:pPr>
        <w:spacing w:after="0" w:line="225" w:lineRule="exact"/>
        <w:rPr>
          <w:sz w:val="20"/>
          <w:szCs w:val="20"/>
          <w:color w:val="auto"/>
        </w:rPr>
      </w:pPr>
    </w:p>
    <w:tbl>
      <w:tblPr>
        <w:tblLayout w:type="fixed"/>
        <w:tblInd w:w="436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AARON I. DAVIS</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17145</wp:posOffset>
            </wp:positionV>
            <wp:extent cx="34029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2965" cy="17145"/>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Aaron I. Davis, Individually</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2023-02-14T12:13:28Z</dcterms:created>
  <dcterms:modified xsi:type="dcterms:W3CDTF">2023-02-14T12:13:28Z</dcterms:modified>
</cp:coreProperties>
</file>