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March 1, 2023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333-260012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UNITED STATES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POST-EFFECTIVE AMENDMENT NO. 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TO</w:t>
      </w:r>
    </w:p>
    <w:p>
      <w:pPr>
        <w:jc w:val="center"/>
        <w:ind w:right="-119"/>
        <w:spacing w:after="0" w:line="231" w:lineRule="auto"/>
        <w:rPr>
          <w:sz w:val="20"/>
          <w:szCs w:val="20"/>
          <w:color w:val="auto"/>
        </w:rPr>
      </w:pPr>
      <w:r>
        <w:rPr>
          <w:rFonts w:ascii="Arial" w:cs="Arial" w:eastAsia="Arial" w:hAnsi="Arial"/>
          <w:sz w:val="28"/>
          <w:szCs w:val="28"/>
          <w:b w:val="1"/>
          <w:bCs w:val="1"/>
          <w:color w:val="auto"/>
        </w:rPr>
        <w:t>FORM S-3</w:t>
      </w:r>
    </w:p>
    <w:p>
      <w:pPr>
        <w:jc w:val="center"/>
        <w:ind w:right="-119"/>
        <w:spacing w:after="0" w:line="235" w:lineRule="auto"/>
        <w:rPr>
          <w:sz w:val="20"/>
          <w:szCs w:val="20"/>
          <w:color w:val="auto"/>
        </w:rPr>
      </w:pPr>
      <w:r>
        <w:rPr>
          <w:rFonts w:ascii="Arial" w:cs="Arial" w:eastAsia="Arial" w:hAnsi="Arial"/>
          <w:sz w:val="28"/>
          <w:szCs w:val="28"/>
          <w:b w:val="1"/>
          <w:bCs w:val="1"/>
          <w:color w:val="auto"/>
        </w:rPr>
        <w:t>REGISTRATION STATEMENT</w:t>
      </w: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PMV Pharmaceuticals,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tcPr>
          <w:p>
            <w:pPr>
              <w:jc w:val="center"/>
              <w:ind w:right="1951"/>
              <w:spacing w:after="0"/>
              <w:rPr>
                <w:sz w:val="20"/>
                <w:szCs w:val="20"/>
                <w:color w:val="auto"/>
              </w:rPr>
            </w:pPr>
            <w:r>
              <w:rPr>
                <w:rFonts w:ascii="Arial" w:cs="Arial" w:eastAsia="Arial" w:hAnsi="Arial"/>
                <w:sz w:val="14"/>
                <w:szCs w:val="14"/>
                <w:b w:val="1"/>
                <w:bCs w:val="1"/>
                <w:color w:val="auto"/>
                <w:w w:val="94"/>
              </w:rPr>
              <w:t>Delaware</w:t>
            </w:r>
          </w:p>
        </w:tc>
        <w:tc>
          <w:tcPr>
            <w:tcW w:w="3340" w:type="dxa"/>
            <w:vAlign w:val="bottom"/>
          </w:tcPr>
          <w:p>
            <w:pPr>
              <w:jc w:val="center"/>
              <w:ind w:left="1951"/>
              <w:spacing w:after="0"/>
              <w:rPr>
                <w:sz w:val="20"/>
                <w:szCs w:val="20"/>
                <w:color w:val="auto"/>
              </w:rPr>
            </w:pPr>
            <w:r>
              <w:rPr>
                <w:rFonts w:ascii="Arial" w:cs="Arial" w:eastAsia="Arial" w:hAnsi="Arial"/>
                <w:sz w:val="14"/>
                <w:szCs w:val="14"/>
                <w:b w:val="1"/>
                <w:bCs w:val="1"/>
                <w:color w:val="auto"/>
                <w:w w:val="90"/>
              </w:rPr>
              <w:t>46-3218129</w:t>
            </w:r>
          </w:p>
        </w:tc>
      </w:tr>
      <w:tr>
        <w:trPr>
          <w:trHeight w:val="148"/>
        </w:trPr>
        <w:tc>
          <w:tcPr>
            <w:tcW w:w="3760" w:type="dxa"/>
            <w:vAlign w:val="bottom"/>
          </w:tcPr>
          <w:p>
            <w:pPr>
              <w:jc w:val="center"/>
              <w:ind w:right="1931"/>
              <w:spacing w:after="0"/>
              <w:rPr>
                <w:sz w:val="20"/>
                <w:szCs w:val="20"/>
                <w:color w:val="auto"/>
              </w:rPr>
            </w:pPr>
            <w:r>
              <w:rPr>
                <w:rFonts w:ascii="Arial" w:cs="Arial" w:eastAsia="Arial" w:hAnsi="Arial"/>
                <w:sz w:val="13"/>
                <w:szCs w:val="13"/>
                <w:b w:val="1"/>
                <w:bCs w:val="1"/>
                <w:color w:val="auto"/>
                <w:w w:val="94"/>
              </w:rPr>
              <w:t>(State or other jurisdiction of</w:t>
            </w:r>
          </w:p>
        </w:tc>
        <w:tc>
          <w:tcPr>
            <w:tcW w:w="3340" w:type="dxa"/>
            <w:vAlign w:val="bottom"/>
          </w:tcPr>
          <w:p>
            <w:pPr>
              <w:jc w:val="center"/>
              <w:ind w:left="1951"/>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760" w:type="dxa"/>
            <w:vAlign w:val="bottom"/>
          </w:tcPr>
          <w:p>
            <w:pPr>
              <w:jc w:val="center"/>
              <w:ind w:right="1931"/>
              <w:spacing w:after="0"/>
              <w:rPr>
                <w:sz w:val="20"/>
                <w:szCs w:val="20"/>
                <w:color w:val="auto"/>
              </w:rPr>
            </w:pPr>
            <w:r>
              <w:rPr>
                <w:rFonts w:ascii="Arial" w:cs="Arial" w:eastAsia="Arial" w:hAnsi="Arial"/>
                <w:sz w:val="13"/>
                <w:szCs w:val="13"/>
                <w:b w:val="1"/>
                <w:bCs w:val="1"/>
                <w:color w:val="auto"/>
                <w:w w:val="94"/>
              </w:rPr>
              <w:t>incorporation or organization)</w:t>
            </w:r>
          </w:p>
        </w:tc>
        <w:tc>
          <w:tcPr>
            <w:tcW w:w="3340" w:type="dxa"/>
            <w:vAlign w:val="bottom"/>
          </w:tcPr>
          <w:p>
            <w:pPr>
              <w:jc w:val="center"/>
              <w:ind w:left="1931"/>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 Research Way</w:t>
      </w:r>
    </w:p>
    <w:p>
      <w:pPr>
        <w:jc w:val="center"/>
        <w:ind w:right="-119"/>
        <w:spacing w:after="0" w:line="226" w:lineRule="auto"/>
        <w:rPr>
          <w:sz w:val="20"/>
          <w:szCs w:val="20"/>
          <w:color w:val="auto"/>
        </w:rPr>
      </w:pPr>
      <w:r>
        <w:rPr>
          <w:rFonts w:ascii="Arial" w:cs="Arial" w:eastAsia="Arial" w:hAnsi="Arial"/>
          <w:sz w:val="14"/>
          <w:szCs w:val="14"/>
          <w:b w:val="1"/>
          <w:bCs w:val="1"/>
          <w:color w:val="auto"/>
        </w:rPr>
        <w:t>Princeton, New Jersey 08536</w:t>
      </w:r>
    </w:p>
    <w:p>
      <w:pPr>
        <w:jc w:val="center"/>
        <w:ind w:right="-119"/>
        <w:spacing w:after="0" w:line="233" w:lineRule="auto"/>
        <w:rPr>
          <w:sz w:val="20"/>
          <w:szCs w:val="20"/>
          <w:color w:val="auto"/>
        </w:rPr>
      </w:pPr>
      <w:r>
        <w:rPr>
          <w:rFonts w:ascii="Arial" w:cs="Arial" w:eastAsia="Arial" w:hAnsi="Arial"/>
          <w:sz w:val="14"/>
          <w:szCs w:val="14"/>
          <w:b w:val="1"/>
          <w:bCs w:val="1"/>
          <w:color w:val="auto"/>
        </w:rPr>
        <w:t>(609) 642-6670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David H. Mack, Ph.D.</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1 Research Way</w:t>
      </w:r>
    </w:p>
    <w:p>
      <w:pPr>
        <w:jc w:val="center"/>
        <w:ind w:right="-119"/>
        <w:spacing w:after="0" w:line="222" w:lineRule="auto"/>
        <w:rPr>
          <w:sz w:val="20"/>
          <w:szCs w:val="20"/>
          <w:color w:val="auto"/>
        </w:rPr>
      </w:pPr>
      <w:r>
        <w:rPr>
          <w:rFonts w:ascii="Arial" w:cs="Arial" w:eastAsia="Arial" w:hAnsi="Arial"/>
          <w:sz w:val="14"/>
          <w:szCs w:val="14"/>
          <w:b w:val="1"/>
          <w:bCs w:val="1"/>
          <w:color w:val="auto"/>
        </w:rPr>
        <w:t>Princeton, New Jersey 08536</w:t>
      </w:r>
    </w:p>
    <w:p>
      <w:pPr>
        <w:jc w:val="center"/>
        <w:ind w:right="-119"/>
        <w:spacing w:after="0" w:line="233" w:lineRule="auto"/>
        <w:rPr>
          <w:sz w:val="20"/>
          <w:szCs w:val="20"/>
          <w:color w:val="auto"/>
        </w:rPr>
      </w:pPr>
      <w:r>
        <w:rPr>
          <w:rFonts w:ascii="Arial" w:cs="Arial" w:eastAsia="Arial" w:hAnsi="Arial"/>
          <w:sz w:val="14"/>
          <w:szCs w:val="14"/>
          <w:b w:val="1"/>
          <w:bCs w:val="1"/>
          <w:color w:val="auto"/>
        </w:rPr>
        <w:t>(609) 642-6670</w:t>
      </w: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tbl>
      <w:tblPr>
        <w:tblLayout w:type="fixed"/>
        <w:tblInd w:w="1820" w:type="dxa"/>
        <w:tblCellMar>
          <w:top w:w="0" w:type="dxa"/>
          <w:left w:w="0" w:type="dxa"/>
          <w:bottom w:w="0" w:type="dxa"/>
          <w:right w:w="0" w:type="dxa"/>
        </w:tblCellMar>
      </w:tblPr>
      <w:tr>
        <w:trPr>
          <w:trHeight w:val="182"/>
        </w:trPr>
        <w:tc>
          <w:tcPr>
            <w:tcW w:w="2820" w:type="dxa"/>
            <w:vAlign w:val="bottom"/>
          </w:tcPr>
          <w:p>
            <w:pPr>
              <w:spacing w:after="0"/>
              <w:rPr>
                <w:sz w:val="15"/>
                <w:szCs w:val="15"/>
                <w:color w:val="auto"/>
              </w:rPr>
            </w:pPr>
          </w:p>
        </w:tc>
        <w:tc>
          <w:tcPr>
            <w:tcW w:w="4700" w:type="dxa"/>
            <w:vAlign w:val="bottom"/>
          </w:tcPr>
          <w:p>
            <w:pPr>
              <w:ind w:left="68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2820" w:type="dxa"/>
            <w:vAlign w:val="bottom"/>
          </w:tcPr>
          <w:p>
            <w:pPr>
              <w:jc w:val="center"/>
              <w:ind w:right="608"/>
              <w:spacing w:after="0"/>
              <w:rPr>
                <w:sz w:val="20"/>
                <w:szCs w:val="20"/>
                <w:color w:val="auto"/>
              </w:rPr>
            </w:pPr>
            <w:r>
              <w:rPr>
                <w:rFonts w:ascii="Arial" w:cs="Arial" w:eastAsia="Arial" w:hAnsi="Arial"/>
                <w:sz w:val="14"/>
                <w:szCs w:val="14"/>
                <w:b w:val="1"/>
                <w:bCs w:val="1"/>
                <w:color w:val="auto"/>
                <w:w w:val="97"/>
              </w:rPr>
              <w:t>Kenneth A. Clark</w:t>
            </w:r>
          </w:p>
        </w:tc>
        <w:tc>
          <w:tcPr>
            <w:tcW w:w="4700" w:type="dxa"/>
            <w:vAlign w:val="bottom"/>
          </w:tcPr>
          <w:p>
            <w:pPr>
              <w:jc w:val="center"/>
              <w:ind w:left="2868"/>
              <w:spacing w:after="0"/>
              <w:rPr>
                <w:sz w:val="20"/>
                <w:szCs w:val="20"/>
                <w:color w:val="auto"/>
              </w:rPr>
            </w:pPr>
            <w:r>
              <w:rPr>
                <w:rFonts w:ascii="Arial" w:cs="Arial" w:eastAsia="Arial" w:hAnsi="Arial"/>
                <w:sz w:val="14"/>
                <w:szCs w:val="14"/>
                <w:b w:val="1"/>
                <w:bCs w:val="1"/>
                <w:color w:val="auto"/>
                <w:w w:val="92"/>
              </w:rPr>
              <w:t>Winston Kung</w:t>
            </w:r>
          </w:p>
        </w:tc>
      </w:tr>
      <w:tr>
        <w:trPr>
          <w:trHeight w:val="148"/>
        </w:trPr>
        <w:tc>
          <w:tcPr>
            <w:tcW w:w="282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1"/>
              </w:rPr>
              <w:t>Tony Jeffries</w:t>
            </w:r>
          </w:p>
        </w:tc>
        <w:tc>
          <w:tcPr>
            <w:tcW w:w="47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6"/>
              </w:rPr>
              <w:t>Chief Operating Officer and</w:t>
            </w:r>
          </w:p>
        </w:tc>
      </w:tr>
      <w:tr>
        <w:trPr>
          <w:trHeight w:val="148"/>
        </w:trPr>
        <w:tc>
          <w:tcPr>
            <w:tcW w:w="282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5"/>
              </w:rPr>
              <w:t>Megan J. Baier</w:t>
            </w:r>
          </w:p>
        </w:tc>
        <w:tc>
          <w:tcPr>
            <w:tcW w:w="47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6"/>
              </w:rPr>
              <w:t>Chief Financial Officer</w:t>
            </w:r>
          </w:p>
        </w:tc>
      </w:tr>
      <w:tr>
        <w:trPr>
          <w:trHeight w:val="149"/>
        </w:trPr>
        <w:tc>
          <w:tcPr>
            <w:tcW w:w="282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3"/>
              </w:rPr>
              <w:t>Wilson Sonsini Goodrich &amp; Rosati,</w:t>
            </w:r>
          </w:p>
        </w:tc>
        <w:tc>
          <w:tcPr>
            <w:tcW w:w="47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4"/>
              </w:rPr>
              <w:t>PMV Pharmaceuticals, Inc.</w:t>
            </w:r>
          </w:p>
        </w:tc>
      </w:tr>
      <w:tr>
        <w:trPr>
          <w:trHeight w:val="148"/>
        </w:trPr>
        <w:tc>
          <w:tcPr>
            <w:tcW w:w="282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2"/>
              </w:rPr>
              <w:t>Professional Corporation</w:t>
            </w:r>
          </w:p>
        </w:tc>
        <w:tc>
          <w:tcPr>
            <w:tcW w:w="47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3"/>
              </w:rPr>
              <w:t>1 Research Way</w:t>
            </w:r>
          </w:p>
        </w:tc>
      </w:tr>
      <w:tr>
        <w:trPr>
          <w:trHeight w:val="149"/>
        </w:trPr>
        <w:tc>
          <w:tcPr>
            <w:tcW w:w="282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4"/>
              </w:rPr>
              <w:t>650 Page Mill Road</w:t>
            </w:r>
          </w:p>
        </w:tc>
        <w:tc>
          <w:tcPr>
            <w:tcW w:w="47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1"/>
              </w:rPr>
              <w:t>Princeton, New Jersey 08536</w:t>
            </w:r>
          </w:p>
        </w:tc>
      </w:tr>
      <w:tr>
        <w:trPr>
          <w:trHeight w:val="148"/>
        </w:trPr>
        <w:tc>
          <w:tcPr>
            <w:tcW w:w="282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470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3"/>
              </w:rPr>
              <w:t>(609) 642-6670</w:t>
            </w:r>
          </w:p>
        </w:tc>
      </w:tr>
      <w:tr>
        <w:trPr>
          <w:trHeight w:val="186"/>
        </w:trPr>
        <w:tc>
          <w:tcPr>
            <w:tcW w:w="2820" w:type="dxa"/>
            <w:vAlign w:val="bottom"/>
          </w:tcPr>
          <w:p>
            <w:pPr>
              <w:jc w:val="center"/>
              <w:ind w:right="608"/>
              <w:spacing w:after="0"/>
              <w:rPr>
                <w:sz w:val="20"/>
                <w:szCs w:val="20"/>
                <w:color w:val="auto"/>
              </w:rPr>
            </w:pPr>
            <w:r>
              <w:rPr>
                <w:rFonts w:ascii="Arial" w:cs="Arial" w:eastAsia="Arial" w:hAnsi="Arial"/>
                <w:sz w:val="14"/>
                <w:szCs w:val="14"/>
                <w:b w:val="1"/>
                <w:bCs w:val="1"/>
                <w:color w:val="auto"/>
                <w:w w:val="93"/>
              </w:rPr>
              <w:t>(650) 493-9300</w:t>
            </w:r>
          </w:p>
        </w:tc>
        <w:tc>
          <w:tcPr>
            <w:tcW w:w="4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73" w:lineRule="exact"/>
        <w:rPr>
          <w:sz w:val="24"/>
          <w:szCs w:val="24"/>
          <w:color w:val="auto"/>
        </w:rPr>
      </w:pPr>
    </w:p>
    <w:p>
      <w:pPr>
        <w:ind w:left="3760"/>
        <w:spacing w:after="0"/>
        <w:rPr>
          <w:sz w:val="20"/>
          <w:szCs w:val="20"/>
          <w:color w:val="auto"/>
        </w:rPr>
      </w:pPr>
      <w:r>
        <w:rPr>
          <w:rFonts w:ascii="Arial" w:cs="Arial" w:eastAsia="Arial" w:hAnsi="Arial"/>
          <w:sz w:val="14"/>
          <w:szCs w:val="14"/>
          <w:color w:val="auto"/>
        </w:rPr>
        <w:t>From time to time after the effective date of this Registration Statement.</w:t>
      </w:r>
    </w:p>
    <w:p>
      <w:pPr>
        <w:spacing w:after="0" w:line="41"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6" w:lineRule="exact"/>
        <w:rPr>
          <w:sz w:val="24"/>
          <w:szCs w:val="24"/>
          <w:color w:val="auto"/>
        </w:rPr>
      </w:pPr>
    </w:p>
    <w:p>
      <w:pPr>
        <w:ind w:left="120" w:right="30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Securities and Exchange Commission, or the Commission, pursuant to Rule 462(e) under the Securities Act,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8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0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4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left="120" w:right="28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Post-Effective Amendment No. 1 to the Registration Statement on Form S-3ASR (File No. 333-260012), or Post-Effective Amendment No. 1, of PMV Pharmaceuticals, Inc., or the Company, was filed because the Company expected that it would no longer be a “well-known seasoned issuer” (as such term is defined in Rule 405 of the Securities Act of 1933, as amended) when it filed its Annual Report on Form 10-K for the fiscal year ended December 31, 2022. Accordingly, the Company filed Post-Effective Amendment No. 1 for the purpose of including disclosure required for a registrant other than a well-known seasoned issuer, identifying the securities being registered, registering a specific amount of securities and paying the associated filing fee. This Post-Effective Amendment No. 2 to the Registration on Form S-3, or Post-Effective Amendment No. 2, is being filed using EDGAR submission type POS AM in order to convert the Registration Statement to the proper EDGAR submission type for a non-automatic shelf registration statement.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Post-Effective Amendment No. 2 contains:</w:t>
      </w:r>
    </w:p>
    <w:p>
      <w:pPr>
        <w:spacing w:after="0" w:line="131" w:lineRule="exact"/>
        <w:rPr>
          <w:sz w:val="20"/>
          <w:szCs w:val="20"/>
          <w:color w:val="auto"/>
        </w:rPr>
      </w:pPr>
    </w:p>
    <w:p>
      <w:pPr>
        <w:ind w:left="1080" w:right="3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prospectus, which covers the offering, sale and issuance by us of up to $200 million of our common stock, preferred stock, debt securities, warrants, subscription rights, purchase contracts and units; and</w:t>
      </w:r>
    </w:p>
    <w:p>
      <w:pPr>
        <w:spacing w:after="0" w:line="75" w:lineRule="exact"/>
        <w:rPr>
          <w:rFonts w:ascii="Arial" w:cs="Arial" w:eastAsia="Arial" w:hAnsi="Arial"/>
          <w:sz w:val="18"/>
          <w:szCs w:val="18"/>
          <w:color w:val="auto"/>
        </w:rPr>
      </w:pPr>
    </w:p>
    <w:p>
      <w:pPr>
        <w:ind w:left="1080" w:right="280" w:hanging="424"/>
        <w:spacing w:after="0" w:line="222"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sales agreement prospectus supplement covering the offering, issuance and sale by us of up to a maximum aggregate offering price of $150.0 million of our common stock that may be issued and sold from time to time under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with Jefferies LLC, or Jefferies.</w:t>
      </w:r>
    </w:p>
    <w:p>
      <w:pPr>
        <w:spacing w:after="0" w:line="205" w:lineRule="exact"/>
        <w:rPr>
          <w:sz w:val="20"/>
          <w:szCs w:val="20"/>
          <w:color w:val="auto"/>
        </w:rPr>
      </w:pPr>
    </w:p>
    <w:p>
      <w:pPr>
        <w:ind w:left="120"/>
        <w:spacing w:after="0" w:line="215" w:lineRule="auto"/>
        <w:rPr>
          <w:sz w:val="20"/>
          <w:szCs w:val="20"/>
          <w:color w:val="auto"/>
        </w:rPr>
      </w:pPr>
      <w:r>
        <w:rPr>
          <w:rFonts w:ascii="Arial" w:cs="Arial" w:eastAsia="Arial" w:hAnsi="Arial"/>
          <w:sz w:val="18"/>
          <w:szCs w:val="18"/>
          <w:color w:val="auto"/>
        </w:rPr>
        <w:t>The base prospectus immediately follows this explanatory note. The sales agreement prospectus supplement immediately follows the base prospectus. Upon termination of the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with Jefferies, any amounts included in the sales agreement prospectus supplement that remain unsold will be available for sale in other offerings pursuant to the base prospectus, and if no shares are sold under the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with Jefferies, the full amount of this registration statement may be sold in other offerings pursuant to the base prospectus and a corresponding prospectus supplement.</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March 1,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171450</wp:posOffset>
            </wp:positionV>
            <wp:extent cx="340296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PMV Pharmaceuticals, Inc.</w:t>
      </w:r>
    </w:p>
    <w:p>
      <w:pPr>
        <w:spacing w:after="0" w:line="241"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$200,000,000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securities covered by this prospectus may be sold by PMV Pharmaceuticals, Inc. from time to time. This prospectus provides you with a general description of the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securities from time to time in one or more offerings, in amounts, at prices and on terms determined at the time of offering, of up to $200,000,000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common stock is listed on The Nasdaq Global Select Market, or Nasdaq, under the symbol “PMVP.” On February 24, 2023, the last reported sale price of our common stock was $7.16 per share.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40"/>
        <w:spacing w:after="0" w:line="251" w:lineRule="auto"/>
        <w:rPr>
          <w:sz w:val="20"/>
          <w:szCs w:val="20"/>
          <w:color w:val="auto"/>
        </w:rPr>
      </w:pPr>
      <w:r>
        <w:rPr>
          <w:rFonts w:ascii="Arial" w:cs="Arial" w:eastAsia="Arial" w:hAnsi="Arial"/>
          <w:sz w:val="21"/>
          <w:szCs w:val="21"/>
          <w:b w:val="1"/>
          <w:bCs w:val="1"/>
          <w:color w:val="auto"/>
        </w:rPr>
        <w:t>INVESTING IN OUR SECURITIES INVOLVES A HIGH DEGREE OF RISK. PLEASE CAREFULLY READ THE INFORMATION UNDER THE HEADINGS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xml:space="preserve"> ” BEGINNING ON PAGE 4 OF THIS PROSPECTUS AND ANY SIMILAR SECTION CONTAINED IN THE APPLICABLE PROSPECTUS SUPPLEMENT AND “ITEM 1A – RISK FACTORS” OF OUR MOST RECENT REPORT ON FORM 10-K OR 10-Q THAT IS INCORPORATED BY REFERENCE IN THIS PROSPECTUS BEFORE YOU INVEST IN OUR SECURITIES.</w:t>
      </w:r>
    </w:p>
    <w:p>
      <w:pPr>
        <w:spacing w:after="0" w:line="177"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960"/>
        <w:spacing w:after="0"/>
        <w:tabs>
          <w:tab w:leader="none" w:pos="67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2023.</w:t>
      </w:r>
    </w:p>
    <w:p>
      <w:pPr>
        <w:sectPr>
          <w:pgSz w:w="11900" w:h="16838" w:orient="portrait"/>
          <w:cols w:equalWidth="0" w:num="1">
            <w:col w:w="11100"/>
          </w:cols>
          <w:pgMar w:left="320" w:top="459"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3"/>
          </w:tcPr>
          <w:p>
            <w:pPr>
              <w:ind w:left="3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620" w:type="dxa"/>
            <w:vAlign w:val="bottom"/>
            <w:gridSpan w:val="8"/>
            <w:vMerge w:val="restart"/>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8"/>
            <w:vMerge w:val="continue"/>
          </w:tcPr>
          <w:p>
            <w:pPr>
              <w:spacing w:after="0"/>
              <w:rPr>
                <w:sz w:val="13"/>
                <w:szCs w:val="13"/>
                <w:color w:val="auto"/>
              </w:rPr>
            </w:pPr>
          </w:p>
        </w:tc>
        <w:tc>
          <w:tcPr>
            <w:tcW w:w="2620" w:type="dxa"/>
            <w:vAlign w:val="bottom"/>
            <w:gridSpan w:val="8"/>
            <w:vMerge w:val="continue"/>
          </w:tcPr>
          <w:p>
            <w:pPr>
              <w:spacing w:after="0"/>
              <w:rPr>
                <w:sz w:val="13"/>
                <w:szCs w:val="13"/>
                <w:color w:val="auto"/>
              </w:rPr>
            </w:pPr>
          </w:p>
        </w:tc>
        <w:tc>
          <w:tcPr>
            <w:tcW w:w="64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0" w:type="dxa"/>
            <w:vAlign w:val="bottom"/>
            <w:gridSpan w:val="16"/>
          </w:tcPr>
          <w:p>
            <w:pPr>
              <w:spacing w:after="0"/>
              <w:rPr>
                <w:sz w:val="20"/>
                <w:szCs w:val="20"/>
                <w:color w:val="auto"/>
              </w:rPr>
            </w:pPr>
            <w:r>
              <w:rPr>
                <w:rFonts w:ascii="Arial" w:cs="Arial" w:eastAsia="Arial" w:hAnsi="Arial"/>
                <w:sz w:val="18"/>
                <w:szCs w:val="18"/>
                <w:color w:val="0000EE"/>
              </w:rPr>
              <w:t>Prospectus Summary</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Risk Factors</w:t>
            </w:r>
          </w:p>
        </w:tc>
        <w:tc>
          <w:tcPr>
            <w:tcW w:w="2680" w:type="dxa"/>
            <w:vAlign w:val="bottom"/>
            <w:gridSpan w:val="9"/>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320" w:type="dxa"/>
            <w:vAlign w:val="bottom"/>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Arial" w:cs="Arial" w:eastAsia="Arial" w:hAnsi="Arial"/>
                <w:sz w:val="18"/>
                <w:szCs w:val="18"/>
                <w:color w:val="0000EE"/>
              </w:rPr>
              <w:t>Use of Proceeds</w:t>
            </w: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2020" w:type="dxa"/>
            <w:vAlign w:val="bottom"/>
            <w:gridSpan w:val="5"/>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Arial" w:cs="Arial" w:eastAsia="Arial" w:hAnsi="Arial"/>
                <w:sz w:val="18"/>
                <w:szCs w:val="18"/>
                <w:color w:val="0000EE"/>
              </w:rPr>
              <w:t>Description of Warrants</w:t>
            </w: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Description of Subscription Rights</w:t>
            </w:r>
          </w:p>
        </w:tc>
        <w:tc>
          <w:tcPr>
            <w:tcW w:w="1700" w:type="dxa"/>
            <w:vAlign w:val="bottom"/>
            <w:gridSpan w:val="3"/>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89"/>
              </w:rPr>
              <w:t>Description of Purchase Contracts</w:t>
            </w:r>
          </w:p>
        </w:tc>
        <w:tc>
          <w:tcPr>
            <w:tcW w:w="1740" w:type="dxa"/>
            <w:vAlign w:val="bottom"/>
            <w:gridSpan w:val="4"/>
          </w:tcPr>
          <w:p>
            <w:pPr>
              <w:spacing w:after="0"/>
              <w:rPr>
                <w:sz w:val="17"/>
                <w:szCs w:val="17"/>
                <w:color w:val="auto"/>
              </w:rPr>
            </w:pPr>
          </w:p>
        </w:tc>
        <w:tc>
          <w:tcPr>
            <w:tcW w:w="67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200" w:type="dxa"/>
            <w:vAlign w:val="bottom"/>
            <w:gridSpan w:val="16"/>
          </w:tcPr>
          <w:p>
            <w:pPr>
              <w:spacing w:after="0"/>
              <w:rPr>
                <w:sz w:val="20"/>
                <w:szCs w:val="20"/>
                <w:color w:val="auto"/>
              </w:rPr>
            </w:pPr>
            <w:r>
              <w:rPr>
                <w:rFonts w:ascii="Arial" w:cs="Arial" w:eastAsia="Arial" w:hAnsi="Arial"/>
                <w:sz w:val="18"/>
                <w:szCs w:val="18"/>
                <w:color w:val="0000EE"/>
              </w:rPr>
              <w:t>Description of Units</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740" w:type="dxa"/>
            <w:vAlign w:val="bottom"/>
            <w:gridSpan w:val="10"/>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2780" w:type="dxa"/>
            <w:vAlign w:val="bottom"/>
            <w:gridSpan w:val="11"/>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3200" w:type="dxa"/>
            <w:vAlign w:val="bottom"/>
            <w:gridSpan w:val="13"/>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Incorporation by Reference</w:t>
            </w:r>
          </w:p>
        </w:tc>
        <w:tc>
          <w:tcPr>
            <w:tcW w:w="820" w:type="dxa"/>
            <w:vAlign w:val="bottom"/>
            <w:tcBorders>
              <w:top w:val="single" w:sz="8" w:color="0000EE"/>
            </w:tcBorders>
            <w:gridSpan w:val="4"/>
          </w:tcPr>
          <w:p>
            <w:pPr>
              <w:spacing w:after="0"/>
              <w:rPr>
                <w:sz w:val="17"/>
                <w:szCs w:val="17"/>
                <w:color w:val="auto"/>
              </w:rPr>
            </w:pPr>
          </w:p>
        </w:tc>
        <w:tc>
          <w:tcPr>
            <w:tcW w:w="1340" w:type="dxa"/>
            <w:vAlign w:val="bottom"/>
            <w:gridSpan w:val="2"/>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$200,000,000.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Incorporation by Reference</w:t>
      </w:r>
      <w:r>
        <w:rPr>
          <w:rFonts w:ascii="Arial" w:cs="Arial" w:eastAsia="Arial" w:hAnsi="Arial"/>
          <w:sz w:val="16"/>
          <w:szCs w:val="16"/>
          <w:color w:val="auto"/>
        </w:rPr>
        <w:t>.”</w:t>
      </w:r>
    </w:p>
    <w:p>
      <w:pPr>
        <w:spacing w:after="0" w:line="17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9"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continue to utilize our platform to target other p53-related cancers.</w:t>
      </w:r>
    </w:p>
    <w:p>
      <w:pPr>
        <w:spacing w:after="0" w:line="181" w:lineRule="exact"/>
        <w:rPr>
          <w:sz w:val="20"/>
          <w:szCs w:val="20"/>
          <w:color w:val="auto"/>
        </w:rPr>
      </w:pPr>
    </w:p>
    <w:p>
      <w:pPr>
        <w:ind w:left="300" w:firstLine="426"/>
        <w:spacing w:after="0" w:line="276" w:lineRule="auto"/>
        <w:rPr>
          <w:sz w:val="20"/>
          <w:szCs w:val="20"/>
          <w:color w:val="auto"/>
        </w:rPr>
      </w:pPr>
      <w:r>
        <w:rPr>
          <w:rFonts w:ascii="Arial" w:cs="Arial" w:eastAsia="Arial" w:hAnsi="Arial"/>
          <w:sz w:val="16"/>
          <w:szCs w:val="16"/>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FDA, Fast Track designation of PC14586 for the treatment of patients with locally advanced or metastatic solid tumors that have a p53 Y220C mutation. We presented our preliminary Phase 1 clinical data in June 2022 and we continue to enroll patients in this trial. In December 2022, we opened a separate arm within the existing Phase 1/2 clinical trial combining PC14586 with KEYTRUDA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(pembrolizumab) in collaboration with Merck and Co. In addition, we are leveraging our precision oncology platform to develop a pipeline of oral small molecule product candidates that structurally correct other p53 hotspot mutations to restore their wild-type function and product candidates that target other p53-related cancers.</w:t>
      </w:r>
    </w:p>
    <w:p>
      <w:pPr>
        <w:spacing w:after="0" w:line="176"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50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7050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31" w:lineRule="exact"/>
        <w:rPr>
          <w:sz w:val="20"/>
          <w:szCs w:val="20"/>
          <w:color w:val="auto"/>
        </w:rPr>
      </w:pPr>
    </w:p>
    <w:p>
      <w:pPr>
        <w:ind w:left="1240" w:right="5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drugging individual mutations as well as targeting other p53-related cancers;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design on a structural basis selective, oral small molecule product candidates; and</w:t>
      </w:r>
    </w:p>
    <w:p>
      <w:pPr>
        <w:spacing w:after="0" w:line="130" w:lineRule="exact"/>
        <w:rPr>
          <w:rFonts w:ascii="Arial" w:cs="Arial" w:eastAsia="Arial" w:hAnsi="Arial"/>
          <w:sz w:val="18"/>
          <w:szCs w:val="18"/>
          <w:color w:val="auto"/>
        </w:rPr>
      </w:pPr>
    </w:p>
    <w:p>
      <w:pPr>
        <w:ind w:left="1240" w:right="560" w:hanging="415"/>
        <w:spacing w:after="0" w:line="308"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assays, screens, preclinical model systems and biomarkers that enable us to assess and optimize orally available selective small molecule drug product candidates for specific p53 mutants, and for inhibitors of wild-type p53 function.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79" w:lineRule="auto"/>
        <w:rPr>
          <w:sz w:val="20"/>
          <w:szCs w:val="20"/>
          <w:color w:val="auto"/>
        </w:rPr>
      </w:pPr>
      <w:r>
        <w:rPr>
          <w:rFonts w:ascii="Arial" w:cs="Arial" w:eastAsia="Arial" w:hAnsi="Arial"/>
          <w:sz w:val="17"/>
          <w:szCs w:val="17"/>
          <w:color w:val="auto"/>
        </w:rPr>
        <w:t>We were incorporated in Delaware in March 2013 under the name “PJ Pharmaceuticals, Inc.” In July 2013, we changed our name to “PMV Pharmaceuticals, Inc.” Our principal executive offices are located at 1 Research Way, Princeton, New Jersey 08536.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may offer or sell common stock, preferred stock, debt securities, warrants, subscription rights, purchase contracts and units in one or more offerings and in any combination for an aggregate offering amount of up to $200,000,000.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w:t>
      </w:r>
      <w:r>
        <w:rPr>
          <w:rFonts w:ascii="Arial" w:cs="Arial" w:eastAsia="Arial" w:hAnsi="Arial"/>
          <w:sz w:val="18"/>
          <w:szCs w:val="18"/>
          <w:i w:val="1"/>
          <w:iCs w:val="1"/>
          <w:color w:val="auto"/>
        </w:rPr>
        <w:t>Plan of Distribution</w:t>
      </w:r>
      <w:r>
        <w:rPr>
          <w:rFonts w:ascii="Arial" w:cs="Arial" w:eastAsia="Arial" w:hAnsi="Arial"/>
          <w:sz w:val="18"/>
          <w:szCs w:val="18"/>
          <w:color w:val="auto"/>
        </w:rPr>
        <w: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color w:val="auto"/>
        </w:rPr>
        <w:t>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63" w:lineRule="auto"/>
        <w:rPr>
          <w:sz w:val="20"/>
          <w:szCs w:val="20"/>
          <w:color w:val="auto"/>
        </w:rPr>
      </w:pPr>
      <w:r>
        <w:rPr>
          <w:rFonts w:ascii="Arial" w:cs="Arial" w:eastAsia="Arial" w:hAnsi="Arial"/>
          <w:sz w:val="18"/>
          <w:szCs w:val="18"/>
          <w:color w:val="auto"/>
        </w:rPr>
        <w:t>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4" w:lineRule="exact"/>
        <w:rPr>
          <w:sz w:val="20"/>
          <w:szCs w:val="20"/>
          <w:color w:val="auto"/>
        </w:rPr>
      </w:pPr>
    </w:p>
    <w:p>
      <w:pPr>
        <w:jc w:val="both"/>
        <w:ind w:left="300" w:right="260" w:firstLine="426"/>
        <w:spacing w:after="0" w:line="311" w:lineRule="auto"/>
        <w:rPr>
          <w:sz w:val="20"/>
          <w:szCs w:val="20"/>
          <w:color w:val="auto"/>
        </w:rPr>
      </w:pPr>
      <w:r>
        <w:rPr>
          <w:rFonts w:ascii="Arial" w:cs="Arial" w:eastAsia="Arial" w:hAnsi="Arial"/>
          <w:sz w:val="16"/>
          <w:szCs w:val="16"/>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may offer warrants for the purchase of common stock, preferred stock or debt securities. We may offer warrants independently or together with other securities.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Subscription Rights</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Units</w:t>
      </w:r>
    </w:p>
    <w:p>
      <w:pPr>
        <w:spacing w:after="0" w:line="117"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right="240" w:firstLine="426"/>
        <w:spacing w:after="0" w:line="255" w:lineRule="auto"/>
        <w:rPr>
          <w:sz w:val="20"/>
          <w:szCs w:val="20"/>
          <w:color w:val="auto"/>
        </w:rPr>
      </w:pPr>
      <w:r>
        <w:rPr>
          <w:rFonts w:ascii="Arial" w:cs="Arial" w:eastAsia="Arial" w:hAnsi="Arial"/>
          <w:sz w:val="18"/>
          <w:szCs w:val="18"/>
          <w:color w:val="auto"/>
        </w:rPr>
        <w:t>We are a “smaller reporting company” as defined in Rule 12b-2 promulgated under the Exchange Act. We may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To the extent that we take advantage of these reduced burdens, the information that we provide stockholders may be different than you might obtain from other public companies in which you hold equity interests.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w:t>
      </w:r>
      <w:r>
        <w:rPr>
          <w:rFonts w:ascii="Arial" w:cs="Arial" w:eastAsia="Arial" w:hAnsi="Arial"/>
          <w:sz w:val="16"/>
          <w:szCs w:val="16"/>
          <w:i w:val="1"/>
          <w:iCs w:val="1"/>
          <w:color w:val="auto"/>
        </w:rPr>
        <w:t>Risk Factors</w:t>
      </w:r>
      <w:r>
        <w:rPr>
          <w:rFonts w:ascii="Arial" w:cs="Arial" w:eastAsia="Arial" w:hAnsi="Arial"/>
          <w:sz w:val="16"/>
          <w:szCs w:val="16"/>
          <w:color w:val="auto"/>
        </w:rPr>
        <w:t>,” together with all of the other information contained or incorporated by reference in the prospectus supplement or appearing or incorporated by reference in this prospectus. You should also consider the risks, uncertainties and assumptions discussed under “</w:t>
      </w:r>
      <w:r>
        <w:rPr>
          <w:rFonts w:ascii="Arial" w:cs="Arial" w:eastAsia="Arial" w:hAnsi="Arial"/>
          <w:sz w:val="16"/>
          <w:szCs w:val="16"/>
          <w:i w:val="1"/>
          <w:iCs w:val="1"/>
          <w:color w:val="auto"/>
        </w:rPr>
        <w:t>Part I—Item 1A—Risk Factors</w:t>
      </w:r>
      <w:r>
        <w:rPr>
          <w:rFonts w:ascii="Arial" w:cs="Arial" w:eastAsia="Arial" w:hAnsi="Arial"/>
          <w:sz w:val="16"/>
          <w:szCs w:val="16"/>
          <w:color w:val="auto"/>
        </w:rPr>
        <w:t>” of our most recent Annual Report on Form 10-K and in “</w:t>
      </w:r>
      <w:r>
        <w:rPr>
          <w:rFonts w:ascii="Arial" w:cs="Arial" w:eastAsia="Arial" w:hAnsi="Arial"/>
          <w:sz w:val="16"/>
          <w:szCs w:val="16"/>
          <w:i w:val="1"/>
          <w:iCs w:val="1"/>
          <w:color w:val="auto"/>
        </w:rPr>
        <w:t>Part II—Item 1A—Risk Factors</w:t>
      </w:r>
      <w:r>
        <w:rPr>
          <w:rFonts w:ascii="Arial" w:cs="Arial" w:eastAsia="Arial" w:hAnsi="Arial"/>
          <w:sz w:val="16"/>
          <w:szCs w:val="16"/>
          <w:color w:val="auto"/>
        </w:rPr>
        <w:t>”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contain certain statements that constitute “forward-looking statements” within the meaning of Section 27A of the Securities Act and Section 21E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Exchange Act of 1934, as amended, or the Exchange Act. The words “believe,” “may,” “will,” “estimate,” “continue,” “anticipate,” “intend,”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“expect,” “could,” “would,” “project,” “plan,” “potentially,” “likely,” and similar expressions and variations thereof are intended to identify forward-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looking statements, but are not the exclusive means of identifying such statements. Those statements appear in this prospectus, any accompanying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prospectus supplement and the documents incorporated herein and therein by reference, particularly in the sections captioned “</w:t>
      </w:r>
      <w:r>
        <w:rPr>
          <w:rFonts w:ascii="Arial" w:cs="Arial" w:eastAsia="Arial" w:hAnsi="Arial"/>
          <w:sz w:val="17"/>
          <w:szCs w:val="17"/>
          <w:i w:val="1"/>
          <w:iCs w:val="1"/>
          <w:color w:val="auto"/>
        </w:rPr>
        <w:t>Risk Factors</w:t>
      </w:r>
      <w:r>
        <w:rPr>
          <w:rFonts w:ascii="Arial" w:cs="Arial" w:eastAsia="Arial" w:hAnsi="Arial"/>
          <w:sz w:val="17"/>
          <w:szCs w:val="17"/>
          <w:color w:val="auto"/>
        </w:rPr>
        <w:t>”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include statements regarding the intent, belief or current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expectations of our management that are subject to known and unknown risks, uncertainties and assumptions. You are cautioned that any such forward-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looking statements are not guarantees of future performance and involve risks and uncertainties, and that actual results may differ materially from those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projected in the forward-looking statements as a result of various factors.</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preferred stock we may issue will be fully paid and nonassessable upon issuance.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holders of our common stock are entitled to certain registration rights pursuant to our investors’ rights agreement, as amended. Holders of such shares of our common stock have the right to require us to register the offer and sale of their shares or to include their shares in any registration statement we file, in each case as described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Certain holders of shares of our common stock are entitled to certain demand registration rights. At any time beginning after 180 days following the date of our initial public offering,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Certain holders of shares of our common stock are entitled to certain Form S-3 registration rights.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holders of shares of our common stock are entitled to certain “piggyback” registration rights. If we propose to register the offer and sale of shares of our common stock under the Securities Act, all holders of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pay all expenses relating to any demand registrations, Form S-3 registrations and piggyback registrations, subject to specified exceptions.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registration rights terminate upon the earliest of (i) September 29, 2025, (ii) immediately prior to the completion of certain liquidation events and (iii) as to a given holder of registration rights, the date after the closing of our initial public offering when such holder of registration rights can sell all of such holder’s registrable securities during any 90-day period pursuant to Rule 144 promulgated under the Securities Act.</w:t>
      </w:r>
    </w:p>
    <w:p>
      <w:pPr>
        <w:spacing w:after="0" w:line="269"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a meeting of stockholders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amended and restated bylaws provide that, unless we consent to the selection of an alternative forum, the Court of Chancery of the State of Delaware shall be the sole and exclusive forum for any derivative action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“PMVP.”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0"/>
          </w:cols>
          <w:pgMar w:left="320" w:top="459" w:right="8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any applicable prospectus supplement or in the indenture with respect to the debt securities and any change in the acceleration provisions described in this prospectus, any applicable prospectus supplement or in the indenture with respect to the debt securities;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any applicable prospectus supplement or in the indenture with respect to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40" w:hanging="424"/>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320" w:firstLine="96"/>
        <w:spacing w:after="0" w:line="623" w:lineRule="auto"/>
        <w:tabs>
          <w:tab w:leader="none" w:pos="1092" w:val="left"/>
        </w:tabs>
        <w:numPr>
          <w:ilvl w:val="0"/>
          <w:numId w:val="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applicable prospectus supplement relating to any series of debt securities that are discount securities for the particular provisions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relating to acceleration of a portion of the principal amount of such discount securities upon the occurrence of an Event of Default.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right="4900"/>
        <w:spacing w:after="0" w:line="378" w:lineRule="auto"/>
        <w:rPr>
          <w:sz w:val="20"/>
          <w:szCs w:val="20"/>
          <w:color w:val="auto"/>
        </w:rPr>
      </w:pPr>
      <w:r>
        <w:rPr>
          <w:rFonts w:ascii="Arial" w:cs="Arial" w:eastAsia="Arial" w:hAnsi="Arial"/>
          <w:sz w:val="18"/>
          <w:szCs w:val="18"/>
          <w:b w:val="1"/>
          <w:bCs w:val="1"/>
          <w:color w:val="auto"/>
        </w:rPr>
        <w:t xml:space="preserve">Defeasance of Debt Securities and Certain Covenants in Certain Circumstances </w:t>
      </w:r>
      <w:r>
        <w:rPr>
          <w:rFonts w:ascii="Arial" w:cs="Arial" w:eastAsia="Arial" w:hAnsi="Arial"/>
          <w:sz w:val="18"/>
          <w:szCs w:val="18"/>
          <w:b w:val="1"/>
          <w:bCs w:val="1"/>
          <w:i w:val="1"/>
          <w:iCs w:val="1"/>
          <w:color w:val="auto"/>
        </w:rPr>
        <w:t>Legal Defeasance</w:t>
      </w:r>
    </w:p>
    <w:p>
      <w:pPr>
        <w:ind w:left="12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73"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1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requirement for us to make periodic payments to holders or vice versa, and whether the payments are unsecured or pre-funded;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engage in at the market offerings into an existing trading market in accordance with Rule 415(a)(4) of the Securities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underwriters and other persons acting as agents will not have any responsibility in respect of the validity or performance of delayed delivery contracts.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validity of the securities offered hereby on behalf of PMV Pharmaceuticals, Inc. will be passed upon for us by Wilson Sonsini Goodrich &amp; Rosati, Professional Corporation, Palo Alto, California.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financial statements of PMV Pharmaceuticals, Inc. appearing in PMV Pharmaceuticals, Inc.’s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 given 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such form that are related to such information), until the offering of the securities under the registration statement of which this prospectus forms a part is terminated or completed:</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Annual Report on Form </w:t>
      </w:r>
      <w:hyperlink r:id="rId57">
        <w:r>
          <w:rPr>
            <w:rFonts w:ascii="Arial" w:cs="Arial" w:eastAsia="Arial" w:hAnsi="Arial"/>
            <w:sz w:val="18"/>
            <w:szCs w:val="18"/>
            <w:u w:val="single" w:color="auto"/>
            <w:color w:val="0000EE"/>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1, 2023;</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portions of our Definitive Proxy Statement on Schedule 14A (other than information furnished rather than filed) that are incorporated by reference into our Annual Report on Form 10-K for the year ended December 31, 2021, filed with the SEC on </w:t>
      </w:r>
      <w:hyperlink r:id="rId58">
        <w:r>
          <w:rPr>
            <w:rFonts w:ascii="Arial" w:cs="Arial" w:eastAsia="Arial" w:hAnsi="Arial"/>
            <w:sz w:val="16"/>
            <w:szCs w:val="16"/>
            <w:u w:val="single" w:color="auto"/>
            <w:color w:val="0000EE"/>
          </w:rPr>
          <w:t>April 22, 2022</w:t>
        </w:r>
      </w:hyperlink>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relating thereto, filed on </w:t>
      </w:r>
      <w:hyperlink r:id="rId59">
        <w:r>
          <w:rPr>
            <w:rFonts w:ascii="Arial" w:cs="Arial" w:eastAsia="Arial" w:hAnsi="Arial"/>
            <w:sz w:val="18"/>
            <w:szCs w:val="18"/>
            <w:u w:val="single" w:color="auto"/>
            <w:color w:val="0000EE"/>
          </w:rPr>
          <w:t>September 21, 2020</w:t>
        </w:r>
      </w:hyperlink>
      <w:r>
        <w:rPr>
          <w:rFonts w:ascii="Arial" w:cs="Arial" w:eastAsia="Arial" w:hAnsi="Arial"/>
          <w:sz w:val="18"/>
          <w:szCs w:val="18"/>
          <w:color w:val="auto"/>
        </w:rPr>
        <w:t xml:space="preserve">, as updated by the description of our common stock contained in </w:t>
      </w:r>
      <w:hyperlink r:id="rId60">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Form 10-K for the fiscal year ended December 31, 2020, filed with the SEC on </w:t>
      </w:r>
      <w:hyperlink r:id="rId61">
        <w:r>
          <w:rPr>
            <w:rFonts w:ascii="Arial" w:cs="Arial" w:eastAsia="Arial" w:hAnsi="Arial"/>
            <w:sz w:val="18"/>
            <w:szCs w:val="18"/>
            <w:u w:val="single" w:color="auto"/>
            <w:color w:val="0000EE"/>
          </w:rPr>
          <w:t>March 3, 2021</w:t>
        </w:r>
      </w:hyperlink>
      <w:r>
        <w:rPr>
          <w:rFonts w:ascii="Arial" w:cs="Arial" w:eastAsia="Arial" w:hAnsi="Arial"/>
          <w:sz w:val="18"/>
          <w:szCs w:val="18"/>
          <w:color w:val="auto"/>
        </w:rPr>
        <w:t>, including any amendment or report filed for the purpose of updating such description.</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PMV Pharmaceuticals,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 Research Way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Princeton, New Jersey 08536</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642-6670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485775</wp:posOffset>
            </wp:positionV>
            <wp:extent cx="3402965" cy="685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00"/>
        <w:spacing w:after="0"/>
        <w:rPr>
          <w:sz w:val="20"/>
          <w:szCs w:val="20"/>
          <w:color w:val="auto"/>
        </w:rPr>
      </w:pPr>
      <w:r>
        <w:rPr>
          <w:rFonts w:ascii="Arial" w:cs="Arial" w:eastAsia="Arial" w:hAnsi="Arial"/>
          <w:sz w:val="40"/>
          <w:szCs w:val="40"/>
          <w:b w:val="1"/>
          <w:bCs w:val="1"/>
          <w:color w:val="auto"/>
        </w:rPr>
        <w:t>PMV Pharmaceuticals, Inc.</w:t>
      </w:r>
    </w:p>
    <w:p>
      <w:pPr>
        <w:spacing w:after="0" w:line="200" w:lineRule="exact"/>
        <w:rPr>
          <w:sz w:val="20"/>
          <w:szCs w:val="20"/>
          <w:color w:val="auto"/>
        </w:rPr>
      </w:pPr>
    </w:p>
    <w:p>
      <w:pPr>
        <w:spacing w:after="0" w:line="274" w:lineRule="exact"/>
        <w:rPr>
          <w:sz w:val="20"/>
          <w:szCs w:val="20"/>
          <w:color w:val="auto"/>
        </w:rPr>
      </w:pPr>
    </w:p>
    <w:p>
      <w:pPr>
        <w:ind w:left="4300"/>
        <w:spacing w:after="0"/>
        <w:rPr>
          <w:sz w:val="20"/>
          <w:szCs w:val="20"/>
          <w:color w:val="auto"/>
        </w:rPr>
      </w:pPr>
      <w:r>
        <w:rPr>
          <w:rFonts w:ascii="Arial" w:cs="Arial" w:eastAsia="Arial" w:hAnsi="Arial"/>
          <w:sz w:val="32"/>
          <w:szCs w:val="32"/>
          <w:b w:val="1"/>
          <w:bCs w:val="1"/>
          <w:color w:val="auto"/>
        </w:rPr>
        <w:t>Up to $200,000,000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611505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353695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2657475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2726055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March 1,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171450</wp:posOffset>
            </wp:positionV>
            <wp:extent cx="3402965" cy="685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Up to $150,000,000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7"/>
          <w:szCs w:val="17"/>
          <w:color w:val="auto"/>
        </w:rPr>
        <w:t>We previously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or sales agreement, with Jefferies LLC, or Jefferies, relating to shares of our common stock offered by this prospectus supplement. In accordance with the terms of the sales agreement, we may offer and sell shares of our common stock having an aggregate offering price of up to $150.0 million from time to time to or through Jefferies as our sales agent. We originally filed a prospectus supplement, dated October 4, 2021, or the Prior ATM Prospectus Supplement, for the offer and sale of up to $150.0 million of shares of our common stock, from time to time through Jefferies, acting as our sales agent, pursuant to the sales agreement under the automatic shelf registration statement on Form S-3ASR (Registration Statement No. 333-260012). As of the date of this prospectus, we have not issued and sold any shares of our common stock pursuant to the sales agreement and the Prior ATM Prospectus Supplement. The common stock remaining available to be sold under the Prior ATM Prospectus Supplement as of the date of this prospectus will no longer be offered and sold under the Prior ATM Prospectus Supplement, but will instead be offered and sold under this prospectus. Accordingly, we may offer and shell shares of our common stock having an aggregate offering price of up to $150.0 million.</w:t>
      </w:r>
    </w:p>
    <w:p>
      <w:pPr>
        <w:spacing w:after="0" w:line="19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“PMVP.” On February 24, 2023, the last reported sale price of our common stock was $7.16 per share.</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Sales of our common stock, if any, under this prospectus supplement may be made in sales deemed to be “at the market offerings” as defined in Rule 415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5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compensation to Jefferies for sales of common stock sold pursuant to the sales agreement will be equal to 3.0% of the gross proceeds of any shares of common stock sold under the sales agreement. See “Plan of Distribution” beginning on page S-12 for additional information regarding Jefferies’ compensation.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460"/>
        <w:spacing w:after="0" w:line="237" w:lineRule="auto"/>
        <w:rPr>
          <w:sz w:val="20"/>
          <w:szCs w:val="20"/>
          <w:color w:val="auto"/>
        </w:rPr>
      </w:pPr>
      <w:r>
        <w:rPr>
          <w:rFonts w:ascii="Arial" w:cs="Arial" w:eastAsia="Arial" w:hAnsi="Arial"/>
          <w:sz w:val="22"/>
          <w:szCs w:val="22"/>
          <w:b w:val="1"/>
          <w:bCs w:val="1"/>
          <w:color w:val="auto"/>
        </w:rPr>
        <w:t>INVESTING IN OUR COMMON STOCK INVOLVES SIGNIFICANT RISKS. YOU SHOULD REVIEW CAREFULLY THE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S-5 OF THIS PROSPECTUS SUPPLEMENT, AND IN THE ACCOMPANYING PROSPECTUS AND IN THE DOCUMENTS INCORPORATED BY REFERENCE IN THIS PROSPECTUS SUPPLEMENT THAT WE FILE WITH THE SECURITIES AND EXCHANGE COMMISSION BEFORE INVESTING IN OUR COMMON STOCK.</w:t>
      </w:r>
    </w:p>
    <w:p>
      <w:pPr>
        <w:spacing w:after="0" w:line="191"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Jefferies</w:t>
      </w:r>
    </w:p>
    <w:p>
      <w:pPr>
        <w:sectPr>
          <w:pgSz w:w="11900" w:h="16838" w:orient="portrait"/>
          <w:cols w:equalWidth="0" w:num="1">
            <w:col w:w="11100"/>
          </w:cols>
          <w:pgMar w:left="320" w:top="459" w:right="479" w:bottom="1440" w:gutter="0" w:footer="0" w:header="0"/>
        </w:sectPr>
      </w:pPr>
    </w:p>
    <w:p>
      <w:pPr>
        <w:spacing w:after="0" w:line="215" w:lineRule="exact"/>
        <w:rPr>
          <w:sz w:val="20"/>
          <w:szCs w:val="20"/>
          <w:color w:val="auto"/>
        </w:rPr>
      </w:pPr>
    </w:p>
    <w:p>
      <w:pPr>
        <w:ind w:left="3520"/>
        <w:spacing w:after="0"/>
        <w:tabs>
          <w:tab w:leader="none" w:pos="726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5"/>
          <w:szCs w:val="15"/>
          <w:b w:val="1"/>
          <w:bCs w:val="1"/>
          <w:color w:val="auto"/>
        </w:rPr>
        <w:t>, 2023</w:t>
      </w:r>
    </w:p>
    <w:p>
      <w:pPr>
        <w:sectPr>
          <w:pgSz w:w="11900" w:h="16838" w:orient="portrait"/>
          <w:cols w:equalWidth="0" w:num="1">
            <w:col w:w="11100"/>
          </w:cols>
          <w:pgMar w:left="320" w:top="459" w:right="4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60" w:type="dxa"/>
            <w:vAlign w:val="bottom"/>
            <w:gridSpan w:val="2"/>
          </w:tcPr>
          <w:p>
            <w:pPr>
              <w:jc w:val="right"/>
              <w:ind w:right="441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vMerge w:val="restart"/>
          </w:tcPr>
          <w:p>
            <w:pPr>
              <w:jc w:val="right"/>
              <w:ind w:right="409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2480" w:type="dxa"/>
            <w:vAlign w:val="bottom"/>
            <w:gridSpan w:val="9"/>
            <w:vMerge w:val="restart"/>
          </w:tcPr>
          <w:p>
            <w:pPr>
              <w:spacing w:after="0"/>
              <w:rPr>
                <w:sz w:val="20"/>
                <w:szCs w:val="20"/>
                <w:color w:val="auto"/>
              </w:rPr>
            </w:pPr>
            <w:r>
              <w:rPr>
                <w:rFonts w:ascii="Arial" w:cs="Arial" w:eastAsia="Arial" w:hAnsi="Arial"/>
                <w:sz w:val="18"/>
                <w:szCs w:val="18"/>
                <w:color w:val="0000EE"/>
                <w:w w:val="89"/>
              </w:rPr>
              <w:t>About this Prospectus Supplement</w:t>
            </w:r>
          </w:p>
        </w:tc>
        <w:tc>
          <w:tcPr>
            <w:tcW w:w="1720" w:type="dxa"/>
            <w:vAlign w:val="bottom"/>
            <w:gridSpan w:val="3"/>
            <w:vMerge w:val="restart"/>
          </w:tcPr>
          <w:p>
            <w:pPr>
              <w:spacing w:after="0"/>
              <w:rPr>
                <w:sz w:val="17"/>
                <w:szCs w:val="17"/>
                <w:color w:val="auto"/>
              </w:rPr>
            </w:pPr>
          </w:p>
        </w:tc>
        <w:tc>
          <w:tcPr>
            <w:tcW w:w="6360" w:type="dxa"/>
            <w:vAlign w:val="bottom"/>
            <w:vMerge w:val="continue"/>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0000EE"/>
            </w:tcBorders>
            <w:gridSpan w:val="9"/>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63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1780" w:type="dxa"/>
            <w:vAlign w:val="bottom"/>
            <w:gridSpan w:val="4"/>
          </w:tcPr>
          <w:p>
            <w:pPr>
              <w:spacing w:after="0"/>
              <w:rPr>
                <w:sz w:val="17"/>
                <w:szCs w:val="17"/>
                <w:color w:val="auto"/>
              </w:rPr>
            </w:pP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3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Arial" w:cs="Arial" w:eastAsia="Arial" w:hAnsi="Arial"/>
                <w:sz w:val="18"/>
                <w:szCs w:val="18"/>
                <w:color w:val="0000EE"/>
              </w:rPr>
              <w:t>Use of Proceeds</w:t>
            </w: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Dilution</w:t>
            </w:r>
          </w:p>
        </w:tc>
        <w:tc>
          <w:tcPr>
            <w:tcW w:w="560" w:type="dxa"/>
            <w:vAlign w:val="bottom"/>
            <w:tcBorders>
              <w:top w:val="single" w:sz="8" w:color="0000EE"/>
            </w:tcBorders>
            <w:gridSpan w:val="3"/>
          </w:tcPr>
          <w:p>
            <w:pPr>
              <w:spacing w:after="0"/>
              <w:rPr>
                <w:sz w:val="17"/>
                <w:szCs w:val="17"/>
                <w:color w:val="auto"/>
              </w:rPr>
            </w:pPr>
          </w:p>
        </w:tc>
        <w:tc>
          <w:tcPr>
            <w:tcW w:w="3040" w:type="dxa"/>
            <w:vAlign w:val="bottom"/>
            <w:gridSpan w:val="7"/>
          </w:tcPr>
          <w:p>
            <w:pPr>
              <w:spacing w:after="0"/>
              <w:rPr>
                <w:sz w:val="17"/>
                <w:szCs w:val="17"/>
                <w:color w:val="auto"/>
              </w:rPr>
            </w:pP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Arial" w:cs="Arial" w:eastAsia="Arial" w:hAnsi="Arial"/>
                <w:sz w:val="18"/>
                <w:szCs w:val="18"/>
                <w:color w:val="0000EE"/>
              </w:rPr>
              <w:t>Plan of Distribution</w:t>
            </w: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2780" w:type="dxa"/>
            <w:vAlign w:val="bottom"/>
            <w:gridSpan w:val="6"/>
          </w:tcPr>
          <w:p>
            <w:pPr>
              <w:spacing w:after="0"/>
              <w:rPr>
                <w:sz w:val="17"/>
                <w:szCs w:val="17"/>
                <w:color w:val="auto"/>
              </w:rPr>
            </w:pP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200" w:type="dxa"/>
            <w:vAlign w:val="bottom"/>
            <w:gridSpan w:val="8"/>
          </w:tcPr>
          <w:p>
            <w:pPr>
              <w:spacing w:after="0"/>
              <w:rPr>
                <w:sz w:val="17"/>
                <w:szCs w:val="17"/>
                <w:color w:val="auto"/>
              </w:rPr>
            </w:pP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Incorporation by Reference</w:t>
            </w:r>
          </w:p>
        </w:tc>
        <w:tc>
          <w:tcPr>
            <w:tcW w:w="880" w:type="dxa"/>
            <w:vAlign w:val="bottom"/>
            <w:tcBorders>
              <w:top w:val="single" w:sz="8" w:color="0000EE"/>
            </w:tcBorders>
            <w:gridSpan w:val="3"/>
          </w:tcPr>
          <w:p>
            <w:pPr>
              <w:spacing w:after="0"/>
              <w:rPr>
                <w:sz w:val="17"/>
                <w:szCs w:val="17"/>
                <w:color w:val="auto"/>
              </w:rPr>
            </w:pPr>
          </w:p>
        </w:tc>
        <w:tc>
          <w:tcPr>
            <w:tcW w:w="1340" w:type="dxa"/>
            <w:vAlign w:val="bottom"/>
            <w:gridSpan w:val="2"/>
          </w:tcPr>
          <w:p>
            <w:pPr>
              <w:spacing w:after="0"/>
              <w:rPr>
                <w:sz w:val="17"/>
                <w:szCs w:val="17"/>
                <w:color w:val="auto"/>
              </w:rPr>
            </w:pPr>
          </w:p>
        </w:tc>
        <w:tc>
          <w:tcPr>
            <w:tcW w:w="63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supplement relates to the offering of our common stock. Before buying any of the common stock that we are offering, we urge you to carefully read this prospectus supplement, the accompanying prospectus, any free writing prospectus that we have authorized for use in connection with this offering, and the information incorporated by reference as described under the headings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by Reference</w:t>
      </w:r>
      <w:r>
        <w:rPr>
          <w:rFonts w:ascii="Arial" w:cs="Arial" w:eastAsia="Arial" w:hAnsi="Arial"/>
          <w:sz w:val="18"/>
          <w:szCs w:val="18"/>
          <w:color w:val="auto"/>
        </w:rPr>
        <w:t>” in this prospectus supplement. These documents contain important information that you should consider when making your investment decision. Generally, when we refer to this “prospectus,” we are referring to the prospectus supplement and the accompanying prospectus combined.</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supplement describes the terms of this offering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9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not, and Jefferies has not, authorized anyone to provide you with information different than or inconsistent with the information contained in or incorporated by reference into this prospectus supplement or in any free writing prospectus that we have authorized for use in connection with this offering. We and Jefferies take no responsibility for, and can provide no assurance as to the reliability of, any other information that others may give you. We are not, and Jefferies is not, making an offer to sell these securities in any jurisdiction where the offer or sale is not permitted. You should assume that the information appearing in this prospectus supplement and the documents incorporated by reference into this prospectus supplement,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documents incorporated by reference into this prospectus supplement, and any free writing prospectus that we have authorized for use in connection with this offering, in their entirety before making an investment decision. You should also read and consider the information in the documents to which we have referred you to in the section of this prospectus supplement titled “</w:t>
      </w:r>
      <w:r>
        <w:rPr>
          <w:rFonts w:ascii="Arial" w:cs="Arial" w:eastAsia="Arial" w:hAnsi="Arial"/>
          <w:sz w:val="17"/>
          <w:szCs w:val="17"/>
          <w:i w:val="1"/>
          <w:iCs w:val="1"/>
          <w:color w:val="auto"/>
        </w:rPr>
        <w:t>Incorporation by Reference</w:t>
      </w:r>
      <w:r>
        <w:rPr>
          <w:rFonts w:ascii="Arial" w:cs="Arial" w:eastAsia="Arial" w:hAnsi="Arial"/>
          <w:sz w:val="17"/>
          <w:szCs w:val="17"/>
          <w:color w:val="auto"/>
        </w:rPr>
        <w:t>.”</w:t>
      </w:r>
    </w:p>
    <w:p>
      <w:pPr>
        <w:spacing w:after="0" w:line="182"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71" w:lineRule="auto"/>
        <w:rPr>
          <w:sz w:val="20"/>
          <w:szCs w:val="20"/>
          <w:color w:val="auto"/>
        </w:rPr>
      </w:pPr>
      <w:r>
        <w:rPr>
          <w:rFonts w:ascii="Arial" w:cs="Arial" w:eastAsia="Arial" w:hAnsi="Arial"/>
          <w:sz w:val="17"/>
          <w:szCs w:val="17"/>
          <w:i w:val="1"/>
          <w:iCs w:val="1"/>
          <w:color w:val="auto"/>
        </w:rPr>
        <w:t>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under the headings “Where You Can Find More Information” and “Incorporation by Reference” herein and therein. In particular, you should carefully consider the risks and uncertainties described under the heading “Risk Factors” in this prospectus supplement and in the accompanying prospectus, as well as those contained in the other documents incorporated by reference and any related free writing prospectus. As used in this prospectus supplement, unless the context otherwise requires, references to “we,” “us,” “our,” “our company,” and “PMV” refer to PMV Pharmaceuticals, Inc.</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continue to utilize our platform to target other p53-related cancers.</w:t>
      </w:r>
    </w:p>
    <w:p>
      <w:pPr>
        <w:spacing w:after="0" w:line="181" w:lineRule="exact"/>
        <w:rPr>
          <w:sz w:val="20"/>
          <w:szCs w:val="20"/>
          <w:color w:val="auto"/>
        </w:rPr>
      </w:pPr>
    </w:p>
    <w:p>
      <w:pPr>
        <w:ind w:left="300" w:firstLine="426"/>
        <w:spacing w:after="0" w:line="276" w:lineRule="auto"/>
        <w:rPr>
          <w:sz w:val="20"/>
          <w:szCs w:val="20"/>
          <w:color w:val="auto"/>
        </w:rPr>
      </w:pPr>
      <w:r>
        <w:rPr>
          <w:rFonts w:ascii="Arial" w:cs="Arial" w:eastAsia="Arial" w:hAnsi="Arial"/>
          <w:sz w:val="16"/>
          <w:szCs w:val="16"/>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FDA, Fast Track designation of PC14586 for the treatment of patients with locally advanced or metastatic solid tumors that have a p53 Y220C mutation. We presented our preliminary Phase 1 clinical data in June 2022 and we continue to enroll patients in this trial. In December 2022, we opened a separate arm within the existing Phase 1/2 clinical trial combining PC14586 with KEYTRUDA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(pembrolizumab) in collaboration with Merck and Co. In addition, we are leveraging our precision oncology platform to develop a pipeline of oral small molecule product candidates that structurally correct other p53 hotspot mutations to restore their wild-type function and product candidates that target other p53-related cancers.</w:t>
      </w:r>
    </w:p>
    <w:p>
      <w:pPr>
        <w:spacing w:after="0" w:line="176"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6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998970" cy="3964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31" w:lineRule="exact"/>
        <w:rPr>
          <w:sz w:val="20"/>
          <w:szCs w:val="20"/>
          <w:color w:val="auto"/>
        </w:rPr>
      </w:pPr>
    </w:p>
    <w:p>
      <w:pPr>
        <w:ind w:left="1240" w:right="540" w:hanging="415"/>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drugging individual mutations as well as targeting other p53-related cancers;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design on a structural basis selective, oral small molecule product candidates; and</w:t>
      </w:r>
    </w:p>
    <w:p>
      <w:pPr>
        <w:spacing w:after="0" w:line="130" w:lineRule="exact"/>
        <w:rPr>
          <w:rFonts w:ascii="Arial" w:cs="Arial" w:eastAsia="Arial" w:hAnsi="Arial"/>
          <w:sz w:val="18"/>
          <w:szCs w:val="18"/>
          <w:color w:val="auto"/>
        </w:rPr>
      </w:pPr>
    </w:p>
    <w:p>
      <w:pPr>
        <w:ind w:left="1240" w:right="520" w:hanging="415"/>
        <w:spacing w:after="0" w:line="308"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assays, screens, preclinical model systems and biomarkers that enable us to assess and optimize orally available selective small molecule drug product candidates for specific p53 mutants, and for inhibitors of wild-type p53 function.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We were incorporated in Delaware in March 2013 under the name “PJ Pharmaceuticals, Inc.” In July 2013, we changed our name to “PMV Pharmaceuticals, Inc.” Our principal executive offices are located at 1 Research Way, Princeton, New Jersey 08536. Our telephone number is (609) 642-6670. Our website address is www.pmvpharma.com. Information contained on, or that can be accessible through, our website is not a part of this prospectus supplement and the inclusion of our website address in this prospectus supplement is an inactive textual reference only.</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right="200" w:firstLine="426"/>
        <w:spacing w:after="0" w:line="255" w:lineRule="auto"/>
        <w:rPr>
          <w:sz w:val="20"/>
          <w:szCs w:val="20"/>
          <w:color w:val="auto"/>
        </w:rPr>
      </w:pPr>
      <w:r>
        <w:rPr>
          <w:rFonts w:ascii="Arial" w:cs="Arial" w:eastAsia="Arial" w:hAnsi="Arial"/>
          <w:sz w:val="18"/>
          <w:szCs w:val="18"/>
          <w:color w:val="auto"/>
        </w:rPr>
        <w:t>We are a “smaller reporting company” as defined in Rule 12b-2 promulgated under the Exchange Act. We may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To the extent that we take advantage of these reduced burdens, the information that we provide stockholders may be different than you might obtain from other public companies in which you hold equity interests.</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00"/>
          </w:cols>
          <w:pgMar w:left="320" w:top="459" w:right="6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760"/>
          </w:cols>
          <w:pgMar w:left="320" w:top="459" w:right="81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$150.0 million.</w:t>
      </w:r>
    </w:p>
    <w:p>
      <w:pPr>
        <w:spacing w:after="0" w:line="200" w:lineRule="exact"/>
        <w:rPr>
          <w:sz w:val="20"/>
          <w:szCs w:val="20"/>
          <w:color w:val="auto"/>
        </w:rPr>
      </w:pPr>
    </w:p>
    <w:p>
      <w:pPr>
        <w:sectPr>
          <w:pgSz w:w="11900" w:h="16838" w:orient="portrait"/>
          <w:cols w:equalWidth="0" w:num="2">
            <w:col w:w="3620" w:space="720"/>
            <w:col w:w="6420"/>
          </w:cols>
          <w:pgMar w:left="320" w:top="459" w:right="81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Up to 66,721,052 shares, assuming the sale of 20,949,720 shares of our common stock in this offering at an offering price of $7.16 per share, which was the closing price of our common stock on the Nasdaq Global Select Market on February 24, 2023. The actual number of shares issued will vary depending on the sales price under this offering.</w:t>
      </w:r>
    </w:p>
    <w:p>
      <w:pPr>
        <w:spacing w:after="0" w:line="184" w:lineRule="exact"/>
        <w:rPr>
          <w:sz w:val="20"/>
          <w:szCs w:val="20"/>
          <w:color w:val="auto"/>
        </w:rPr>
      </w:pPr>
    </w:p>
    <w:p>
      <w:pPr>
        <w:sectPr>
          <w:pgSz w:w="11900" w:h="16838" w:orient="portrait"/>
          <w:cols w:equalWidth="0" w:num="2">
            <w:col w:w="3740" w:space="600"/>
            <w:col w:w="6420"/>
          </w:cols>
          <w:pgMar w:left="320" w:top="459" w:right="81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Plan of Distribution</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Jefferies.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on page S-12.</w:t>
      </w:r>
    </w:p>
    <w:p>
      <w:pPr>
        <w:spacing w:after="0" w:line="197" w:lineRule="exact"/>
        <w:rPr>
          <w:sz w:val="20"/>
          <w:szCs w:val="20"/>
          <w:color w:val="auto"/>
        </w:rPr>
      </w:pPr>
    </w:p>
    <w:p>
      <w:pPr>
        <w:sectPr>
          <w:pgSz w:w="11900" w:h="16838" w:orient="portrait"/>
          <w:cols w:equalWidth="0" w:num="2">
            <w:col w:w="3620" w:space="720"/>
            <w:col w:w="6420"/>
          </w:cols>
          <w:pgMar w:left="320" w:top="459" w:right="81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short-term marketable securities, for general corporate purposes, which may include clinical trial and other research and development expenses, commercialization expenses, capital expenditures, working capital and general and administrative expenses, and potential acquisitions or investments in businesses, products and technologies that complement our business. See “</w:t>
      </w:r>
      <w:r>
        <w:rPr>
          <w:rFonts w:ascii="Arial" w:cs="Arial" w:eastAsia="Arial" w:hAnsi="Arial"/>
          <w:sz w:val="18"/>
          <w:szCs w:val="18"/>
          <w:i w:val="1"/>
          <w:iCs w:val="1"/>
          <w:color w:val="auto"/>
        </w:rPr>
        <w:t>Use of Proceeds</w:t>
      </w:r>
      <w:r>
        <w:rPr>
          <w:rFonts w:ascii="Arial" w:cs="Arial" w:eastAsia="Arial" w:hAnsi="Arial"/>
          <w:sz w:val="18"/>
          <w:szCs w:val="18"/>
          <w:color w:val="auto"/>
        </w:rPr>
        <w:t>” on page S-9.</w:t>
      </w:r>
    </w:p>
    <w:p>
      <w:pPr>
        <w:spacing w:after="0" w:line="200" w:lineRule="exact"/>
        <w:rPr>
          <w:sz w:val="20"/>
          <w:szCs w:val="20"/>
          <w:color w:val="auto"/>
        </w:rPr>
      </w:pPr>
    </w:p>
    <w:p>
      <w:pPr>
        <w:sectPr>
          <w:pgSz w:w="11900" w:h="16838" w:orient="portrait"/>
          <w:cols w:equalWidth="0" w:num="2">
            <w:col w:w="3620" w:space="720"/>
            <w:col w:w="6420"/>
          </w:cols>
          <w:pgMar w:left="320" w:top="459" w:right="819" w:bottom="1440" w:gutter="0" w:footer="0" w:header="0"/>
          <w:type w:val="continuous"/>
        </w:sectPr>
      </w:pP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Investing in our common stock involves significant risks. You should read the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section of this prospectus supplement and in the documents incorporated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this prospectus supplement and accompanying prospectus for a discussion of factors to consider before deciding to purchase shares of our common stock.</w:t>
      </w:r>
    </w:p>
    <w:p>
      <w:pPr>
        <w:spacing w:after="0" w:line="184" w:lineRule="exact"/>
        <w:rPr>
          <w:sz w:val="20"/>
          <w:szCs w:val="20"/>
          <w:color w:val="auto"/>
        </w:rPr>
      </w:pPr>
    </w:p>
    <w:p>
      <w:pPr>
        <w:sectPr>
          <w:pgSz w:w="11900" w:h="16838" w:orient="portrait"/>
          <w:cols w:equalWidth="0" w:num="2">
            <w:col w:w="3620" w:space="720"/>
            <w:col w:w="6420"/>
          </w:cols>
          <w:pgMar w:left="320" w:top="459" w:right="81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“PMVP”</w:t>
      </w:r>
    </w:p>
    <w:p>
      <w:pPr>
        <w:spacing w:after="0" w:line="200" w:lineRule="exact"/>
        <w:rPr>
          <w:sz w:val="20"/>
          <w:szCs w:val="20"/>
          <w:color w:val="auto"/>
        </w:rPr>
      </w:pPr>
    </w:p>
    <w:p>
      <w:pPr>
        <w:sectPr>
          <w:pgSz w:w="11900" w:h="16838" w:orient="portrait"/>
          <w:cols w:equalWidth="0" w:num="2">
            <w:col w:w="3620" w:space="720"/>
            <w:col w:w="6420"/>
          </w:cols>
          <w:pgMar w:left="320" w:top="459" w:right="819"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number of our shares of common stock outstanding after this offering is based on 45,771,332 shares of our common stock outstanding as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31, 2022, and excludes:</w:t>
      </w:r>
    </w:p>
    <w:p>
      <w:pPr>
        <w:spacing w:after="0" w:line="116" w:lineRule="exact"/>
        <w:rPr>
          <w:sz w:val="20"/>
          <w:szCs w:val="20"/>
          <w:color w:val="auto"/>
        </w:rPr>
      </w:pPr>
    </w:p>
    <w:p>
      <w:pPr>
        <w:ind w:left="124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5,278,771 shares of our common stock issuable upon the exercise of options outstanding as of December 31, 2022, with a weighted-average exercise price of $10.40 per share;</w:t>
      </w:r>
    </w:p>
    <w:p>
      <w:pPr>
        <w:spacing w:after="0" w:line="75"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50,000 shares of common stock issuable upon the exercise of options that we granted after December 31, 2022, with a weighted-average exercise price of $8.05 per share;</w:t>
      </w:r>
    </w:p>
    <w:p>
      <w:pPr>
        <w:spacing w:after="0" w:line="75" w:lineRule="exact"/>
        <w:rPr>
          <w:rFonts w:ascii="Arial" w:cs="Arial" w:eastAsia="Arial" w:hAnsi="Arial"/>
          <w:sz w:val="18"/>
          <w:szCs w:val="18"/>
          <w:color w:val="auto"/>
        </w:rPr>
      </w:pPr>
    </w:p>
    <w:p>
      <w:pPr>
        <w:ind w:left="1240" w:right="140" w:hanging="415"/>
        <w:spacing w:after="0" w:line="342" w:lineRule="auto"/>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4,618,292 shares of common stock reserved for future issuance under our 2020 Equity Incentive Plan as of December 31, 2022, as well as any automatic increases in the number of shares of our common stock reserved for future issuance under this plan; and</w:t>
      </w:r>
    </w:p>
    <w:p>
      <w:pPr>
        <w:spacing w:after="0" w:line="29" w:lineRule="exact"/>
        <w:rPr>
          <w:rFonts w:ascii="Arial" w:cs="Arial" w:eastAsia="Arial" w:hAnsi="Arial"/>
          <w:sz w:val="16"/>
          <w:szCs w:val="16"/>
          <w:color w:val="auto"/>
        </w:rPr>
      </w:pPr>
    </w:p>
    <w:p>
      <w:pPr>
        <w:ind w:left="1240" w:right="240" w:hanging="415"/>
        <w:spacing w:after="0" w:line="342" w:lineRule="auto"/>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705,559 shares of common stock reserved for future issuance under our 2020 Employee Stock Purchase Plan as of December 31, 2022, as well as any automatic increases in the number of our common stock reserved for future issuances under this plan.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Unless otherwise indicated, all information in this prospectus supplement assumes no exercise of outstanding options after December 31, 2022.</w:t>
      </w: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760"/>
          </w:cols>
          <w:pgMar w:left="320" w:top="459" w:right="8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Investing in our common stock involves a high degree of risk. Before making a decision to invest in our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Annual Report on Form 10-K for the fiscal year ended December 31, 2022 and in our subsequent quarterly reports on Form 10-Q and annual reports on Form 10-K, as updated by our subsequent filings under the Securities and Exchange Act of 1934, as amended,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titled “</w:t>
      </w:r>
      <w:r>
        <w:rPr>
          <w:rFonts w:ascii="Arial" w:cs="Arial" w:eastAsia="Arial" w:hAnsi="Arial"/>
          <w:sz w:val="16"/>
          <w:szCs w:val="16"/>
          <w:i w:val="1"/>
          <w:iCs w:val="1"/>
          <w:color w:val="auto"/>
        </w:rPr>
        <w:t>Use of Proceeds</w:t>
      </w:r>
      <w:r>
        <w:rPr>
          <w:rFonts w:ascii="Arial" w:cs="Arial" w:eastAsia="Arial" w:hAnsi="Arial"/>
          <w:sz w:val="16"/>
          <w:szCs w:val="16"/>
          <w:color w:val="auto"/>
        </w:rPr>
        <w:t>,”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 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net tangible book value of your shares.</w:t>
      </w:r>
    </w:p>
    <w:p>
      <w:pPr>
        <w:spacing w:after="0" w:line="15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offering price per share in this offering may exceed the net tangible book value per share of our common stock outstanding prior to this offering. Assuming that an aggregate of 20,949,720 shares of our common stock are sold at a price of $7.16 per share, the last reported sale price of our common stock on the Nasdaq Global Select Market on February 24, 2023, for aggregate gross proceeds of $150.0 million, and after deducting commissions and estimated offering expenses payable by us, you would experience immediate dilution of $1.30 per share, representing the difference between our as adjusted net tangible book value per share as of December 31, 2022 after giving effect to this offering and the assumed offering price. The exercise of outstanding stock options would result in further dilution of your investment. See the section titled “</w:t>
      </w:r>
      <w:r>
        <w:rPr>
          <w:rFonts w:ascii="Arial" w:cs="Arial" w:eastAsia="Arial" w:hAnsi="Arial"/>
          <w:sz w:val="18"/>
          <w:szCs w:val="18"/>
          <w:i w:val="1"/>
          <w:iCs w:val="1"/>
          <w:color w:val="auto"/>
        </w:rPr>
        <w:t>Dilution</w:t>
      </w:r>
      <w:r>
        <w:rPr>
          <w:rFonts w:ascii="Arial" w:cs="Arial" w:eastAsia="Arial" w:hAnsi="Arial"/>
          <w:sz w:val="18"/>
          <w:szCs w:val="18"/>
          <w:color w:val="auto"/>
        </w:rPr>
        <w:t>”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order to raise additional capital, we expect to in the future offer additional shares of common stock or other securities convertible into or exchangeable for our shares of common stock. We cannot assure you that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other securities convertible into or exchangeable for our shares of common stock in future transactions may be higher or lower than the price per share in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sales agreement in this offering, at any one time or in total, is uncertain.</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Jefferies at any time throughout the term of the offering under this prospectus supplement. The number of shares that are sold by Jefferies after delivering a placement notice will fluctuate based on the market price of the shares of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w:t>
      </w: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Future sales or issuances of our common stock in the public markets, or the perception of such sales, could depress the trading price of our common stock.</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is and may continue to be volatile and you may not be able to resell our securities at or above the price you paid.</w:t>
      </w:r>
    </w:p>
    <w:p>
      <w:pPr>
        <w:spacing w:after="0" w:line="1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common stock and could result in your being unable to resell the common stock that you purchase at a price equal to or above the price you paid.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This prospectus supplement and the accompany prospectus, including the documents incorporated or deemed to be incorporated by reference into this prospectus supplement and the accompanying prospectus, contain forward-looking statements. All statements other than statements of historical facts contained in this prospectus supplement,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supplement include, but are not limited to, statements about:</w:t>
      </w:r>
    </w:p>
    <w:p>
      <w:pPr>
        <w:spacing w:after="0" w:line="7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anticipated use of our existing cash, cash equivalents and short-term marketable securities and the proceeds from this offering;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clinical trials and investigational new drug applications, and other regulatory submissions;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 and</w:t>
      </w:r>
    </w:p>
    <w:p>
      <w:pPr>
        <w:spacing w:after="0" w:line="142" w:lineRule="exact"/>
        <w:rPr>
          <w:rFonts w:ascii="Arial" w:cs="Arial" w:eastAsia="Arial" w:hAnsi="Arial"/>
          <w:sz w:val="17"/>
          <w:szCs w:val="17"/>
          <w:color w:val="auto"/>
        </w:rPr>
      </w:pPr>
    </w:p>
    <w:p>
      <w:pPr>
        <w:ind w:left="1080" w:right="4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ongoing COVID-19 pandemic, geopolitical tensions such as the Ukraine-Russia war, macroeconomic events such as global supply chain challenges, elevated inflation and interest rates and monetary policy changes, or other related disruptions on our business.</w:t>
      </w:r>
    </w:p>
    <w:p>
      <w:pPr>
        <w:spacing w:after="0" w:line="184"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$150.0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intend to use any net proceeds from this offering for general corporate purposes, which may include clinical trial and other research and development expenses, commercialization expenses, capital expenditures, working capital and general and administrative expenses, and potential acquisitions of or investments in businesses, products and technologies that complement our business. While we have no current agreements, commitments or understandings for any specific acquisitions of or investments in businesses, products and technologies as of the date of this prospectus supplement, we may use a portion of the net proceeds for these purposes. The amounts and timing of our actual expenditures will depend on numerous factors, including our development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 of the U.S. government.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320" w:top="459" w:right="4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price per share of our common stock you pay in this offering and the as adjusted net tangible book value per share of our common stock immediately after this offering.</w:t>
      </w:r>
    </w:p>
    <w:p>
      <w:pPr>
        <w:spacing w:after="0" w:line="146"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net tangible book value as of December 31, 2022 was approximately $246.1 million, or $5.38 per share. Net tangible book value per share is determined by dividing our total tangible assets, less total liabilities, by the number of shares of our common stock outstanding as of December 31, 2022.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giving effect to the sale of our common stock in the aggregate amount of $150.0 million in this offering at an assumed offering price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$7.16, the last reported sale price of our common stock on the Nasdaq Global Select Market on February 24, 2023, and after deducting commissions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estimated aggregate offering expenses payable by us, our as adjusted net tangible book value as of December 31, 2022 would have been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$391.5 million, or $5.86 per share. This represents an immediate increase in net tangible book value of $0.48 per share to existing stockholders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immediate dilution in net tangible book value of $1.30 per share to new investors purchasing our common stock in this offering.</w:t>
      </w:r>
    </w:p>
    <w:p>
      <w:pPr>
        <w:spacing w:after="0" w:line="21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following table illustrates this dilution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5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December 31, 2022</w:t>
            </w:r>
          </w:p>
        </w:tc>
        <w:tc>
          <w:tcPr>
            <w:tcW w:w="1060" w:type="dxa"/>
            <w:vAlign w:val="bottom"/>
            <w:gridSpan w:val="3"/>
          </w:tcPr>
          <w:p>
            <w:pPr>
              <w:jc w:val="right"/>
              <w:ind w:right="270"/>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Increase in net tangible book value per share attributable to new investors</w:t>
            </w:r>
          </w:p>
        </w:tc>
        <w:tc>
          <w:tcPr>
            <w:tcW w:w="10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0.48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15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shares subject to the sales agreement with Jefferies are being sold from time to time at various prices. An increase of $1.00 per share in the price at which the shares are sold from the assumed offering price of $7.16 per share shown in the table above, assuming all of our common stock in the aggregate amount of $150.0 million during the term of the sales agreement with Jefferies is sold at that price, would increase our adjusted net tangible book value per share after the offering to $6.10 per share and would increase the dilution in net tangible book value per share to new investors in this offering to $2.06 per share, after deducting commissions and estimated offering expenses payable by us. A decrease of $1.00 per share in the price at which the shares are sold from the assumed offering price of $7.16 per share shown in the table above, assuming all of our common stock in the amount of $150.0 million during the term of the sales agreement with Jefferies is sold at that price, would decrease our adjusted net tangible book value per share after the offering to $5.58 per share and would decrease the dilution in net tangible book value per share to new investors in this offering to $0.58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foregoing table and calculations are based on 45,771,332 shares of our common stock outstanding as of December 31, 2022, and excludes:</w:t>
      </w:r>
    </w:p>
    <w:p>
      <w:pPr>
        <w:spacing w:after="0" w:line="154" w:lineRule="exact"/>
        <w:rPr>
          <w:sz w:val="20"/>
          <w:szCs w:val="20"/>
          <w:color w:val="auto"/>
        </w:rPr>
      </w:pPr>
    </w:p>
    <w:p>
      <w:pPr>
        <w:ind w:left="1080" w:right="4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5,278,771 shares of our common stock issuable upon the exercise of options outstanding as of December 31, 2022, with a weighted-average exercise price of $10.40 per share;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50,000 shares of common stock issuable upon the exercise of options that we granted after December 31, 2022, with a weighted-average exercise price of $8.05 per share;</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4,618,292 shares of common stock reserved for future issuance under our 2020 Equity Incentive Plan as of December 31, 2022, as well as any automatic increases in the number of shares of our common stock reserved for future issuance under this plan; and</w:t>
      </w:r>
    </w:p>
    <w:p>
      <w:pPr>
        <w:spacing w:after="0" w:line="51" w:lineRule="exact"/>
        <w:rPr>
          <w:rFonts w:ascii="Arial" w:cs="Arial" w:eastAsia="Arial" w:hAnsi="Arial"/>
          <w:sz w:val="17"/>
          <w:szCs w:val="17"/>
          <w:color w:val="auto"/>
        </w:rPr>
      </w:pPr>
    </w:p>
    <w:p>
      <w:pPr>
        <w:ind w:left="1080" w:hanging="424"/>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705,559 shares of common stock reserved for future issuance under our 2020 Employee Stock Purchase Plan as of December 31, 2022, as well as any automatic increases in the number of our common stock reserved for future issuances under this plan.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otherwise indicated, all information in this prospectus supplement assumes no exercise of outstanding options after December 31, 2022.</w:t>
      </w:r>
    </w:p>
    <w:p>
      <w:pPr>
        <w:spacing w:after="0" w:line="248"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To the extent that outstanding options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20"/>
          </w:cols>
          <w:pgMar w:left="320" w:top="459" w:right="5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previously entered into a sales agreement with Jefferies, under which we may offer and sell up to $150,000,000 of our shares of common stock from time to time through Jefferies acting as agent. The sales agreement has been incorporated by reference as an exhibit to our registration statement on Form S-3 of which this prospectus supplement forms a part. Sales of our shares of common stock, if any, under this prospectus supplement and the accompanying prospectus will be made by any method that is deemed to be an “at the market offering” as defined in Rule 415(a)(4) under the Securities Act.</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$404,405. The remaining sale proceeds, after deducting any other transaction fees, will equal our net proceeds from the sale of such shares.</w:t>
      </w:r>
    </w:p>
    <w:p>
      <w:pPr>
        <w:spacing w:after="0" w:line="19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20"/>
          </w:cols>
          <w:pgMar w:left="320" w:top="459" w:right="5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issuance of our common stock offered by this prospectus supplement will be passed upon for us by Wilson Sonsini Goodrich &amp; Rosati, Professional Corporation, Palo Alto, California. Certain members of, and investment partnerships comprised of members of, and persons associated with, Wilson Sonsini Goodrich &amp; Rosati, Professional Corporation, owns less than one percent of our common stock. Jefferies LLC is being represented in connection with this offering by Latham &amp; Watkins LLP, Menlo Park, California.</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financial statements of PMV Pharmaceuticals, Inc. appearing in PMV Pharmaceuticals, Inc.’s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 given 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supplement and the inclusion of our website address in this prospectus supplement is an inactive textual reference only.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supplement and the accompany prospectus are part of a registration statement that we filed with the SEC and do not contain all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information in the registration statement. The full registration statement may be obtained from the SEC or us, as provided in the section titled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Incorporation by Reference</w:t>
      </w:r>
      <w:r>
        <w:rPr>
          <w:rFonts w:ascii="Arial" w:cs="Arial" w:eastAsia="Arial" w:hAnsi="Arial"/>
          <w:sz w:val="16"/>
          <w:szCs w:val="16"/>
          <w:color w:val="auto"/>
        </w:rPr>
        <w:t>.” Whenever a reference is made in this prospectus supplement or the accompanying prospectus to any of our contracts,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agreements or other documents, the reference may not be complete and you should refer to the exhibits that are a part of the registration statement 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exhibits to the reports or other documents incorporated by reference into this prospectus supplement and the accompanying prospectus for a copy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contract, agreement or other document.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Form 8-K and, except as may be noted in any such Form 8-K, exhibits filed on such form that are related to such information), until the offering of the securities under this prospectus supplement is terminated or completed:</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1, 2023;</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portions of our Definitive Proxy Statement on Schedule 14A (other than information furnished rather than filed) that are incorporated by reference into our Annual Report on Form 10-K for the year ended December 31, 2021, filed with the SEC on </w:t>
      </w:r>
      <w:hyperlink r:id="rId58">
        <w:r>
          <w:rPr>
            <w:rFonts w:ascii="Arial" w:cs="Arial" w:eastAsia="Arial" w:hAnsi="Arial"/>
            <w:sz w:val="16"/>
            <w:szCs w:val="16"/>
            <w:u w:val="single" w:color="auto"/>
            <w:color w:val="0000EE"/>
          </w:rPr>
          <w:t>April 22, 2022</w:t>
        </w:r>
      </w:hyperlink>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relating thereto, filed on </w:t>
      </w:r>
      <w:hyperlink r:id="rId59">
        <w:r>
          <w:rPr>
            <w:rFonts w:ascii="Arial" w:cs="Arial" w:eastAsia="Arial" w:hAnsi="Arial"/>
            <w:sz w:val="18"/>
            <w:szCs w:val="18"/>
            <w:u w:val="single" w:color="auto"/>
            <w:color w:val="0000EE"/>
          </w:rPr>
          <w:t>September 21, 2020</w:t>
        </w:r>
      </w:hyperlink>
      <w:r>
        <w:rPr>
          <w:rFonts w:ascii="Arial" w:cs="Arial" w:eastAsia="Arial" w:hAnsi="Arial"/>
          <w:sz w:val="18"/>
          <w:szCs w:val="18"/>
          <w:color w:val="auto"/>
        </w:rPr>
        <w:t xml:space="preserve">, as updated by the description of our common stock contained in </w:t>
      </w:r>
      <w:hyperlink r:id="rId60">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Form 10-K for the fiscal year ended December 31, 2020, filed with the SEC on </w:t>
      </w:r>
      <w:hyperlink r:id="rId61">
        <w:r>
          <w:rPr>
            <w:rFonts w:ascii="Arial" w:cs="Arial" w:eastAsia="Arial" w:hAnsi="Arial"/>
            <w:sz w:val="18"/>
            <w:szCs w:val="18"/>
            <w:u w:val="single" w:color="auto"/>
            <w:color w:val="0000EE"/>
          </w:rPr>
          <w:t>March 3, 2021</w:t>
        </w:r>
      </w:hyperlink>
      <w:r>
        <w:rPr>
          <w:rFonts w:ascii="Arial" w:cs="Arial" w:eastAsia="Arial" w:hAnsi="Arial"/>
          <w:sz w:val="18"/>
          <w:szCs w:val="18"/>
          <w:color w:val="auto"/>
        </w:rPr>
        <w:t>, including any amendment or report filed for the purpose of updating such description.</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PMV Pharmaceuticals,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 Research Way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Princeton, New Jersey 08536</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460" w:right="4940" w:hanging="398"/>
        <w:spacing w:after="0" w:line="517" w:lineRule="auto"/>
        <w:tabs>
          <w:tab w:leader="none" w:pos="55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642-6670 S-15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648970</wp:posOffset>
            </wp:positionV>
            <wp:extent cx="3402965" cy="685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0"/>
        <w:spacing w:after="0"/>
        <w:rPr>
          <w:sz w:val="20"/>
          <w:szCs w:val="20"/>
          <w:color w:val="auto"/>
        </w:rPr>
      </w:pPr>
      <w:r>
        <w:rPr>
          <w:rFonts w:ascii="Arial" w:cs="Arial" w:eastAsia="Arial" w:hAnsi="Arial"/>
          <w:sz w:val="25"/>
          <w:szCs w:val="25"/>
          <w:b w:val="1"/>
          <w:bCs w:val="1"/>
          <w:color w:val="auto"/>
        </w:rPr>
        <w:t>Up to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877570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Jefferies</w:t>
      </w:r>
    </w:p>
    <w:p>
      <w:pPr>
        <w:spacing w:after="0" w:line="200" w:lineRule="exact"/>
        <w:rPr>
          <w:sz w:val="20"/>
          <w:szCs w:val="20"/>
          <w:color w:val="auto"/>
        </w:rPr>
      </w:pP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2529205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2597785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7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estimated expenses in connection with the issuance and distribution of the securities being registered:</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4"/>
              </w:rPr>
              <w:t>Amount</w:t>
            </w:r>
          </w:p>
        </w:tc>
      </w:tr>
      <w:tr>
        <w:trPr>
          <w:trHeight w:val="171"/>
        </w:trPr>
        <w:tc>
          <w:tcPr>
            <w:tcW w:w="6420" w:type="dxa"/>
            <w:vAlign w:val="bottom"/>
          </w:tcPr>
          <w:p>
            <w:pPr>
              <w:spacing w:after="0"/>
              <w:rPr>
                <w:sz w:val="14"/>
                <w:szCs w:val="14"/>
                <w:color w:val="auto"/>
              </w:rPr>
            </w:pPr>
          </w:p>
        </w:tc>
        <w:tc>
          <w:tcPr>
            <w:tcW w:w="10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to be Paid</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$35,945(1)</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FINRA filing fee</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225,500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Printing expenses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Trustee’s fees and expenses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Warrant agent fees and expenses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r>
      <w:tr>
        <w:trPr>
          <w:trHeight w:val="20"/>
        </w:trPr>
        <w:tc>
          <w:tcPr>
            <w:tcW w:w="6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6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 previously paid a fee of $13,905 related to $150,000,000 of the registrant’s common stock pursuant to the Prior ATM Prospectus Supplement. Of such shares of common stock, $150,000,000 remain unsold, and the registration fee in the amount of $13,905 is applied to the registrant’s total registration fee hereunder.</w:t>
      </w:r>
    </w:p>
    <w:p>
      <w:pPr>
        <w:spacing w:after="0" w:line="2" w:lineRule="exact"/>
        <w:rPr>
          <w:rFonts w:ascii="Arial" w:cs="Arial" w:eastAsia="Arial" w:hAnsi="Arial"/>
          <w:sz w:val="18"/>
          <w:szCs w:val="18"/>
          <w:color w:val="auto"/>
        </w:rPr>
      </w:pPr>
    </w:p>
    <w:p>
      <w:pPr>
        <w:ind w:left="540" w:right="62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 (iv)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the undertakings set out in response to Item 17 herein.</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4740" w:type="dxa"/>
            <w:vAlign w:val="bottom"/>
            <w:gridSpan w:val="6"/>
          </w:tcPr>
          <w:p>
            <w:pPr>
              <w:ind w:left="240"/>
              <w:spacing w:after="0"/>
              <w:rPr>
                <w:sz w:val="20"/>
                <w:szCs w:val="20"/>
                <w:color w:val="auto"/>
              </w:rPr>
            </w:pPr>
            <w:r>
              <w:rPr>
                <w:rFonts w:ascii="Arial" w:cs="Arial" w:eastAsia="Arial" w:hAnsi="Arial"/>
                <w:sz w:val="18"/>
                <w:szCs w:val="18"/>
                <w:b w:val="1"/>
                <w:bCs w:val="1"/>
                <w:color w:val="auto"/>
              </w:rPr>
              <w:t>Exhibits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Incorporation by Reference</w:t>
            </w:r>
          </w:p>
        </w:tc>
        <w:tc>
          <w:tcPr>
            <w:tcW w:w="28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5"/>
        </w:trPr>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00" w:type="dxa"/>
            <w:vAlign w:val="bottom"/>
            <w:gridSpan w:val="5"/>
            <w:vMerge w:val="restart"/>
          </w:tcPr>
          <w:p>
            <w:pPr>
              <w:ind w:left="92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Form</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Exhibit</w:t>
            </w:r>
          </w:p>
        </w:tc>
        <w:tc>
          <w:tcPr>
            <w:tcW w:w="18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Filing Date</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4000" w:type="dxa"/>
            <w:vAlign w:val="bottom"/>
            <w:gridSpan w:val="5"/>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18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0"/>
        </w:trPr>
        <w:tc>
          <w:tcPr>
            <w:tcW w:w="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3"/>
              </w:rPr>
              <w:t>1.1*</w:t>
            </w:r>
          </w:p>
        </w:tc>
        <w:tc>
          <w:tcPr>
            <w:tcW w:w="340" w:type="dxa"/>
            <w:vAlign w:val="bottom"/>
          </w:tcPr>
          <w:p>
            <w:pPr>
              <w:spacing w:after="0"/>
              <w:rPr>
                <w:sz w:val="24"/>
                <w:szCs w:val="24"/>
                <w:color w:val="auto"/>
              </w:rPr>
            </w:pPr>
          </w:p>
        </w:tc>
        <w:tc>
          <w:tcPr>
            <w:tcW w:w="45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Form of Underwriting Agreement</w:t>
            </w: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18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4740" w:type="dxa"/>
            <w:vAlign w:val="bottom"/>
            <w:gridSpan w:val="6"/>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Open Market Sale Agreement, dated as of October 4, 2021,</w:t>
              </w:r>
            </w:hyperlink>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between the Registrant and Jefferies LLC</w:t>
              </w:r>
            </w:hyperlink>
          </w:p>
        </w:tc>
        <w:tc>
          <w:tcPr>
            <w:tcW w:w="1280" w:type="dxa"/>
            <w:vAlign w:val="bottom"/>
            <w:tcBorders>
              <w:top w:val="single" w:sz="8" w:color="0000EE"/>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9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S-3ASR</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w w:val="95"/>
              </w:rPr>
              <w:t>333-260012</w:t>
            </w:r>
          </w:p>
        </w:tc>
        <w:tc>
          <w:tcPr>
            <w:tcW w:w="280" w:type="dxa"/>
            <w:vAlign w:val="bottom"/>
          </w:tcPr>
          <w:p>
            <w:pPr>
              <w:spacing w:after="0"/>
              <w:rPr>
                <w:sz w:val="17"/>
                <w:szCs w:val="17"/>
                <w:color w:val="auto"/>
              </w:rPr>
            </w:pPr>
          </w:p>
        </w:tc>
        <w:tc>
          <w:tcPr>
            <w:tcW w:w="7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1.2</w:t>
            </w:r>
          </w:p>
        </w:tc>
        <w:tc>
          <w:tcPr>
            <w:tcW w:w="184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1"/>
              </w:rPr>
              <w:t>October 4, 2021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4160" w:type="dxa"/>
            <w:vAlign w:val="bottom"/>
            <w:tcBorders>
              <w:bottom w:val="single" w:sz="8" w:color="0000EE"/>
            </w:tcBorders>
            <w:gridSpan w:val="3"/>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Amended and Restated Certificate of Incorporation of the</w:t>
              </w:r>
            </w:hyperlink>
          </w:p>
        </w:tc>
        <w:tc>
          <w:tcPr>
            <w:tcW w:w="58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40" w:type="dxa"/>
            <w:vAlign w:val="bottom"/>
            <w:gridSpan w:val="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Registrant</w:t>
              </w:r>
            </w:hyperlink>
          </w:p>
        </w:tc>
        <w:tc>
          <w:tcPr>
            <w:tcW w:w="94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8-K</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w w:val="99"/>
              </w:rPr>
              <w:t>001-39539</w:t>
            </w:r>
          </w:p>
        </w:tc>
        <w:tc>
          <w:tcPr>
            <w:tcW w:w="280" w:type="dxa"/>
            <w:vAlign w:val="bottom"/>
          </w:tcPr>
          <w:p>
            <w:pPr>
              <w:spacing w:after="0"/>
              <w:rPr>
                <w:sz w:val="17"/>
                <w:szCs w:val="17"/>
                <w:color w:val="auto"/>
              </w:rPr>
            </w:pPr>
          </w:p>
        </w:tc>
        <w:tc>
          <w:tcPr>
            <w:tcW w:w="7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3.1</w:t>
            </w:r>
          </w:p>
        </w:tc>
        <w:tc>
          <w:tcPr>
            <w:tcW w:w="184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9"/>
              </w:rPr>
              <w:t>September 29, 2020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414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93"/>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4.2</w:t>
            </w:r>
          </w:p>
        </w:tc>
        <w:tc>
          <w:tcPr>
            <w:tcW w:w="3500" w:type="dxa"/>
            <w:vAlign w:val="bottom"/>
            <w:tcBorders>
              <w:bottom w:val="single" w:sz="8" w:color="0000EE"/>
            </w:tcBorders>
            <w:gridSpan w:val="11"/>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Amended and Restated Bylaws of the Registrant</w:t>
              </w:r>
            </w:hyperlink>
          </w:p>
        </w:tc>
        <w:tc>
          <w:tcPr>
            <w:tcW w:w="94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2480" w:type="dxa"/>
            <w:vAlign w:val="bottom"/>
          </w:tcPr>
          <w:p>
            <w:pPr>
              <w:jc w:val="center"/>
              <w:ind w:right="430"/>
              <w:spacing w:after="0"/>
              <w:rPr>
                <w:sz w:val="20"/>
                <w:szCs w:val="20"/>
                <w:color w:val="auto"/>
              </w:rPr>
            </w:pPr>
            <w:r>
              <w:rPr>
                <w:rFonts w:ascii="Arial" w:cs="Arial" w:eastAsia="Arial" w:hAnsi="Arial"/>
                <w:sz w:val="18"/>
                <w:szCs w:val="18"/>
                <w:color w:val="auto"/>
                <w:w w:val="88"/>
              </w:rPr>
              <w:t>September 29, 2020</w:t>
            </w:r>
          </w:p>
        </w:tc>
      </w:tr>
      <w:tr>
        <w:trPr>
          <w:trHeight w:val="304"/>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4.3</w:t>
            </w:r>
          </w:p>
        </w:tc>
        <w:tc>
          <w:tcPr>
            <w:tcW w:w="4280" w:type="dxa"/>
            <w:vAlign w:val="bottom"/>
            <w:tcBorders>
              <w:bottom w:val="single" w:sz="8" w:color="0000EE"/>
            </w:tcBorders>
            <w:gridSpan w:val="15"/>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Amended and Restated Investors’ Rights Agreement, dated</w:t>
              </w:r>
            </w:hyperlink>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July 17, 2020, by and among the Registrant and certain of</w:t>
              </w:r>
            </w:hyperlink>
          </w:p>
        </w:tc>
        <w:tc>
          <w:tcPr>
            <w:tcW w:w="2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6"/>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its stockholders</w:t>
              </w:r>
            </w:hyperlink>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4.1</w:t>
            </w:r>
          </w:p>
        </w:tc>
        <w:tc>
          <w:tcPr>
            <w:tcW w:w="248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8"/>
              </w:rPr>
              <w:t>September 4, 2020</w:t>
            </w:r>
          </w:p>
        </w:tc>
      </w:tr>
      <w:tr>
        <w:trPr>
          <w:trHeight w:val="20"/>
        </w:trPr>
        <w:tc>
          <w:tcPr>
            <w:tcW w:w="10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4.4</w:t>
            </w:r>
          </w:p>
        </w:tc>
        <w:tc>
          <w:tcPr>
            <w:tcW w:w="4440" w:type="dxa"/>
            <w:vAlign w:val="bottom"/>
            <w:gridSpan w:val="16"/>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Specimen Common Stock Certificate</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2480" w:type="dxa"/>
            <w:vAlign w:val="bottom"/>
          </w:tcPr>
          <w:p>
            <w:pPr>
              <w:jc w:val="center"/>
              <w:ind w:right="430"/>
              <w:spacing w:after="0"/>
              <w:rPr>
                <w:sz w:val="20"/>
                <w:szCs w:val="20"/>
                <w:color w:val="auto"/>
              </w:rPr>
            </w:pPr>
            <w:r>
              <w:rPr>
                <w:rFonts w:ascii="Arial" w:cs="Arial" w:eastAsia="Arial" w:hAnsi="Arial"/>
                <w:sz w:val="18"/>
                <w:szCs w:val="18"/>
                <w:color w:val="auto"/>
                <w:w w:val="88"/>
              </w:rPr>
              <w:t>September 21, 2020</w:t>
            </w:r>
          </w:p>
        </w:tc>
      </w:tr>
      <w:tr>
        <w:trPr>
          <w:trHeight w:val="20"/>
        </w:trPr>
        <w:tc>
          <w:tcPr>
            <w:tcW w:w="10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44"/>
        </w:trPr>
        <w:tc>
          <w:tcPr>
            <w:tcW w:w="106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Specimen Preferred Stock Certificate</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4440" w:type="dxa"/>
            <w:vAlign w:val="bottom"/>
            <w:gridSpan w:val="16"/>
          </w:tcPr>
          <w:p>
            <w:pPr>
              <w:spacing w:after="0"/>
              <w:rPr>
                <w:rFonts w:ascii="Arial" w:cs="Arial" w:eastAsia="Arial" w:hAnsi="Arial"/>
                <w:sz w:val="18"/>
                <w:szCs w:val="18"/>
                <w:color w:val="0000EE"/>
              </w:rPr>
            </w:pPr>
            <w:hyperlink r:id="rId109">
              <w:r>
                <w:rPr>
                  <w:rFonts w:ascii="Arial" w:cs="Arial" w:eastAsia="Arial" w:hAnsi="Arial"/>
                  <w:sz w:val="18"/>
                  <w:szCs w:val="18"/>
                  <w:color w:val="0000EE"/>
                </w:rPr>
                <w:t>Form of Indenture</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S-3ASR</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333-260012</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October 4, 2021</w:t>
            </w:r>
          </w:p>
        </w:tc>
      </w:tr>
      <w:tr>
        <w:trPr>
          <w:trHeight w:val="20"/>
        </w:trPr>
        <w:tc>
          <w:tcPr>
            <w:tcW w:w="10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45"/>
        </w:trPr>
        <w:tc>
          <w:tcPr>
            <w:tcW w:w="106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Debt Security</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106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Warrant Agreement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1060" w:type="dxa"/>
            <w:vAlign w:val="bottom"/>
          </w:tcPr>
          <w:p>
            <w:pPr>
              <w:jc w:val="right"/>
              <w:ind w:right="350"/>
              <w:spacing w:after="0"/>
              <w:rPr>
                <w:sz w:val="20"/>
                <w:szCs w:val="20"/>
                <w:color w:val="auto"/>
              </w:rPr>
            </w:pPr>
            <w:r>
              <w:rPr>
                <w:rFonts w:ascii="Arial" w:cs="Arial" w:eastAsia="Arial" w:hAnsi="Arial"/>
                <w:sz w:val="18"/>
                <w:szCs w:val="18"/>
                <w:color w:val="auto"/>
              </w:rPr>
              <w:t>4.9*</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Warrant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1060" w:type="dxa"/>
            <w:vAlign w:val="bottom"/>
          </w:tcPr>
          <w:p>
            <w:pPr>
              <w:jc w:val="right"/>
              <w:ind w:right="270"/>
              <w:spacing w:after="0"/>
              <w:rPr>
                <w:sz w:val="20"/>
                <w:szCs w:val="20"/>
                <w:color w:val="auto"/>
              </w:rPr>
            </w:pPr>
            <w:r>
              <w:rPr>
                <w:rFonts w:ascii="Arial" w:cs="Arial" w:eastAsia="Arial" w:hAnsi="Arial"/>
                <w:sz w:val="18"/>
                <w:szCs w:val="18"/>
                <w:color w:val="auto"/>
              </w:rPr>
              <w:t>4.10*</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Subscription Agreement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1060" w:type="dxa"/>
            <w:vAlign w:val="bottom"/>
          </w:tcPr>
          <w:p>
            <w:pPr>
              <w:jc w:val="right"/>
              <w:ind w:right="270"/>
              <w:spacing w:after="0"/>
              <w:rPr>
                <w:sz w:val="20"/>
                <w:szCs w:val="20"/>
                <w:color w:val="auto"/>
              </w:rPr>
            </w:pPr>
            <w:r>
              <w:rPr>
                <w:rFonts w:ascii="Arial" w:cs="Arial" w:eastAsia="Arial" w:hAnsi="Arial"/>
                <w:sz w:val="18"/>
                <w:szCs w:val="18"/>
                <w:color w:val="auto"/>
              </w:rPr>
              <w:t>4.11*</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Purchase Contract Agreement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1060" w:type="dxa"/>
            <w:vAlign w:val="bottom"/>
          </w:tcPr>
          <w:p>
            <w:pPr>
              <w:jc w:val="right"/>
              <w:ind w:right="270"/>
              <w:spacing w:after="0"/>
              <w:rPr>
                <w:sz w:val="20"/>
                <w:szCs w:val="20"/>
                <w:color w:val="auto"/>
              </w:rPr>
            </w:pPr>
            <w:r>
              <w:rPr>
                <w:rFonts w:ascii="Arial" w:cs="Arial" w:eastAsia="Arial" w:hAnsi="Arial"/>
                <w:sz w:val="18"/>
                <w:szCs w:val="18"/>
                <w:color w:val="auto"/>
              </w:rPr>
              <w:t>4.12*</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Unit Agreement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4"/>
        </w:trPr>
        <w:tc>
          <w:tcPr>
            <w:tcW w:w="1060" w:type="dxa"/>
            <w:vAlign w:val="bottom"/>
          </w:tcPr>
          <w:p>
            <w:pPr>
              <w:jc w:val="right"/>
              <w:ind w:right="270"/>
              <w:spacing w:after="0"/>
              <w:rPr>
                <w:sz w:val="20"/>
                <w:szCs w:val="20"/>
                <w:color w:val="auto"/>
              </w:rPr>
            </w:pPr>
            <w:r>
              <w:rPr>
                <w:rFonts w:ascii="Arial" w:cs="Arial" w:eastAsia="Arial" w:hAnsi="Arial"/>
                <w:sz w:val="18"/>
                <w:szCs w:val="18"/>
                <w:color w:val="auto"/>
              </w:rPr>
              <w:t>4.13*</w:t>
            </w:r>
          </w:p>
        </w:tc>
        <w:tc>
          <w:tcPr>
            <w:tcW w:w="4440" w:type="dxa"/>
            <w:vAlign w:val="bottom"/>
            <w:gridSpan w:val="16"/>
          </w:tcPr>
          <w:p>
            <w:pPr>
              <w:spacing w:after="0"/>
              <w:rPr>
                <w:sz w:val="20"/>
                <w:szCs w:val="20"/>
                <w:color w:val="auto"/>
              </w:rPr>
            </w:pPr>
            <w:r>
              <w:rPr>
                <w:rFonts w:ascii="Arial" w:cs="Arial" w:eastAsia="Arial" w:hAnsi="Arial"/>
                <w:sz w:val="18"/>
                <w:szCs w:val="18"/>
                <w:color w:val="auto"/>
              </w:rPr>
              <w:t>Form of Unit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5.1</w:t>
            </w:r>
          </w:p>
        </w:tc>
        <w:tc>
          <w:tcPr>
            <w:tcW w:w="4440" w:type="dxa"/>
            <w:vAlign w:val="bottom"/>
            <w:gridSpan w:val="16"/>
          </w:tcPr>
          <w:p>
            <w:pPr>
              <w:spacing w:after="0"/>
              <w:rPr>
                <w:sz w:val="20"/>
                <w:szCs w:val="20"/>
                <w:color w:val="auto"/>
              </w:rPr>
            </w:pPr>
            <w:r>
              <w:rPr>
                <w:rFonts w:ascii="Arial" w:cs="Arial" w:eastAsia="Arial" w:hAnsi="Arial"/>
                <w:sz w:val="18"/>
                <w:szCs w:val="18"/>
                <w:color w:val="0000EE"/>
              </w:rPr>
              <w:t>Opinion of Wilson Sonsini Goodrich &amp; Rosati,</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3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Professional Corporation</w:t>
            </w:r>
          </w:p>
        </w:tc>
        <w:tc>
          <w:tcPr>
            <w:tcW w:w="10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20"/>
        </w:trPr>
        <w:tc>
          <w:tcPr>
            <w:tcW w:w="10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23.1</w:t>
            </w:r>
          </w:p>
        </w:tc>
        <w:tc>
          <w:tcPr>
            <w:tcW w:w="4440" w:type="dxa"/>
            <w:vAlign w:val="bottom"/>
            <w:gridSpan w:val="16"/>
          </w:tcPr>
          <w:p>
            <w:pPr>
              <w:spacing w:after="0"/>
              <w:rPr>
                <w:sz w:val="20"/>
                <w:szCs w:val="20"/>
                <w:color w:val="auto"/>
              </w:rPr>
            </w:pPr>
            <w:r>
              <w:rPr>
                <w:rFonts w:ascii="Arial" w:cs="Arial" w:eastAsia="Arial" w:hAnsi="Arial"/>
                <w:sz w:val="18"/>
                <w:szCs w:val="18"/>
                <w:color w:val="0000EE"/>
              </w:rPr>
              <w:t>Consent of Independent Registered Public Accounting</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Firm</w:t>
            </w:r>
          </w:p>
        </w:tc>
        <w:tc>
          <w:tcPr>
            <w:tcW w:w="3560" w:type="dxa"/>
            <w:vAlign w:val="bottom"/>
            <w:tcBorders>
              <w:top w:val="single" w:sz="8" w:color="0000EE"/>
            </w:tcBorders>
            <w:gridSpan w:val="10"/>
          </w:tcPr>
          <w:p>
            <w:pPr>
              <w:spacing w:after="0"/>
              <w:rPr>
                <w:sz w:val="17"/>
                <w:szCs w:val="17"/>
                <w:color w:val="auto"/>
              </w:rPr>
            </w:pPr>
          </w:p>
        </w:tc>
        <w:tc>
          <w:tcPr>
            <w:tcW w:w="5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23.2</w:t>
            </w:r>
          </w:p>
        </w:tc>
        <w:tc>
          <w:tcPr>
            <w:tcW w:w="4440" w:type="dxa"/>
            <w:vAlign w:val="bottom"/>
            <w:gridSpan w:val="16"/>
          </w:tcPr>
          <w:p>
            <w:pPr>
              <w:spacing w:after="0"/>
              <w:rPr>
                <w:sz w:val="20"/>
                <w:szCs w:val="20"/>
                <w:color w:val="auto"/>
              </w:rPr>
            </w:pPr>
            <w:r>
              <w:rPr>
                <w:rFonts w:ascii="Arial" w:cs="Arial" w:eastAsia="Arial" w:hAnsi="Arial"/>
                <w:sz w:val="18"/>
                <w:szCs w:val="18"/>
                <w:color w:val="0000EE"/>
              </w:rPr>
              <w:t>Consent of Wilson Sonsini Goodrich &amp; Rosati,</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6"/>
          </w:tcPr>
          <w:p>
            <w:pPr>
              <w:spacing w:after="0" w:line="196" w:lineRule="exact"/>
              <w:rPr>
                <w:sz w:val="20"/>
                <w:szCs w:val="20"/>
                <w:color w:val="auto"/>
              </w:rPr>
            </w:pPr>
            <w:r>
              <w:rPr>
                <w:rFonts w:ascii="Arial" w:cs="Arial" w:eastAsia="Arial" w:hAnsi="Arial"/>
                <w:sz w:val="18"/>
                <w:szCs w:val="18"/>
                <w:color w:val="0000EE"/>
                <w:w w:val="98"/>
              </w:rPr>
              <w:t>Professional Corporation (included in the opinion filed as</w:t>
            </w: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Exhibit 5.1 to this Registration Statement)</w:t>
            </w:r>
          </w:p>
        </w:tc>
        <w:tc>
          <w:tcPr>
            <w:tcW w:w="1100" w:type="dxa"/>
            <w:vAlign w:val="bottom"/>
            <w:tcBorders>
              <w:top w:val="single" w:sz="8" w:color="0000EE"/>
            </w:tcBorders>
            <w:gridSpan w:val="4"/>
          </w:tcPr>
          <w:p>
            <w:pPr>
              <w:spacing w:after="0"/>
              <w:rPr>
                <w:sz w:val="17"/>
                <w:szCs w:val="17"/>
                <w:color w:val="auto"/>
              </w:rPr>
            </w:pPr>
          </w:p>
        </w:tc>
        <w:tc>
          <w:tcPr>
            <w:tcW w:w="3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24.1</w:t>
            </w:r>
          </w:p>
        </w:tc>
        <w:tc>
          <w:tcPr>
            <w:tcW w:w="4440" w:type="dxa"/>
            <w:vAlign w:val="bottom"/>
            <w:gridSpan w:val="16"/>
          </w:tcPr>
          <w:p>
            <w:pPr>
              <w:spacing w:after="0"/>
              <w:rPr>
                <w:rFonts w:ascii="Arial" w:cs="Arial" w:eastAsia="Arial" w:hAnsi="Arial"/>
                <w:sz w:val="18"/>
                <w:szCs w:val="18"/>
                <w:color w:val="0000EE"/>
              </w:rPr>
            </w:pPr>
            <w:hyperlink r:id="rId110">
              <w:r>
                <w:rPr>
                  <w:rFonts w:ascii="Arial" w:cs="Arial" w:eastAsia="Arial" w:hAnsi="Arial"/>
                  <w:sz w:val="18"/>
                  <w:szCs w:val="18"/>
                  <w:color w:val="0000EE"/>
                </w:rPr>
                <w:t>Power of Attorney</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S-3ASR</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333-260012</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24.1</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October 4, 2021</w:t>
            </w:r>
          </w:p>
        </w:tc>
      </w:tr>
      <w:tr>
        <w:trPr>
          <w:trHeight w:val="20"/>
        </w:trPr>
        <w:tc>
          <w:tcPr>
            <w:tcW w:w="106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1060" w:type="dxa"/>
            <w:vAlign w:val="bottom"/>
          </w:tcPr>
          <w:p>
            <w:pPr>
              <w:jc w:val="right"/>
              <w:ind w:right="450"/>
              <w:spacing w:after="0"/>
              <w:rPr>
                <w:sz w:val="20"/>
                <w:szCs w:val="20"/>
                <w:color w:val="auto"/>
              </w:rPr>
            </w:pPr>
            <w:r>
              <w:rPr>
                <w:rFonts w:ascii="Arial" w:cs="Arial" w:eastAsia="Arial" w:hAnsi="Arial"/>
                <w:sz w:val="18"/>
                <w:szCs w:val="18"/>
                <w:color w:val="auto"/>
              </w:rPr>
              <w:t>24.2</w:t>
            </w:r>
          </w:p>
        </w:tc>
        <w:tc>
          <w:tcPr>
            <w:tcW w:w="4440" w:type="dxa"/>
            <w:vAlign w:val="bottom"/>
            <w:gridSpan w:val="16"/>
          </w:tcPr>
          <w:p>
            <w:pPr>
              <w:spacing w:after="0"/>
              <w:rPr>
                <w:rFonts w:ascii="Arial" w:cs="Arial" w:eastAsia="Arial" w:hAnsi="Arial"/>
                <w:sz w:val="18"/>
                <w:szCs w:val="18"/>
                <w:color w:val="0000EE"/>
              </w:rPr>
            </w:pPr>
            <w:hyperlink r:id="rId111">
              <w:r>
                <w:rPr>
                  <w:rFonts w:ascii="Arial" w:cs="Arial" w:eastAsia="Arial" w:hAnsi="Arial"/>
                  <w:sz w:val="18"/>
                  <w:szCs w:val="18"/>
                  <w:color w:val="0000EE"/>
                </w:rPr>
                <w:t>Power of Attorney</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POS</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106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ASR</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333-260012</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24.2</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March 1, 2023</w:t>
            </w:r>
          </w:p>
        </w:tc>
      </w:tr>
      <w:tr>
        <w:trPr>
          <w:trHeight w:val="310"/>
        </w:trPr>
        <w:tc>
          <w:tcPr>
            <w:tcW w:w="1060" w:type="dxa"/>
            <w:vAlign w:val="bottom"/>
          </w:tcPr>
          <w:p>
            <w:pPr>
              <w:jc w:val="right"/>
              <w:ind w:right="270"/>
              <w:spacing w:after="0"/>
              <w:rPr>
                <w:sz w:val="20"/>
                <w:szCs w:val="20"/>
                <w:color w:val="auto"/>
              </w:rPr>
            </w:pPr>
            <w:r>
              <w:rPr>
                <w:rFonts w:ascii="Arial" w:cs="Arial" w:eastAsia="Arial" w:hAnsi="Arial"/>
                <w:sz w:val="18"/>
                <w:szCs w:val="18"/>
                <w:color w:val="auto"/>
              </w:rPr>
              <w:t>25.1**</w:t>
            </w:r>
          </w:p>
        </w:tc>
        <w:tc>
          <w:tcPr>
            <w:tcW w:w="4440" w:type="dxa"/>
            <w:vAlign w:val="bottom"/>
            <w:gridSpan w:val="16"/>
          </w:tcPr>
          <w:p>
            <w:pPr>
              <w:spacing w:after="0"/>
              <w:rPr>
                <w:sz w:val="20"/>
                <w:szCs w:val="20"/>
                <w:color w:val="auto"/>
              </w:rPr>
            </w:pPr>
            <w:r>
              <w:rPr>
                <w:rFonts w:ascii="Arial" w:cs="Arial" w:eastAsia="Arial" w:hAnsi="Arial"/>
                <w:sz w:val="18"/>
                <w:szCs w:val="18"/>
                <w:color w:val="auto"/>
                <w:w w:val="98"/>
              </w:rPr>
              <w:t>Form T-1 Statement of Eligibility of Trustee for Indenture</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4440" w:type="dxa"/>
            <w:vAlign w:val="bottom"/>
            <w:gridSpan w:val="16"/>
          </w:tcPr>
          <w:p>
            <w:pPr>
              <w:spacing w:after="0"/>
              <w:rPr>
                <w:sz w:val="20"/>
                <w:szCs w:val="20"/>
                <w:color w:val="auto"/>
              </w:rPr>
            </w:pPr>
            <w:r>
              <w:rPr>
                <w:rFonts w:ascii="Arial" w:cs="Arial" w:eastAsia="Arial" w:hAnsi="Arial"/>
                <w:sz w:val="18"/>
                <w:szCs w:val="18"/>
                <w:color w:val="auto"/>
              </w:rPr>
              <w:t>under the Trust Indenture Act of 1939</w:t>
            </w: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83"/>
        </w:trPr>
        <w:tc>
          <w:tcPr>
            <w:tcW w:w="1060" w:type="dxa"/>
            <w:vAlign w:val="bottom"/>
          </w:tcPr>
          <w:p>
            <w:pPr>
              <w:jc w:val="right"/>
              <w:ind w:right="590"/>
              <w:spacing w:after="0"/>
              <w:rPr>
                <w:sz w:val="20"/>
                <w:szCs w:val="20"/>
                <w:color w:val="auto"/>
              </w:rPr>
            </w:pPr>
            <w:r>
              <w:rPr>
                <w:rFonts w:ascii="Arial" w:cs="Arial" w:eastAsia="Arial" w:hAnsi="Arial"/>
                <w:sz w:val="18"/>
                <w:szCs w:val="18"/>
                <w:color w:val="auto"/>
              </w:rPr>
              <w:t>107</w:t>
            </w:r>
          </w:p>
        </w:tc>
        <w:tc>
          <w:tcPr>
            <w:tcW w:w="4440" w:type="dxa"/>
            <w:vAlign w:val="bottom"/>
            <w:gridSpan w:val="16"/>
          </w:tcPr>
          <w:p>
            <w:pPr>
              <w:spacing w:after="0"/>
              <w:rPr>
                <w:rFonts w:ascii="Arial" w:cs="Arial" w:eastAsia="Arial" w:hAnsi="Arial"/>
                <w:sz w:val="18"/>
                <w:szCs w:val="18"/>
                <w:color w:val="0000EE"/>
              </w:rPr>
            </w:pPr>
            <w:hyperlink r:id="rId112">
              <w:r>
                <w:rPr>
                  <w:rFonts w:ascii="Arial" w:cs="Arial" w:eastAsia="Arial" w:hAnsi="Arial"/>
                  <w:sz w:val="18"/>
                  <w:szCs w:val="18"/>
                  <w:color w:val="0000EE"/>
                </w:rPr>
                <w:t>Calculation of Filing Fee Tables</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POS</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106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ASR</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333-260012</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March 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right="2380" w:hanging="4"/>
        <w:spacing w:after="0" w:line="277" w:lineRule="auto"/>
        <w:tabs>
          <w:tab w:leader="none" w:pos="5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if applicable, by amendment or incorporated by reference pursuant to a Current Report on Form 8-K. ** To be filed pursuant to Section 305(b)(2) of the Trust Indenture Act of 1939, as amended.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46" w:right="5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360" w:hanging="244"/>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0" w:hanging="221"/>
        <w:spacing w:after="0"/>
        <w:tabs>
          <w:tab w:leader="none" w:pos="12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100" w:right="80" w:firstLine="7"/>
        <w:spacing w:after="0" w:line="272" w:lineRule="auto"/>
        <w:tabs>
          <w:tab w:leader="none" w:pos="1365" w:val="left"/>
        </w:tabs>
        <w:numPr>
          <w:ilvl w:val="3"/>
          <w:numId w:val="3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firstLine="7"/>
        <w:spacing w:after="0" w:line="277" w:lineRule="auto"/>
        <w:tabs>
          <w:tab w:leader="none" w:pos="1415" w:val="left"/>
        </w:tabs>
        <w:numPr>
          <w:ilvl w:val="3"/>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(ii) and (iii) do not apply if the information required to be included in a post-effective amendment by</w:t>
      </w:r>
      <w:r>
        <w:rPr>
          <w:rFonts w:ascii="Arial" w:cs="Arial" w:eastAsia="Arial" w:hAnsi="Arial"/>
          <w:sz w:val="17"/>
          <w:szCs w:val="17"/>
          <w:i w:val="1"/>
          <w:iCs w:val="1"/>
          <w:color w:val="auto"/>
        </w:rPr>
        <w:t xml:space="preserve"> </w:t>
      </w:r>
      <w:r>
        <w:rPr>
          <w:rFonts w:ascii="Arial" w:cs="Arial" w:eastAsia="Arial" w:hAnsi="Arial"/>
          <w:sz w:val="17"/>
          <w:szCs w:val="17"/>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820" w:hanging="264"/>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w:t>
      </w:r>
    </w:p>
    <w:p>
      <w:pPr>
        <w:spacing w:after="0" w:line="46" w:lineRule="exact"/>
        <w:rPr>
          <w:rFonts w:ascii="Arial" w:cs="Arial" w:eastAsia="Arial" w:hAnsi="Arial"/>
          <w:sz w:val="16"/>
          <w:szCs w:val="16"/>
          <w:color w:val="auto"/>
        </w:rPr>
      </w:pPr>
    </w:p>
    <w:p>
      <w:pPr>
        <w:ind w:left="56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7" w:lineRule="exact"/>
        <w:rPr>
          <w:rFonts w:ascii="Arial" w:cs="Arial" w:eastAsia="Arial" w:hAnsi="Arial"/>
          <w:sz w:val="16"/>
          <w:szCs w:val="16"/>
          <w:color w:val="auto"/>
        </w:rPr>
      </w:pPr>
    </w:p>
    <w:p>
      <w:pPr>
        <w:ind w:left="560" w:right="660" w:hanging="4"/>
        <w:spacing w:after="0" w:line="277"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820" w:hanging="2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100" w:right="80" w:firstLine="7"/>
        <w:spacing w:after="0" w:line="277" w:lineRule="auto"/>
        <w:tabs>
          <w:tab w:leader="none" w:pos="131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right="20" w:firstLine="7"/>
        <w:spacing w:after="0" w:line="269" w:lineRule="auto"/>
        <w:tabs>
          <w:tab w:leader="none" w:pos="1365"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hanging="4"/>
        <w:spacing w:after="0" w:line="257" w:lineRule="auto"/>
        <w:tabs>
          <w:tab w:leader="none" w:pos="8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1320" w:hanging="213"/>
        <w:spacing w:after="0"/>
        <w:tabs>
          <w:tab w:leader="none" w:pos="1320" w:val="left"/>
        </w:tabs>
        <w:numPr>
          <w:ilvl w:val="2"/>
          <w:numId w:val="3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1100" w:right="140" w:firstLine="7"/>
        <w:spacing w:after="0" w:line="277" w:lineRule="auto"/>
        <w:tabs>
          <w:tab w:leader="none" w:pos="1365"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660" w:firstLine="7"/>
        <w:spacing w:after="0" w:line="277" w:lineRule="auto"/>
        <w:tabs>
          <w:tab w:leader="none" w:pos="1415"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200" w:hanging="4"/>
        <w:spacing w:after="0" w:line="257"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left="120" w:right="60" w:hanging="4"/>
        <w:spacing w:after="0" w:line="254" w:lineRule="auto"/>
        <w:tabs>
          <w:tab w:leader="none" w:pos="3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120" w:right="100" w:hanging="4"/>
        <w:spacing w:after="0" w:line="260" w:lineRule="auto"/>
        <w:tabs>
          <w:tab w:leader="none" w:pos="3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Commission under Section 305(b)(2) of the Trust Indenture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Post-Effective Amendment No. 2 to the Registration Statement to be signed on its behalf by the undersigned, thereunto duly authorized, in the City of Princeton, State of New Jersey, on March 1, 2023.</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H. Mack, Ph.D.</w:t>
            </w:r>
          </w:p>
        </w:tc>
        <w:tc>
          <w:tcPr>
            <w:tcW w:w="220" w:type="dxa"/>
            <w:vAlign w:val="bottom"/>
          </w:tcPr>
          <w:p>
            <w:pPr>
              <w:spacing w:after="0"/>
              <w:rPr>
                <w:sz w:val="24"/>
                <w:szCs w:val="24"/>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and Chief Executive Officer and</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4"/>
              </w:rPr>
              <w:t>David H. Mack, Ph.D.</w:t>
            </w:r>
          </w:p>
        </w:tc>
        <w:tc>
          <w:tcPr>
            <w:tcW w:w="220" w:type="dxa"/>
            <w:vAlign w:val="bottom"/>
          </w:tcPr>
          <w:p>
            <w:pPr>
              <w:spacing w:after="0"/>
              <w:rPr>
                <w:sz w:val="19"/>
                <w:szCs w:val="19"/>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Director (Principal Executive Officer)</w:t>
            </w:r>
          </w:p>
        </w:tc>
        <w:tc>
          <w:tcPr>
            <w:tcW w:w="32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Winston Kung</w:t>
            </w:r>
          </w:p>
        </w:tc>
        <w:tc>
          <w:tcPr>
            <w:tcW w:w="220" w:type="dxa"/>
            <w:vAlign w:val="bottom"/>
          </w:tcPr>
          <w:p>
            <w:pPr>
              <w:spacing w:after="0"/>
              <w:rPr>
                <w:sz w:val="24"/>
                <w:szCs w:val="24"/>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Operating Officer and Chief Financial</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182"/>
        </w:trPr>
        <w:tc>
          <w:tcPr>
            <w:tcW w:w="3860" w:type="dxa"/>
            <w:vAlign w:val="bottom"/>
          </w:tcPr>
          <w:p>
            <w:pPr>
              <w:jc w:val="center"/>
              <w:spacing w:after="0" w:line="182" w:lineRule="exact"/>
              <w:rPr>
                <w:sz w:val="20"/>
                <w:szCs w:val="20"/>
                <w:color w:val="auto"/>
              </w:rPr>
            </w:pPr>
            <w:r>
              <w:rPr>
                <w:rFonts w:ascii="Arial" w:cs="Arial" w:eastAsia="Arial" w:hAnsi="Arial"/>
                <w:sz w:val="18"/>
                <w:szCs w:val="18"/>
                <w:color w:val="auto"/>
                <w:w w:val="94"/>
              </w:rPr>
              <w:t>Winston Kung</w:t>
            </w:r>
          </w:p>
        </w:tc>
        <w:tc>
          <w:tcPr>
            <w:tcW w:w="220" w:type="dxa"/>
            <w:vAlign w:val="bottom"/>
          </w:tcPr>
          <w:p>
            <w:pPr>
              <w:spacing w:after="0"/>
              <w:rPr>
                <w:sz w:val="15"/>
                <w:szCs w:val="15"/>
                <w:color w:val="auto"/>
              </w:rPr>
            </w:pPr>
          </w:p>
        </w:tc>
        <w:tc>
          <w:tcPr>
            <w:tcW w:w="374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Officer (Principal Financial and Accounting</w:t>
            </w:r>
          </w:p>
        </w:tc>
        <w:tc>
          <w:tcPr>
            <w:tcW w:w="3200" w:type="dxa"/>
            <w:vAlign w:val="bottom"/>
          </w:tcPr>
          <w:p>
            <w:pPr>
              <w:spacing w:after="0"/>
              <w:rPr>
                <w:sz w:val="15"/>
                <w:szCs w:val="15"/>
                <w:color w:val="auto"/>
              </w:rPr>
            </w:pPr>
          </w:p>
        </w:tc>
      </w:tr>
      <w:tr>
        <w:trPr>
          <w:trHeight w:val="230"/>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Officer)</w:t>
            </w:r>
          </w:p>
        </w:tc>
        <w:tc>
          <w:tcPr>
            <w:tcW w:w="3200" w:type="dxa"/>
            <w:vAlign w:val="bottom"/>
          </w:tcPr>
          <w:p>
            <w:pPr>
              <w:spacing w:after="0"/>
              <w:rPr>
                <w:sz w:val="20"/>
                <w:szCs w:val="20"/>
                <w:color w:val="auto"/>
              </w:rPr>
            </w:pPr>
          </w:p>
        </w:tc>
      </w:tr>
      <w:tr>
        <w:trPr>
          <w:trHeight w:val="43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Chair of the Board</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Richard Heyman,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Charles M. Baum M.D.,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4"/>
              </w:rPr>
              <w:t>Arnold Levine, Ph.D.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Carol Gallagher, Pharm.D.</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Laurie Stelzer</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March 1,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Kirsten Flowers</w:t>
            </w:r>
          </w:p>
        </w:tc>
        <w:tc>
          <w:tcPr>
            <w:tcW w:w="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r>
    </w:tbl>
    <w:p>
      <w:pPr>
        <w:spacing w:after="0" w:line="2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u w:val="single" w:color="auto"/>
          <w:color w:val="auto"/>
        </w:rPr>
        <w:t>/s/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517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David H. Mack, Ph.D., Attorney in fact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94410" cy="386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994410" cy="38608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Palo Alto, CA 94304-1050</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650.493.9300</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866.974.7329</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Research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Post-Effective Amendment No. 2 to 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At your request, we have examined the Post-Effective Amendment No. 2 to the Registration Statement on Form S-3 (File No. 333-260012) (as amended, the “Registration Statement”), filed by PMV Pharmaceuticals, Inc., a Delaware corporation (the “Company”), with the Securities and Exchange Commission (the “Commission”) in connection with the registration pursuant to the Securities Act of 1933, as amended (the “Act”), of the Company Securities (as defined below).</w:t>
      </w:r>
    </w:p>
    <w:p>
      <w:pPr>
        <w:spacing w:after="0" w:line="18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The Registration Statement relates to (i) the proposed issuance and sale by the Company, from time to time, pursuant to Rule 415 under the Act, as set forth in the Registration Statement, the base prospectus contained therein (the “Base Prospectus”) and the supplements to the prospectus referred to therein (each a “Prospectus Supplement”), of up to $200,000,000 of (a) shares of the Company’s common stock, $0.00001 par value per share (the “Common Stock”), (b) shares of the Company’s preferred stock, $0.00001 par value per share (the “Preferred Stock”), (c) the Company’s debt securities (the “Debt Securities”), (d) warrants to purchase any of the securities described above (the “Warrants”), (e) subscription rights to purchase Common Stock, Preferred Stock, Debt Securities or Warrants or units consisting of some or all of these securities (the “Subscription Rights”), (f) purchase contracts of the Company with respect to the securities of the Company (the “Purchase Contracts”) and (g) units consisting of two or more securities described above in any combination (the “Units” and together with the Common Stock, the Preferred Stock, the Debt Securities, the Warrants, the Subscription Rights and the Purchase Contracts are collectively referred to herein as the “Company Securities”) and (ii) the offering by the Company of up to $150,000,000 of shares (the “Shares”) of Common Stock covered by the Registration Statement pursuant to the Base Prospectus and the prospectus supplement dated October 4, 2021 contained within the Registration Statement (the “ATM Prospectus”).</w:t>
      </w:r>
    </w:p>
    <w:p>
      <w:pPr>
        <w:spacing w:after="0" w:line="17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Securities are to be sold from time to time as set forth in the Registration Statement, the Base Prospectus contained therein and any applicable Prospectus Supplement.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Company Securities</w:t>
      </w:r>
    </w:p>
    <w:p>
      <w:pPr>
        <w:sectPr>
          <w:pgSz w:w="11900" w:h="16838" w:orient="portrait"/>
          <w:cols w:equalWidth="0" w:num="1">
            <w:col w:w="11020"/>
          </w:cols>
          <w:pgMar w:left="440" w:top="121" w:right="439" w:bottom="1440" w:gutter="0" w:footer="0" w:header="0"/>
        </w:sectPr>
      </w:pPr>
    </w:p>
    <w:p>
      <w:pPr>
        <w:spacing w:after="0" w:line="11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AUSTIN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1040" w:firstLine="121"/>
        <w:spacing w:after="0" w:line="253" w:lineRule="auto"/>
        <w:rPr>
          <w:sz w:val="20"/>
          <w:szCs w:val="20"/>
          <w:color w:val="auto"/>
        </w:rPr>
      </w:pPr>
      <w:r>
        <w:rPr>
          <w:rFonts w:ascii="Arial" w:cs="Arial" w:eastAsia="Arial" w:hAnsi="Arial"/>
          <w:sz w:val="14"/>
          <w:szCs w:val="14"/>
          <w:color w:val="auto"/>
        </w:rPr>
        <w:t>BEIJING BOSTON BOULDER BRUSSELS HONG KONG LONDON LOS ANGELES NEW YORK PALO ALTO SALT LAKE CITY SAN DIEGO SAN FRANCISCO SEATTLE SHANGHAI WASHINGTON, DC WILMINGTON, DE</w:t>
      </w:r>
    </w:p>
    <w:p>
      <w:pPr>
        <w:sectPr>
          <w:pgSz w:w="11900" w:h="16838" w:orient="portrait"/>
          <w:cols w:equalWidth="0" w:num="2">
            <w:col w:w="1560" w:space="100"/>
            <w:col w:w="9360"/>
          </w:cols>
          <w:pgMar w:left="440" w:top="121" w:right="439" w:bottom="1440" w:gutter="0" w:footer="0" w:header="0"/>
          <w:type w:val="continuous"/>
        </w:sectPr>
      </w:pPr>
    </w:p>
    <w:bookmarkStart w:id="59" w:name="page60"/>
    <w:bookmarkEnd w:id="5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05460" cy="214630"/>
                    </a:xfrm>
                    <a:prstGeom prst="rect">
                      <a:avLst/>
                    </a:prstGeom>
                    <a:noFill/>
                  </pic:spPr>
                </pic:pic>
              </a:graphicData>
            </a:graphic>
          </wp:anchor>
        </w:drawing>
        <w:t>PMV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 The offering and sale of the Shares are being made pursuant to the common stock sales agreement (the “Sales Agreement”), dated as of October 4, 2021, by and between the Company and Jefferies LLC (the “Sales Agent”).</w:t>
      </w:r>
    </w:p>
    <w:p>
      <w:pPr>
        <w:spacing w:after="0" w:line="188"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With respect to the Shares, we have examined copies of the Sales Agreement, the Registration Statement, and the ATM Prospectus. We have also examined instruments, documents and records which we deemed relevant and necessary for the basis of our opinion hereinafter expressed. In such examination, we have assumed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7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With respect to the filing of the Registration Statement, 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w:t>
      </w:r>
    </w:p>
    <w:p>
      <w:pPr>
        <w:spacing w:after="0" w:line="1" w:lineRule="exact"/>
        <w:rPr>
          <w:sz w:val="20"/>
          <w:szCs w:val="20"/>
          <w:color w:val="auto"/>
        </w:rPr>
      </w:pPr>
    </w:p>
    <w:p>
      <w:pPr>
        <w:ind w:left="264" w:hanging="264"/>
        <w:spacing w:after="0"/>
        <w:tabs>
          <w:tab w:leader="none" w:pos="2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that the Registration Statement, and any amendments thereto (including post-effective amendments), will have become effective under the Act;</w:t>
      </w:r>
    </w:p>
    <w:p>
      <w:pPr>
        <w:spacing w:after="0" w:line="32" w:lineRule="exact"/>
        <w:rPr>
          <w:rFonts w:ascii="Arial" w:cs="Arial" w:eastAsia="Arial" w:hAnsi="Arial"/>
          <w:sz w:val="16"/>
          <w:szCs w:val="16"/>
          <w:color w:val="auto"/>
        </w:rPr>
      </w:pPr>
    </w:p>
    <w:p>
      <w:pPr>
        <w:ind w:left="4" w:right="160" w:hanging="4"/>
        <w:spacing w:after="0" w:line="268" w:lineRule="auto"/>
        <w:tabs>
          <w:tab w:leader="none" w:pos="24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a Prospectus Supplement will have been filed with the Commission describing the Company Securities offered thereby; (f) that the Company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Company Securities offered will have been duly authorized and validly executed and delivered by the Company and the other parties thereto; (h) that any Company Securities issuable upon conversion, exchange, redemption or exercise of any Company Securities being offered will be duly authorized, created and, if appropriate, reserved for issuance upon such conversion, exchange, redemption or exercise; (i) with respect to shares of Common Stock or Preferred Stock offered by the Company,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ind w:left="4" w:right="720" w:firstLine="436"/>
        <w:spacing w:after="0" w:line="277" w:lineRule="auto"/>
        <w:tabs>
          <w:tab w:leader="none" w:pos="7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have been duly authorized by the Company and, when issued and delivered by the Company against payment therefor in accordance with the terms of the Sales Agreement, will be validly issued, fully paid and nonassessable.</w:t>
      </w:r>
    </w:p>
    <w:p>
      <w:pPr>
        <w:sectPr>
          <w:pgSz w:w="11900" w:h="16838" w:orient="portrait"/>
          <w:cols w:equalWidth="0" w:num="1">
            <w:col w:w="11004"/>
          </w:cols>
          <w:pgMar w:left="436" w:top="827" w:right="459" w:bottom="1440" w:gutter="0" w:footer="0" w:header="0"/>
        </w:sectPr>
      </w:pPr>
    </w:p>
    <w:bookmarkStart w:id="60" w:name="page61"/>
    <w:bookmarkEnd w:id="6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05460" cy="214630"/>
                    </a:xfrm>
                    <a:prstGeom prst="rect">
                      <a:avLst/>
                    </a:prstGeom>
                    <a:noFill/>
                  </pic:spPr>
                </pic:pic>
              </a:graphicData>
            </a:graphic>
          </wp:anchor>
        </w:drawing>
        <w:t>PMV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firstLine="436"/>
        <w:spacing w:after="0" w:line="290" w:lineRule="auto"/>
        <w:tabs>
          <w:tab w:leader="none" w:pos="756"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 respect to the shares of Common Stock to be sold by the Company,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Common Stock will be validly issued, fully paid and nonassessable.</w:t>
      </w:r>
    </w:p>
    <w:p>
      <w:pPr>
        <w:spacing w:after="0" w:line="165" w:lineRule="exact"/>
        <w:rPr>
          <w:rFonts w:ascii="Arial" w:cs="Arial" w:eastAsia="Arial" w:hAnsi="Arial"/>
          <w:sz w:val="16"/>
          <w:szCs w:val="16"/>
          <w:color w:val="auto"/>
        </w:rPr>
      </w:pPr>
    </w:p>
    <w:p>
      <w:pPr>
        <w:ind w:left="4" w:right="120" w:firstLine="436"/>
        <w:spacing w:after="0" w:line="286" w:lineRule="auto"/>
        <w:tabs>
          <w:tab w:leader="none" w:pos="756"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1" w:lineRule="exact"/>
        <w:rPr>
          <w:rFonts w:ascii="Arial" w:cs="Arial" w:eastAsia="Arial" w:hAnsi="Arial"/>
          <w:sz w:val="16"/>
          <w:szCs w:val="16"/>
          <w:color w:val="auto"/>
        </w:rPr>
      </w:pPr>
    </w:p>
    <w:p>
      <w:pPr>
        <w:ind w:left="4" w:right="100" w:hanging="4"/>
        <w:spacing w:after="0" w:line="281" w:lineRule="auto"/>
        <w:tabs>
          <w:tab w:leader="none" w:pos="21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spacing w:after="0" w:line="1" w:lineRule="exact"/>
        <w:rPr>
          <w:rFonts w:ascii="Arial" w:cs="Arial" w:eastAsia="Arial" w:hAnsi="Arial"/>
          <w:sz w:val="16"/>
          <w:szCs w:val="16"/>
          <w:color w:val="auto"/>
        </w:rPr>
      </w:pPr>
    </w:p>
    <w:p>
      <w:pPr>
        <w:ind w:left="4" w:right="260" w:hanging="4"/>
        <w:spacing w:after="0" w:line="255"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Preferred Stock will be validly issued, fully paid and nonassessable.</w:t>
      </w:r>
    </w:p>
    <w:p>
      <w:pPr>
        <w:spacing w:after="0" w:line="189" w:lineRule="exact"/>
        <w:rPr>
          <w:rFonts w:ascii="Arial" w:cs="Arial" w:eastAsia="Arial" w:hAnsi="Arial"/>
          <w:sz w:val="18"/>
          <w:szCs w:val="18"/>
          <w:color w:val="auto"/>
        </w:rPr>
      </w:pPr>
    </w:p>
    <w:p>
      <w:pPr>
        <w:ind w:left="4" w:right="20" w:firstLine="436"/>
        <w:spacing w:after="0" w:line="270" w:lineRule="auto"/>
        <w:tabs>
          <w:tab w:leader="none" w:pos="756" w:val="left"/>
        </w:tabs>
        <w:numPr>
          <w:ilvl w:val="1"/>
          <w:numId w:val="43"/>
        </w:numPr>
        <w:rPr>
          <w:rFonts w:ascii="Arial" w:cs="Arial" w:eastAsia="Arial" w:hAnsi="Arial"/>
          <w:sz w:val="17"/>
          <w:szCs w:val="17"/>
          <w:color w:val="auto"/>
        </w:rPr>
      </w:pPr>
      <w:r>
        <w:rPr>
          <w:rFonts w:ascii="Arial" w:cs="Arial" w:eastAsia="Arial" w:hAnsi="Arial"/>
          <w:sz w:val="17"/>
          <w:szCs w:val="17"/>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180" w:lineRule="exact"/>
        <w:rPr>
          <w:rFonts w:ascii="Arial" w:cs="Arial" w:eastAsia="Arial" w:hAnsi="Arial"/>
          <w:sz w:val="17"/>
          <w:szCs w:val="17"/>
          <w:color w:val="auto"/>
        </w:rPr>
      </w:pPr>
    </w:p>
    <w:p>
      <w:pPr>
        <w:ind w:left="4" w:firstLine="436"/>
        <w:spacing w:after="0" w:line="263" w:lineRule="auto"/>
        <w:tabs>
          <w:tab w:leader="none" w:pos="7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w:t>
      </w:r>
    </w:p>
    <w:p>
      <w:pPr>
        <w:sectPr>
          <w:pgSz w:w="11900" w:h="16838" w:orient="portrait"/>
          <w:cols w:equalWidth="0" w:num="1">
            <w:col w:w="11004"/>
          </w:cols>
          <w:pgMar w:left="436" w:top="827"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05460" cy="214630"/>
                    </a:xfrm>
                    <a:prstGeom prst="rect">
                      <a:avLst/>
                    </a:prstGeom>
                    <a:noFill/>
                  </pic:spPr>
                </pic:pic>
              </a:graphicData>
            </a:graphic>
          </wp:anchor>
        </w:drawing>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24" w:lineRule="exact"/>
        <w:rPr>
          <w:sz w:val="20"/>
          <w:szCs w:val="20"/>
          <w:color w:val="auto"/>
        </w:rPr>
      </w:pPr>
    </w:p>
    <w:p>
      <w:pPr>
        <w:ind w:firstLine="436"/>
        <w:spacing w:after="0" w:line="257" w:lineRule="auto"/>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87" w:lineRule="exact"/>
        <w:rPr>
          <w:rFonts w:ascii="Arial" w:cs="Arial" w:eastAsia="Arial" w:hAnsi="Arial"/>
          <w:sz w:val="18"/>
          <w:szCs w:val="18"/>
          <w:color w:val="auto"/>
        </w:rPr>
      </w:pPr>
    </w:p>
    <w:p>
      <w:pPr>
        <w:jc w:val="both"/>
        <w:ind w:right="60" w:firstLine="436"/>
        <w:spacing w:after="0" w:line="259" w:lineRule="auto"/>
        <w:tabs>
          <w:tab w:leader="none" w:pos="7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86" w:lineRule="exact"/>
        <w:rPr>
          <w:rFonts w:ascii="Arial" w:cs="Arial" w:eastAsia="Arial" w:hAnsi="Arial"/>
          <w:sz w:val="18"/>
          <w:szCs w:val="18"/>
          <w:color w:val="auto"/>
        </w:rPr>
      </w:pPr>
    </w:p>
    <w:p>
      <w:pPr>
        <w:ind w:right="40" w:firstLine="436"/>
        <w:spacing w:after="0" w:line="293" w:lineRule="auto"/>
        <w:tabs>
          <w:tab w:leader="none" w:pos="7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the Units, when: (a) the Board has taken all necessary corporate action to approve the issuance and terms of the Units (including any Company Securities underlying the Units) and related matters; and (b) the Units (including any Company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Company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right="240" w:firstLine="987"/>
        <w:spacing w:after="0" w:line="277" w:lineRule="auto"/>
        <w:tabs>
          <w:tab w:leader="none" w:pos="13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transfer, moratorium or other similar laws relating to or affecting the rights of creditors generally;</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ind w:right="340" w:firstLine="987"/>
        <w:spacing w:after="0" w:line="308" w:lineRule="auto"/>
        <w:tabs>
          <w:tab w:leader="none" w:pos="137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4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We express no opinion as to the laws of any other jurisdiction, other than the federal laws of the United States of America, the laws of the State of New York as to the enforceability of the Debt Securities, the Warrants, the Subscription Rights, the Purchase Contracts and the Units, and the DGCL.</w:t>
      </w:r>
    </w:p>
    <w:p>
      <w:pPr>
        <w:sectPr>
          <w:pgSz w:w="11900" w:h="16838" w:orient="portrait"/>
          <w:cols w:equalWidth="0" w:num="1">
            <w:col w:w="10960"/>
          </w:cols>
          <w:pgMar w:left="440" w:top="827"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05460" cy="214630"/>
                    </a:xfrm>
                    <a:prstGeom prst="rect">
                      <a:avLst/>
                    </a:prstGeom>
                    <a:noFill/>
                  </pic:spPr>
                </pic:pic>
              </a:graphicData>
            </a:graphic>
          </wp:anchor>
        </w:drawing>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Base Prospectus, the ATM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11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980"/>
          </w:cols>
          <w:pgMar w:left="440" w:top="827" w:right="4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consent to the reference to our firm under the caption “Experts” in Amendment No. 2 to the Registration Statement (Form S-3) and related Prospectus of PMV Pharmaceuticals, Inc. for the registration of common stock, preferred stock, debt securities, warrants, subscription rights, purchase contracts and units and to the incorporation by reference therein of our report dated March 1, 2023, with respect to the financial statements of PMV Pharmaceuticals, Inc., included in its Annual Report (Form 10-K) for the year ended December 31, 2022,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609"/>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609"/>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1)"/>
      <w:numFmt w:val="decimal"/>
      <w:start w:val="5"/>
    </w:lvl>
    <w:lvl w:ilvl="1">
      <w:lvlJc w:val="left"/>
      <w:lvlText w:val="(%2)"/>
      <w:numFmt w:val="lowerRoman"/>
      <w:start w:val="1"/>
    </w:lvl>
  </w:abstractNum>
  <w:abstractNum w:abstractNumId="34">
    <w:nsid w:val="2D517796"/>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5">
    <w:nsid w:val="580BD78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153EA438"/>
    <w:multiLevelType w:val="hybridMultilevel"/>
    <w:lvl w:ilvl="0">
      <w:lvlJc w:val="left"/>
      <w:lvlText w:val="(%1)"/>
      <w:numFmt w:val="lowerLetter"/>
      <w:start w:val="8"/>
    </w:lvl>
  </w:abstractNum>
  <w:abstractNum w:abstractNumId="37">
    <w:nsid w:val="3855585C"/>
    <w:multiLevelType w:val="hybridMultilevel"/>
    <w:lvl w:ilvl="0">
      <w:lvlJc w:val="left"/>
      <w:lvlText w:val="(%1)"/>
      <w:numFmt w:val="lowerLetter"/>
      <w:start w:val="10"/>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4"/>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Roman"/>
      <w:start w:val="1"/>
    </w:lvl>
    <w:lvl w:ilvl="1">
      <w:lvlJc w:val="left"/>
      <w:lvlText w:val="%2."/>
      <w:numFmt w:val="decimal"/>
      <w:start w:val="2"/>
    </w:lvl>
  </w:abstractNum>
  <w:abstractNum w:abstractNumId="42">
    <w:nsid w:val="725A06FB"/>
    <w:multiLevelType w:val="hybridMultilevel"/>
    <w:lvl w:ilvl="0">
      <w:lvlJc w:val="left"/>
      <w:lvlText w:val="(%1)"/>
      <w:numFmt w:val="lowerRoman"/>
      <w:start w:val="1"/>
    </w:lvl>
    <w:lvl w:ilvl="1">
      <w:lvlJc w:val="left"/>
      <w:lvlText w:val="%2."/>
      <w:numFmt w:val="decimal"/>
      <w:start w:val="4"/>
    </w:lvl>
  </w:abstractNum>
  <w:abstractNum w:abstractNumId="43">
    <w:nsid w:val="2CD89A32"/>
    <w:multiLevelType w:val="hybridMultilevel"/>
    <w:lvl w:ilvl="0">
      <w:lvlJc w:val="left"/>
      <w:lvlText w:val="%1."/>
      <w:numFmt w:val="decimal"/>
      <w:start w:val="6"/>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e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jpe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jpe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jpeg"/><Relationship Id="rId121" Type="http://schemas.openxmlformats.org/officeDocument/2006/relationships/image" Target="media/image100.png"/><Relationship Id="rId122" Type="http://schemas.openxmlformats.org/officeDocument/2006/relationships/image" Target="media/image101.jpeg"/><Relationship Id="rId123" Type="http://schemas.openxmlformats.org/officeDocument/2006/relationships/image" Target="media/image102.png"/><Relationship Id="rId124" Type="http://schemas.openxmlformats.org/officeDocument/2006/relationships/image" Target="media/image103.jpeg"/><Relationship Id="rId125" Type="http://schemas.openxmlformats.org/officeDocument/2006/relationships/image" Target="media/image104.png"/><Relationship Id="rId126" Type="http://schemas.openxmlformats.org/officeDocument/2006/relationships/image" Target="media/image105.jpeg"/><Relationship Id="rId127" Type="http://schemas.openxmlformats.org/officeDocument/2006/relationships/image" Target="media/image106.png"/><Relationship Id="rId128" Type="http://schemas.openxmlformats.org/officeDocument/2006/relationships/image" Target="media/image107.jpeg"/><Relationship Id="rId57" Type="http://schemas.openxmlformats.org/officeDocument/2006/relationships/hyperlink" Target="http://www.sec.gov/ix?doc=/Archives/edgar/data/0001699382/000095017023005345/pmvp-20221231.htm" TargetMode="External"/><Relationship Id="rId58" Type="http://schemas.openxmlformats.org/officeDocument/2006/relationships/hyperlink" Target="http://www.sec.gov/Archives/edgar/data/1699382/000114036122015508/ny20002213x1_def14a.htm" TargetMode="External"/><Relationship Id="rId59" Type="http://schemas.openxmlformats.org/officeDocument/2006/relationships/hyperlink" Target="http://www.sec.gov/Archives/edgar/data/1699382/000119312520250157/d14856d8a12b.htm" TargetMode="External"/><Relationship Id="rId60" Type="http://schemas.openxmlformats.org/officeDocument/2006/relationships/hyperlink" Target="http://www.sec.gov/Archives/edgar/data/1699382/000156459021010578/pmvp-ex41_260.htm" TargetMode="External"/><Relationship Id="rId61" Type="http://schemas.openxmlformats.org/officeDocument/2006/relationships/hyperlink" Target="http://www.sec.gov/Archives/edgar/data/1699382/000156459021010578/pmvp-10k_20201231.htm" TargetMode="External"/><Relationship Id="rId104" Type="http://schemas.openxmlformats.org/officeDocument/2006/relationships/hyperlink" Target="http://www.sec.gov/Archives/edgar/data/1699382/000119312521290972/d231282dex12.htm" TargetMode="External"/><Relationship Id="rId105" Type="http://schemas.openxmlformats.org/officeDocument/2006/relationships/hyperlink" Target="http://www.sec.gov/Archives/edgar/data/1699382/000119312520257820/d95525dex31.htm" TargetMode="External"/><Relationship Id="rId106" Type="http://schemas.openxmlformats.org/officeDocument/2006/relationships/hyperlink" Target="http://www.sec.gov/Archives/edgar/data/1699382/000119312520257820/d95525dex32.htm" TargetMode="External"/><Relationship Id="rId107" Type="http://schemas.openxmlformats.org/officeDocument/2006/relationships/hyperlink" Target="http://www.sec.gov/Archives/edgar/data/1699382/000119312520240132/d922470dex41.htm" TargetMode="External"/><Relationship Id="rId108" Type="http://schemas.openxmlformats.org/officeDocument/2006/relationships/hyperlink" Target="http://www.sec.gov/Archives/edgar/data/1699382/000119312520249570/d922470dex42.htm" TargetMode="External"/><Relationship Id="rId109" Type="http://schemas.openxmlformats.org/officeDocument/2006/relationships/hyperlink" Target="http://www.sec.gov/Archives/edgar/data/1699382/000119312521290972/d231282dex44.htm" TargetMode="External"/><Relationship Id="rId110" Type="http://schemas.openxmlformats.org/officeDocument/2006/relationships/hyperlink" Target="http://www.sec.gov/Archives/edgar/data/1699382/000119312521290972/d231282ds3asr.htm#sig" TargetMode="External"/><Relationship Id="rId111" Type="http://schemas.openxmlformats.org/officeDocument/2006/relationships/hyperlink" Target="http://www.sec.gov/Archives/edgar/data/1699382/000119312523055105/d468441dposasr.htm#sig" TargetMode="External"/><Relationship Id="rId112" Type="http://schemas.openxmlformats.org/officeDocument/2006/relationships/hyperlink" Target="http://www.sec.gov/Archives/edgar/data/1699382/000119312523055105/d46844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2023-03-01T15:19:26Z</dcterms:created>
  <dcterms:modified xsi:type="dcterms:W3CDTF">2023-03-01T15:19:26Z</dcterms:modified>
</cp:coreProperties>
</file>