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ss2418229_sc13da.htm"/>
      <w:bookmarkStart w:id="1" w:name="ksss2418229_sc13da"/>
      <w:bookmarkEnd w:id="0"/>
      <w:bookmarkEnd w:id="1"/>
      <w:r>
        <w:rPr>
          <w:bdr w:val="single" w:sz="16"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ind w:left="187" w:right="187"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SCHEDULE 13D</w:t>
      </w:r>
    </w:p>
    <w:p>
      <w:pPr>
        <w:pStyle w:val="TextBody"/>
        <w:bidi w:val="0"/>
        <w:jc w:val="left"/>
        <w:rPr>
          <w:caps w:val="false"/>
          <w:smallCaps w:val="false"/>
        </w:rPr>
      </w:pPr>
      <w:r>
        <w:rPr>
          <w:caps w:val="false"/>
          <w:smallCaps w:val="false"/>
        </w:rPr>
        <w:t> </w:t>
      </w:r>
    </w:p>
    <w:p>
      <w:pPr>
        <w:pStyle w:val="TextBody"/>
        <w:bidi w:val="0"/>
        <w:ind w:left="187" w:right="18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ind w:left="187" w:right="187"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2)*</w:t>
      </w:r>
    </w:p>
    <w:p>
      <w:pPr>
        <w:pStyle w:val="TextBody"/>
        <w:bidi w:val="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5225"/>
      </w:tblGrid>
      <w:tr>
        <w:trPr/>
        <w:tc>
          <w:tcPr>
            <w:tcW w:w="5225" w:type="dxa"/>
            <w:tcBorders/>
            <w:vAlign w:val="center"/>
          </w:tcPr>
          <w:p>
            <w:pPr>
              <w:pStyle w:val="TableContents"/>
              <w:bidi w:val="0"/>
              <w:spacing w:before="0" w:after="283"/>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PMV Pharmaceuticals, Inc.</w:t>
            </w:r>
          </w:p>
        </w:tc>
      </w:tr>
      <w:tr>
        <w:trPr/>
        <w:tc>
          <w:tcPr>
            <w:tcW w:w="5225" w:type="dxa"/>
            <w:tcBorders>
              <w:top w:val="single" w:sz="12" w:space="0" w:color="000000"/>
            </w:tcBorders>
            <w:tcMar>
              <w:top w:w="45"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Issuer)</w:t>
            </w:r>
          </w:p>
          <w:p>
            <w:pPr>
              <w:pStyle w:val="TableContents"/>
              <w:bidi w:val="0"/>
              <w:spacing w:before="0" w:after="283"/>
              <w:ind w:left="0" w:right="0" w:firstLine="1440"/>
              <w:jc w:val="center"/>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r>
      <w:tr>
        <w:trPr/>
        <w:tc>
          <w:tcPr>
            <w:tcW w:w="52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 of Securities)</w:t>
            </w:r>
          </w:p>
          <w:p>
            <w:pPr>
              <w:pStyle w:val="TableContents"/>
              <w:bidi w:val="0"/>
              <w:spacing w:before="0" w:after="283"/>
              <w:ind w:left="0" w:right="0" w:firstLine="1080"/>
              <w:jc w:val="center"/>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spacing w:before="0" w:after="283"/>
              <w:jc w:val="center"/>
              <w:rPr>
                <w:rFonts w:ascii="Times New Roman;Times;Serif" w:hAnsi="Times New Roman;Times;Serif"/>
                <w:b/>
                <w:i w:val="false"/>
                <w:caps w:val="false"/>
                <w:smallCaps w:val="false"/>
                <w:color w:val="333333"/>
                <w:sz w:val="20"/>
                <w:shd w:fill="FFFFFF" w:val="clear"/>
              </w:rPr>
            </w:pPr>
            <w:r>
              <w:rPr>
                <w:rFonts w:ascii="Times New Roman;Times;Serif" w:hAnsi="Times New Roman;Times;Serif"/>
                <w:b/>
                <w:i w:val="false"/>
                <w:caps w:val="false"/>
                <w:smallCaps w:val="false"/>
                <w:color w:val="333333"/>
                <w:sz w:val="20"/>
                <w:shd w:fill="FFFFFF" w:val="clear"/>
              </w:rPr>
              <w:t>69353Y103</w:t>
            </w:r>
          </w:p>
        </w:tc>
      </w:tr>
      <w:tr>
        <w:trPr/>
        <w:tc>
          <w:tcPr>
            <w:tcW w:w="52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Number)</w:t>
            </w:r>
          </w:p>
          <w:p>
            <w:pPr>
              <w:pStyle w:val="TableContents"/>
              <w:bidi w:val="0"/>
              <w:spacing w:before="0" w:after="283"/>
              <w:ind w:left="0" w:right="0" w:firstLine="1440"/>
              <w:jc w:val="left"/>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Advisors LLC</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Capital GP V LLC</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OrbiMed Genesis GP LLC</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601 Lexington Avenue, 54th Floor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(212) 739-6400</w:t>
            </w:r>
          </w:p>
          <w:p>
            <w:pPr>
              <w:pStyle w:val="TableContents"/>
              <w:bidi w:val="0"/>
              <w:spacing w:before="0" w:after="283"/>
              <w:ind w:left="0" w:right="0" w:firstLine="1440"/>
              <w:jc w:val="left"/>
              <w:rPr>
                <w:caps w:val="false"/>
                <w:smallCaps w:val="false"/>
              </w:rPr>
            </w:pPr>
            <w:r>
              <w:rPr>
                <w:caps w:val="false"/>
                <w:smallCaps w:val="false"/>
              </w:rPr>
              <w:t>                       </w:t>
            </w:r>
          </w:p>
        </w:tc>
      </w:tr>
      <w:tr>
        <w:trPr/>
        <w:tc>
          <w:tcPr>
            <w:tcW w:w="5225"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Person Authorized to</w:t>
              <w:br/>
              <w:t>Receive Notices and Communications)</w:t>
            </w:r>
          </w:p>
          <w:p>
            <w:pPr>
              <w:pStyle w:val="TableContents"/>
              <w:bidi w:val="0"/>
              <w:spacing w:before="0" w:after="283"/>
              <w:ind w:left="0" w:right="0" w:firstLine="1440"/>
              <w:jc w:val="center"/>
              <w:rPr>
                <w:caps w:val="false"/>
                <w:smallCaps w:val="false"/>
              </w:rPr>
            </w:pPr>
            <w:r>
              <w:rPr>
                <w:caps w:val="false"/>
                <w:smallCaps w:val="false"/>
              </w:rPr>
              <w:t>                       </w:t>
            </w:r>
          </w:p>
        </w:tc>
      </w:tr>
      <w:tr>
        <w:trPr/>
        <w:tc>
          <w:tcPr>
            <w:tcW w:w="5225" w:type="dxa"/>
            <w:tcBorders>
              <w:bottom w:val="single" w:sz="12" w:space="0" w:color="000000"/>
            </w:tcBorders>
            <w:tcMar>
              <w:bottom w:w="45"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9, 2023</w:t>
            </w:r>
          </w:p>
        </w:tc>
      </w:tr>
      <w:tr>
        <w:trPr/>
        <w:tc>
          <w:tcPr>
            <w:tcW w:w="52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which Requires Filing of this Statement)</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Schedules filed in paper format shall include a signed original and five copies of the schedule, including all exhibits.  See §240.13d-7(b) for other parties to whom copies are to be sent.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60" w:after="24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left"/>
        <w:rPr>
          <w:caps w:val="false"/>
          <w:smallCaps w:val="false"/>
        </w:rPr>
      </w:pPr>
      <w:r>
        <w:rPr>
          <w:caps w:val="false"/>
          <w:smallCaps w:val="false"/>
        </w:rPr>
        <w:t>              </w:t>
      </w:r>
    </w:p>
    <w:tbl>
      <w:tblPr>
        <w:tblW w:w="2135" w:type="dxa"/>
        <w:jc w:val="left"/>
        <w:tblInd w:w="-15" w:type="dxa"/>
        <w:tblLayout w:type="fixed"/>
        <w:tblCellMar>
          <w:top w:w="120" w:type="dxa"/>
          <w:left w:w="120" w:type="dxa"/>
          <w:bottom w:w="120" w:type="dxa"/>
          <w:right w:w="120" w:type="dxa"/>
        </w:tblCellMar>
      </w:tblPr>
      <w:tblGrid>
        <w:gridCol w:w="2000"/>
        <w:gridCol w:w="60"/>
        <w:gridCol w:w="75"/>
      </w:tblGrid>
      <w:tr>
        <w:trPr/>
        <w:tc>
          <w:tcPr>
            <w:tcW w:w="200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No.  </w:t>
            </w:r>
            <w:r>
              <w:rPr>
                <w:rFonts w:ascii="Times New Roman;Times;Serif" w:hAnsi="Times New Roman;Times;Serif"/>
                <w:b/>
                <w:i w:val="false"/>
                <w:caps w:val="false"/>
                <w:smallCaps w:val="false"/>
                <w:color w:val="333333"/>
                <w:sz w:val="20"/>
                <w:shd w:fill="FFFFFF" w:val="clear"/>
              </w:rPr>
              <w:t>69353Y103</w:t>
            </w:r>
          </w:p>
        </w:tc>
        <w:tc>
          <w:tcPr>
            <w:tcW w:w="6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452" w:type="dxa"/>
        <w:jc w:val="left"/>
        <w:tblInd w:w="-15" w:type="dxa"/>
        <w:tblLayout w:type="fixed"/>
        <w:tblCellMar>
          <w:top w:w="45" w:type="dxa"/>
          <w:left w:w="45" w:type="dxa"/>
          <w:bottom w:w="45" w:type="dxa"/>
          <w:right w:w="45" w:type="dxa"/>
        </w:tblCellMar>
      </w:tblPr>
      <w:tblGrid>
        <w:gridCol w:w="594"/>
        <w:gridCol w:w="914"/>
        <w:gridCol w:w="4895"/>
        <w:gridCol w:w="1611"/>
        <w:gridCol w:w="1438"/>
      </w:tblGrid>
      <w:tr>
        <w:trPr/>
        <w:tc>
          <w:tcPr>
            <w:tcW w:w="594" w:type="dxa"/>
            <w:tcBorders>
              <w:top w:val="single" w:sz="8"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w:t>
            </w:r>
          </w:p>
        </w:tc>
        <w:tc>
          <w:tcPr>
            <w:tcW w:w="8858" w:type="dxa"/>
            <w:gridSpan w:val="4"/>
            <w:tcBorders>
              <w:top w:val="single" w:sz="8" w:space="0" w:color="000000"/>
              <w:bottom w:val="single" w:sz="12" w:space="0" w:color="000000"/>
              <w:right w:val="single" w:sz="12" w:space="0" w:color="000000"/>
            </w:tcBorders>
            <w:tcMar>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2</w:t>
            </w:r>
          </w:p>
        </w:tc>
        <w:tc>
          <w:tcPr>
            <w:tcW w:w="7420" w:type="dxa"/>
            <w:gridSpan w:val="3"/>
            <w:tcBorders>
              <w:bottom w:val="single" w:sz="12" w:space="0" w:color="000000"/>
            </w:tcBorders>
            <w:tcMar>
              <w:top w:w="0" w:type="dxa"/>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sz w:val="20"/>
              </w:rPr>
              <w:t>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sz w:val="20"/>
              </w:rPr>
              <w:t>o</w:t>
            </w:r>
          </w:p>
        </w:tc>
        <w:tc>
          <w:tcPr>
            <w:tcW w:w="1438" w:type="dxa"/>
            <w:tcBorders>
              <w:bottom w:val="single" w:sz="12" w:space="0" w:color="000000"/>
              <w:right w:val="single" w:sz="12" w:space="0" w:color="000000"/>
            </w:tcBorders>
            <w:tcMar>
              <w:top w:w="0" w:type="dxa"/>
              <w:left w:w="0" w:type="dxa"/>
            </w:tcMar>
            <w:vAlign w:val="center"/>
          </w:tcPr>
          <w:p>
            <w:pPr>
              <w:pStyle w:val="TableContents"/>
              <w:bidi w:val="0"/>
              <w:jc w:val="both"/>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3</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Use Only   </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4</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5</w:t>
            </w:r>
          </w:p>
        </w:tc>
        <w:tc>
          <w:tcPr>
            <w:tcW w:w="742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Disclosure of Legal Proceedings Is Required Pursuant to Items 2(d) or 2(e)</w:t>
            </w:r>
          </w:p>
        </w:tc>
        <w:tc>
          <w:tcPr>
            <w:tcW w:w="1438"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6</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508" w:type="dxa"/>
            <w:gridSpan w:val="2"/>
            <w:vMerge w:val="restart"/>
            <w:tcBorders>
              <w:left w:val="single" w:sz="12" w:space="0" w:color="000000"/>
              <w:bottom w:val="single" w:sz="12" w:space="0" w:color="000000"/>
            </w:tcBorders>
            <w:tcMar>
              <w:top w:w="0" w:type="dxa"/>
              <w:righ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48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7</w:t>
            </w:r>
          </w:p>
        </w:tc>
        <w:tc>
          <w:tcPr>
            <w:tcW w:w="304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508"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48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8</w:t>
            </w:r>
          </w:p>
        </w:tc>
        <w:tc>
          <w:tcPr>
            <w:tcW w:w="304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6,563,077</w:t>
            </w:r>
          </w:p>
        </w:tc>
      </w:tr>
      <w:tr>
        <w:trPr/>
        <w:tc>
          <w:tcPr>
            <w:tcW w:w="1508"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48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9</w:t>
            </w:r>
          </w:p>
        </w:tc>
        <w:tc>
          <w:tcPr>
            <w:tcW w:w="304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508"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489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10</w:t>
            </w:r>
          </w:p>
        </w:tc>
        <w:tc>
          <w:tcPr>
            <w:tcW w:w="304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6,563,077</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11</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6,563,077</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12</w:t>
            </w:r>
          </w:p>
        </w:tc>
        <w:tc>
          <w:tcPr>
            <w:tcW w:w="7420"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(See Instructions) </w:t>
            </w:r>
          </w:p>
        </w:tc>
        <w:tc>
          <w:tcPr>
            <w:tcW w:w="1438"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13</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r>
      <w:tr>
        <w:trPr/>
        <w:tc>
          <w:tcPr>
            <w:tcW w:w="594"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14</w:t>
            </w:r>
          </w:p>
        </w:tc>
        <w:tc>
          <w:tcPr>
            <w:tcW w:w="8858"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w:t>
            </w:r>
          </w:p>
        </w:tc>
      </w:tr>
      <w:tr>
        <w:trPr/>
        <w:tc>
          <w:tcPr>
            <w:tcW w:w="594" w:type="dxa"/>
            <w:tcBorders/>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ind w:left="0" w:right="0" w:firstLine="72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This percentage is calculated based upon 48,454,582 shares of common stock outstanding of PMV Pharmaceuticals, Inc. (the “Issuer”), as set forth in the Issuer’s Quarterly Report on Form 10-Q for the quarter ending June 30, 2023, filed with the Securities and Exchange Commission on August 9, 2023.</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2090" w:type="dxa"/>
        <w:jc w:val="left"/>
        <w:tblInd w:w="-15" w:type="dxa"/>
        <w:tblLayout w:type="fixed"/>
        <w:tblCellMar>
          <w:top w:w="120" w:type="dxa"/>
          <w:left w:w="120" w:type="dxa"/>
          <w:bottom w:w="120" w:type="dxa"/>
          <w:right w:w="120" w:type="dxa"/>
        </w:tblCellMar>
      </w:tblPr>
      <w:tblGrid>
        <w:gridCol w:w="1955"/>
        <w:gridCol w:w="60"/>
        <w:gridCol w:w="75"/>
      </w:tblGrid>
      <w:tr>
        <w:trPr/>
        <w:tc>
          <w:tcPr>
            <w:tcW w:w="19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No. </w:t>
            </w:r>
            <w:r>
              <w:rPr>
                <w:rFonts w:ascii="Times New Roman;Times;Serif" w:hAnsi="Times New Roman;Times;Serif"/>
                <w:b/>
                <w:i w:val="false"/>
                <w:caps w:val="false"/>
                <w:smallCaps w:val="false"/>
                <w:color w:val="333333"/>
                <w:sz w:val="20"/>
                <w:shd w:fill="FFFFFF" w:val="clear"/>
              </w:rPr>
              <w:t>69353Y103</w:t>
            </w:r>
          </w:p>
        </w:tc>
        <w:tc>
          <w:tcPr>
            <w:tcW w:w="6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392" w:type="dxa"/>
        <w:jc w:val="left"/>
        <w:tblInd w:w="-15" w:type="dxa"/>
        <w:tblLayout w:type="fixed"/>
        <w:tblCellMar>
          <w:top w:w="45" w:type="dxa"/>
          <w:left w:w="45" w:type="dxa"/>
          <w:bottom w:w="45" w:type="dxa"/>
          <w:right w:w="45" w:type="dxa"/>
        </w:tblCellMar>
      </w:tblPr>
      <w:tblGrid>
        <w:gridCol w:w="358"/>
        <w:gridCol w:w="1057"/>
        <w:gridCol w:w="5288"/>
        <w:gridCol w:w="1453"/>
        <w:gridCol w:w="1236"/>
      </w:tblGrid>
      <w:tr>
        <w:trPr/>
        <w:tc>
          <w:tcPr>
            <w:tcW w:w="358" w:type="dxa"/>
            <w:tcBorders>
              <w:top w:val="single" w:sz="8"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w:t>
            </w:r>
          </w:p>
        </w:tc>
        <w:tc>
          <w:tcPr>
            <w:tcW w:w="9034" w:type="dxa"/>
            <w:gridSpan w:val="4"/>
            <w:tcBorders>
              <w:top w:val="single" w:sz="8" w:space="0" w:color="000000"/>
              <w:bottom w:val="single" w:sz="12" w:space="0" w:color="000000"/>
              <w:right w:val="single" w:sz="12" w:space="0" w:color="000000"/>
            </w:tcBorders>
            <w:tcMar>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Capital GP V LLC</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2</w:t>
            </w:r>
          </w:p>
        </w:tc>
        <w:tc>
          <w:tcPr>
            <w:tcW w:w="7798" w:type="dxa"/>
            <w:gridSpan w:val="3"/>
            <w:tcBorders>
              <w:bottom w:val="single" w:sz="12" w:space="0" w:color="000000"/>
            </w:tcBorders>
            <w:tcMar>
              <w:top w:w="0" w:type="dxa"/>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sz w:val="20"/>
              </w:rPr>
              <w:t>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sz w:val="20"/>
              </w:rPr>
              <w:t>o</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jc w:val="both"/>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3</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Use Only               </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4</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5</w:t>
            </w:r>
          </w:p>
        </w:tc>
        <w:tc>
          <w:tcPr>
            <w:tcW w:w="7798"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6</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15" w:type="dxa"/>
            <w:gridSpan w:val="2"/>
            <w:vMerge w:val="restart"/>
            <w:tcBorders>
              <w:left w:val="single" w:sz="12" w:space="0" w:color="000000"/>
              <w:bottom w:val="single" w:sz="12" w:space="0" w:color="000000"/>
            </w:tcBorders>
            <w:tcMar>
              <w:top w:w="0" w:type="dxa"/>
              <w:righ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7</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8</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6,475,291</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9</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10</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6,475,291</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11</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6,475,291</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12</w:t>
            </w:r>
          </w:p>
        </w:tc>
        <w:tc>
          <w:tcPr>
            <w:tcW w:w="7798"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(See Instructions)              </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13</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14</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35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5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This percentage is calculated based upon 48,454,582 shares of common stock outstanding of PMV Pharmaceuticals, Inc. (the “Issuer”), as set forth in the Issuer’s Quarterly Report on Form 10-Q for the quarter ending June 30, 2023, filed with the Securities and Exchange Commission on August 9, 2023.</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tbl>
      <w:tblPr>
        <w:tblW w:w="2090" w:type="dxa"/>
        <w:jc w:val="left"/>
        <w:tblInd w:w="-15" w:type="dxa"/>
        <w:tblLayout w:type="fixed"/>
        <w:tblCellMar>
          <w:top w:w="120" w:type="dxa"/>
          <w:left w:w="120" w:type="dxa"/>
          <w:bottom w:w="120" w:type="dxa"/>
          <w:right w:w="120" w:type="dxa"/>
        </w:tblCellMar>
      </w:tblPr>
      <w:tblGrid>
        <w:gridCol w:w="1955"/>
        <w:gridCol w:w="60"/>
        <w:gridCol w:w="75"/>
      </w:tblGrid>
      <w:tr>
        <w:trPr/>
        <w:tc>
          <w:tcPr>
            <w:tcW w:w="195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CUSIP No. </w:t>
            </w:r>
            <w:r>
              <w:rPr>
                <w:rFonts w:ascii="Times New Roman;Times;Serif" w:hAnsi="Times New Roman;Times;Serif"/>
                <w:b/>
                <w:i w:val="false"/>
                <w:caps w:val="false"/>
                <w:smallCaps w:val="false"/>
                <w:color w:val="333333"/>
                <w:sz w:val="20"/>
                <w:shd w:fill="FFFFFF" w:val="clear"/>
              </w:rPr>
              <w:t>69353Y103</w:t>
            </w:r>
          </w:p>
        </w:tc>
        <w:tc>
          <w:tcPr>
            <w:tcW w:w="60" w:type="dxa"/>
            <w:tcBorders/>
            <w:tcMar>
              <w:top w:w="0" w:type="dxa"/>
              <w:left w:w="0" w:type="dxa"/>
              <w:bottom w:w="0" w:type="dxa"/>
              <w:right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tbl>
      <w:tblPr>
        <w:tblW w:w="9392" w:type="dxa"/>
        <w:jc w:val="left"/>
        <w:tblInd w:w="-15" w:type="dxa"/>
        <w:tblLayout w:type="fixed"/>
        <w:tblCellMar>
          <w:top w:w="45" w:type="dxa"/>
          <w:left w:w="45" w:type="dxa"/>
          <w:bottom w:w="45" w:type="dxa"/>
          <w:right w:w="45" w:type="dxa"/>
        </w:tblCellMar>
      </w:tblPr>
      <w:tblGrid>
        <w:gridCol w:w="358"/>
        <w:gridCol w:w="1057"/>
        <w:gridCol w:w="5288"/>
        <w:gridCol w:w="1453"/>
        <w:gridCol w:w="1236"/>
      </w:tblGrid>
      <w:tr>
        <w:trPr/>
        <w:tc>
          <w:tcPr>
            <w:tcW w:w="358" w:type="dxa"/>
            <w:tcBorders>
              <w:top w:val="single" w:sz="8"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w:t>
            </w:r>
          </w:p>
        </w:tc>
        <w:tc>
          <w:tcPr>
            <w:tcW w:w="9034" w:type="dxa"/>
            <w:gridSpan w:val="4"/>
            <w:tcBorders>
              <w:top w:val="single" w:sz="8" w:space="0" w:color="000000"/>
              <w:bottom w:val="single" w:sz="12" w:space="0" w:color="000000"/>
              <w:right w:val="single" w:sz="12" w:space="0" w:color="000000"/>
            </w:tcBorders>
            <w:tcMar>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of Reporting Persons.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Genesis GP LLC</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2</w:t>
            </w:r>
          </w:p>
        </w:tc>
        <w:tc>
          <w:tcPr>
            <w:tcW w:w="7798" w:type="dxa"/>
            <w:gridSpan w:val="3"/>
            <w:tcBorders>
              <w:bottom w:val="single" w:sz="12" w:space="0" w:color="000000"/>
            </w:tcBorders>
            <w:tcMar>
              <w:top w:w="0" w:type="dxa"/>
              <w:left w:w="0" w:type="dxa"/>
              <w:righ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if a Member of a Group (See Instructions).</w:t>
            </w:r>
          </w:p>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Wingdings" w:hAnsi="Wingdings"/>
                <w:b w:val="false"/>
                <w:i w:val="false"/>
                <w:caps w:val="false"/>
                <w:smallCaps w:val="false"/>
                <w:sz w:val="20"/>
              </w:rPr>
              <w:t>o</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Wingdings" w:hAnsi="Wingdings"/>
                <w:b w:val="false"/>
                <w:i w:val="false"/>
                <w:caps w:val="false"/>
                <w:smallCaps w:val="false"/>
                <w:sz w:val="20"/>
              </w:rPr>
              <w:t>o</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jc w:val="both"/>
              <w:rPr>
                <w:caps w:val="false"/>
                <w:smallCaps w:val="false"/>
              </w:rPr>
            </w:pPr>
            <w:r>
              <w:rPr>
                <w:caps w:val="false"/>
                <w:smallCaps w:val="false"/>
              </w:rPr>
              <w:t> </w:t>
            </w:r>
          </w:p>
          <w:p>
            <w:pPr>
              <w:pStyle w:val="TableContents"/>
              <w:bidi w:val="0"/>
              <w:jc w:val="left"/>
              <w:rPr>
                <w:caps w:val="false"/>
                <w:smallCaps w:val="false"/>
              </w:rPr>
            </w:pPr>
            <w:r>
              <w:rPr>
                <w:caps w:val="false"/>
                <w:smallCaps w:val="false"/>
              </w:rPr>
              <w:t> </w:t>
            </w:r>
          </w:p>
          <w:p>
            <w:pPr>
              <w:pStyle w:val="TableContents"/>
              <w:bidi w:val="0"/>
              <w:spacing w:before="0" w:after="283"/>
              <w:jc w:val="left"/>
              <w:rPr>
                <w:caps w:val="false"/>
                <w:smallCaps w:val="false"/>
              </w:rPr>
            </w:pPr>
            <w:r>
              <w:rPr>
                <w:caps w:val="false"/>
                <w:smallCaps w:val="false"/>
              </w:rPr>
              <w:t> </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3</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Use Only               </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4</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of Funds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5</w:t>
            </w:r>
          </w:p>
        </w:tc>
        <w:tc>
          <w:tcPr>
            <w:tcW w:w="7798"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Disclosure of Legal Proceedings Is Required Pursuant to Items 2(d) or 2(e)            </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6</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Citizenship or Place of Organization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r>
      <w:tr>
        <w:trPr/>
        <w:tc>
          <w:tcPr>
            <w:tcW w:w="1415" w:type="dxa"/>
            <w:gridSpan w:val="2"/>
            <w:vMerge w:val="restart"/>
            <w:tcBorders>
              <w:left w:val="single" w:sz="12" w:space="0" w:color="000000"/>
              <w:bottom w:val="single" w:sz="12" w:space="0" w:color="000000"/>
            </w:tcBorders>
            <w:tcMar>
              <w:top w:w="0" w:type="dxa"/>
              <w:right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BENEFICIALLY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OWNED BY</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w:t>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7</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8</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Voting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87,786</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9</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r>
      <w:tr>
        <w:trPr/>
        <w:tc>
          <w:tcPr>
            <w:tcW w:w="1415" w:type="dxa"/>
            <w:gridSpan w:val="2"/>
            <w:vMerge w:val="continue"/>
            <w:tcBorders>
              <w:left w:val="single" w:sz="12" w:space="0" w:color="000000"/>
              <w:bottom w:val="single" w:sz="12" w:space="0" w:color="000000"/>
            </w:tcBorders>
            <w:tcMar>
              <w:top w:w="0" w:type="dxa"/>
              <w:right w:w="0" w:type="dxa"/>
            </w:tcMar>
            <w:vAlign w:val="center"/>
          </w:tcPr>
          <w:p>
            <w:pPr>
              <w:pStyle w:val="Normal"/>
              <w:bidi w:val="0"/>
              <w:jc w:val="left"/>
              <w:rPr/>
            </w:pPr>
            <w:r>
              <w:rPr/>
            </w:r>
          </w:p>
        </w:tc>
        <w:tc>
          <w:tcPr>
            <w:tcW w:w="528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10</w:t>
            </w:r>
          </w:p>
        </w:tc>
        <w:tc>
          <w:tcPr>
            <w:tcW w:w="2689" w:type="dxa"/>
            <w:gridSpan w:val="2"/>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Shared Dispositive Power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87,786</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11</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Amount Beneficially Owned by Each Reporting Person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87,786</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12</w:t>
            </w:r>
          </w:p>
        </w:tc>
        <w:tc>
          <w:tcPr>
            <w:tcW w:w="7798"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Check if the Aggregate Amount in Row (11) Excludes Certain Shares (See Instructions)              </w:t>
            </w:r>
          </w:p>
        </w:tc>
        <w:tc>
          <w:tcPr>
            <w:tcW w:w="123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center"/>
              <w:rPr>
                <w:rFonts w:ascii="Wingdings" w:hAnsi="Wingdings"/>
                <w:b w:val="false"/>
                <w:i w:val="false"/>
                <w:caps w:val="false"/>
                <w:smallCaps w:val="false"/>
                <w:sz w:val="20"/>
              </w:rPr>
            </w:pPr>
            <w:r>
              <w:rPr>
                <w:rFonts w:ascii="Wingdings" w:hAnsi="Wingdings"/>
                <w:b w:val="false"/>
                <w:i w:val="false"/>
                <w:caps w:val="false"/>
                <w:smallCaps w:val="false"/>
                <w:sz w:val="20"/>
              </w:rPr>
              <w:t>o</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13</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 of Class Represented by Amount in Row (11)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w:t>
            </w:r>
          </w:p>
        </w:tc>
      </w:tr>
      <w:tr>
        <w:trPr/>
        <w:tc>
          <w:tcPr>
            <w:tcW w:w="358"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14</w:t>
            </w:r>
          </w:p>
        </w:tc>
        <w:tc>
          <w:tcPr>
            <w:tcW w:w="9034" w:type="dxa"/>
            <w:gridSpan w:val="4"/>
            <w:tcBorders>
              <w:bottom w:val="single" w:sz="12" w:space="0" w:color="000000"/>
              <w:right w:val="single" w:sz="12" w:space="0" w:color="000000"/>
            </w:tcBorders>
            <w:tcMar>
              <w:top w:w="0" w:type="dxa"/>
              <w:left w:w="0" w:type="dxa"/>
            </w:tcMar>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Type of Reporting Person (See Instructions)             </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w:t>
            </w:r>
          </w:p>
        </w:tc>
      </w:tr>
      <w:tr>
        <w:trPr/>
        <w:tc>
          <w:tcPr>
            <w:tcW w:w="358" w:type="dxa"/>
            <w:tcBorders/>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tcMar>
              <w:top w:w="0" w:type="dxa"/>
              <w:left w:w="0" w:type="dxa"/>
              <w:bottom w:w="0" w:type="dxa"/>
              <w:right w:w="0" w:type="dxa"/>
            </w:tcMar>
            <w:vAlign w:val="center"/>
          </w:tcPr>
          <w:p>
            <w:pPr>
              <w:pStyle w:val="TableContents"/>
              <w:bidi w:val="0"/>
              <w:spacing w:before="0" w:after="283"/>
              <w:jc w:val="left"/>
              <w:rPr/>
            </w:pPr>
            <w:r>
              <w:rPr/>
              <w:t> </w:t>
            </w:r>
          </w:p>
        </w:tc>
        <w:tc>
          <w:tcPr>
            <w:tcW w:w="5288" w:type="dxa"/>
            <w:tcBorders/>
            <w:tcMar>
              <w:top w:w="0" w:type="dxa"/>
              <w:left w:w="0" w:type="dxa"/>
              <w:bottom w:w="0" w:type="dxa"/>
              <w:right w:w="0" w:type="dxa"/>
            </w:tcMar>
            <w:vAlign w:val="center"/>
          </w:tcPr>
          <w:p>
            <w:pPr>
              <w:pStyle w:val="TableContents"/>
              <w:bidi w:val="0"/>
              <w:spacing w:before="0" w:after="283"/>
              <w:jc w:val="left"/>
              <w:rPr/>
            </w:pPr>
            <w:r>
              <w:rPr/>
              <w:t> </w:t>
            </w:r>
          </w:p>
        </w:tc>
        <w:tc>
          <w:tcPr>
            <w:tcW w:w="1453" w:type="dxa"/>
            <w:tcBorders/>
            <w:tcMar>
              <w:top w:w="0" w:type="dxa"/>
              <w:left w:w="0" w:type="dxa"/>
              <w:bottom w:w="0" w:type="dxa"/>
              <w:right w:w="0" w:type="dxa"/>
            </w:tcMar>
            <w:vAlign w:val="center"/>
          </w:tcPr>
          <w:p>
            <w:pPr>
              <w:pStyle w:val="TableContents"/>
              <w:bidi w:val="0"/>
              <w:spacing w:before="0" w:after="283"/>
              <w:jc w:val="left"/>
              <w:rPr/>
            </w:pPr>
            <w:r>
              <w:rPr/>
              <w:t> </w:t>
            </w:r>
          </w:p>
        </w:tc>
        <w:tc>
          <w:tcPr>
            <w:tcW w:w="12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This percentage is calculated based upon 48,454,582 shares of common stock outstanding of PMV Pharmaceuticals, Inc. (the “Issuer”), as set forth in the Issuer’s Quarterly Report on Form 10-Q for the quarter ending June 30, 2023, filed with the Securities and Exchange Commission on August 9, 2023.</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Security and Issuer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w:t>
      </w:r>
      <w:r>
        <w:rPr>
          <w:rFonts w:ascii="Times New Roman;Times;Serif" w:hAnsi="Times New Roman;Times;Serif"/>
          <w:b w:val="false"/>
          <w:i w:val="false"/>
          <w:caps w:val="false"/>
          <w:smallCaps w:val="false"/>
          <w:sz w:val="20"/>
          <w:u w:val="single"/>
        </w:rPr>
        <w:t>Amendment No. 2</w:t>
      </w:r>
      <w:r>
        <w:rPr>
          <w:rFonts w:ascii="Times New Roman;Times;Serif" w:hAnsi="Times New Roman;Times;Serif"/>
          <w:b w:val="false"/>
          <w:i w:val="false"/>
          <w:caps w:val="false"/>
          <w:smallCaps w:val="false"/>
          <w:sz w:val="20"/>
        </w:rPr>
        <w:t>”) to Schedule 13D supplements and amends the Statement on Schedule 13D of OrbiMed Advisors LLC, OrbiMed Capital GP V LLC, OrbiMed Genesis GP LLC, and OrbiMed Capital LLC originally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October 5, 2020, as amended by Amendment No. 1 thereto (“</w:t>
      </w:r>
      <w:r>
        <w:rPr>
          <w:rFonts w:ascii="Times New Roman;Times;Serif" w:hAnsi="Times New Roman;Times;Serif"/>
          <w:b w:val="false"/>
          <w:i w:val="false"/>
          <w:caps w:val="false"/>
          <w:smallCaps w:val="false"/>
          <w:sz w:val="20"/>
          <w:u w:val="single"/>
        </w:rPr>
        <w:t>Amendment No. 1</w:t>
      </w:r>
      <w:r>
        <w:rPr>
          <w:rFonts w:ascii="Times New Roman;Times;Serif" w:hAnsi="Times New Roman;Times;Serif"/>
          <w:b w:val="false"/>
          <w:i w:val="false"/>
          <w:caps w:val="false"/>
          <w:smallCaps w:val="false"/>
          <w:sz w:val="20"/>
        </w:rPr>
        <w:t xml:space="preserve">”) filed with the SEC on April 1, 2022. This Amendment No. 2 relates to the common stock, par </w:t>
      </w:r>
      <w:r>
        <w:rPr>
          <w:rFonts w:ascii="Times New Roman;Times;Serif" w:hAnsi="Times New Roman;Times;Serif"/>
          <w:b w:val="false"/>
          <w:i w:val="false"/>
          <w:caps w:val="false"/>
          <w:smallCaps w:val="false"/>
          <w:sz w:val="20"/>
          <w:shd w:fill="FFFFFF" w:val="clear"/>
        </w:rPr>
        <w:t>value $.00001 per share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xml:space="preserve">”) of PMV Pharmaceuticals, Inc., </w:t>
      </w:r>
      <w:r>
        <w:rPr>
          <w:rFonts w:ascii="Times New Roman;Times;Serif" w:hAnsi="Times New Roman;Times;Serif"/>
          <w:b w:val="false"/>
          <w:i w:val="false"/>
          <w:caps w:val="false"/>
          <w:smallCaps w:val="false"/>
          <w:sz w:val="20"/>
          <w:shd w:fill="FFFFFF" w:val="clear"/>
        </w:rPr>
        <w:t>a corporation organized under the laws of Delaware</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 with its principal executive offices located at One Research Way, Princeton, New Jersey 08540. The Shares are listed on the NASDAQ Global Select Market under the ticker symbol “PMVP”. Information given in response to each item shall be deemed incorporated by reference in all other items, as applicable.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2 is being filed to report that the beneficial ownership of the outstanding Shares that the Reporting Persons (as defined below) may be deemed to beneficially own decreased by more than 1% as a result of a change in the number of Shares outstanding.</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Identity and Background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Schedule 13D is being filed by OrbiMed Advisors LLC (“</w:t>
      </w:r>
      <w:r>
        <w:rPr>
          <w:rFonts w:ascii="Times New Roman;Times;Serif" w:hAnsi="Times New Roman;Times;Serif"/>
          <w:b w:val="false"/>
          <w:i w:val="false"/>
          <w:caps w:val="false"/>
          <w:smallCaps w:val="false"/>
          <w:sz w:val="20"/>
          <w:u w:val="single"/>
        </w:rPr>
        <w:t>OrbiMed Advisors</w:t>
      </w:r>
      <w:r>
        <w:rPr>
          <w:rFonts w:ascii="Times New Roman;Times;Serif" w:hAnsi="Times New Roman;Times;Serif"/>
          <w:b w:val="false"/>
          <w:i w:val="false"/>
          <w:caps w:val="false"/>
          <w:smallCaps w:val="false"/>
          <w:sz w:val="20"/>
        </w:rPr>
        <w:t>”), OrbiMed Capital GP V LLC (“</w:t>
      </w:r>
      <w:r>
        <w:rPr>
          <w:rFonts w:ascii="Times New Roman;Times;Serif" w:hAnsi="Times New Roman;Times;Serif"/>
          <w:b w:val="false"/>
          <w:i w:val="false"/>
          <w:caps w:val="false"/>
          <w:smallCaps w:val="false"/>
          <w:sz w:val="20"/>
          <w:u w:val="single"/>
        </w:rPr>
        <w:t>OrbiMed GP</w:t>
      </w:r>
      <w:r>
        <w:rPr>
          <w:rFonts w:ascii="Times New Roman;Times;Serif" w:hAnsi="Times New Roman;Times;Serif"/>
          <w:b w:val="false"/>
          <w:i w:val="false"/>
          <w:caps w:val="false"/>
          <w:smallCaps w:val="false"/>
          <w:sz w:val="20"/>
        </w:rPr>
        <w:t>”), and OrbiMed Genesis GP LLC (“</w:t>
      </w:r>
      <w:r>
        <w:rPr>
          <w:rFonts w:ascii="Times New Roman;Times;Serif" w:hAnsi="Times New Roman;Times;Serif"/>
          <w:b w:val="false"/>
          <w:i w:val="false"/>
          <w:caps w:val="false"/>
          <w:smallCaps w:val="false"/>
          <w:sz w:val="20"/>
          <w:u w:val="single"/>
        </w:rPr>
        <w:t>OrbiMed Genesis</w:t>
      </w:r>
      <w:r>
        <w:rPr>
          <w:rFonts w:ascii="Times New Roman;Times;Serif" w:hAnsi="Times New Roman;Times;Serif"/>
          <w:b w:val="false"/>
          <w:i w:val="false"/>
          <w:caps w:val="false"/>
          <w:smallCaps w:val="false"/>
          <w:sz w:val="20"/>
        </w:rPr>
        <w:t>”) (collectively, the “</w:t>
      </w:r>
      <w:r>
        <w:rPr>
          <w:rFonts w:ascii="Times New Roman;Times;Serif" w:hAnsi="Times New Roman;Times;Serif"/>
          <w:b w:val="false"/>
          <w:i w:val="false"/>
          <w:caps w:val="false"/>
          <w:smallCaps w:val="false"/>
          <w:sz w:val="20"/>
          <w:u w:val="single"/>
        </w:rPr>
        <w:t>Reporting Persons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 (c), (f) OrbiMed Advisors, a limited liability company organized under the laws of Delaware and a registered investment adviser under the Investment Advisers Act of 1940, as amended, is the managing member or general partner of certain entities as more particularly described in Item 6 below. OrbiMed Advisors has its principal offices at 601 Lexington Avenue, 54th Floor, New York, New York 10022.</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GP, a limited liability company organized under the laws of Delaware, is the general partner of a limited partnership as more particularly described in Item 6 below. OrbiMed GP has its principal offices at 601 Lexington Avenue, 54th Floor, New York, New York 10022.</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Genesis, a limited liability company organized under the laws of Delaware, is the general partner of a limited partnership as more particularly described in Item 6 below. OrbiMed Genesis has its principal offices at 601 Lexington Avenue, 54th Floor, New York, New York 10022.</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executive officers of OrbiMed Advisors, OrbiMed GP, and OrbiMed Genesis are set forth on Schedules I, II, and III, respectively, attached hereto. Schedules I, II, and III set forth the following information with respect to each such person: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name;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business address;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present principal occupation of employment and the name, principal business and address of any corporation or other organization in which such employment is conducted; and</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citizenship.</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 (e) During the last five years, neither the Reporting Persons nor any Person named in Schedules I through III has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Source and Amount of Funds or Other Consideration</w:t>
      </w:r>
    </w:p>
    <w:p>
      <w:pPr>
        <w:pStyle w:val="TextBody"/>
        <w:bidi w:val="0"/>
        <w:jc w:val="left"/>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Purpose of Transaction</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this Schedule 13D,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Interest in Securities of the Issuer</w:t>
      </w:r>
    </w:p>
    <w:p>
      <w:pPr>
        <w:pStyle w:val="TextBody"/>
        <w:bidi w:val="0"/>
        <w:jc w:val="left"/>
        <w:rPr>
          <w:caps w:val="false"/>
          <w:smallCaps w:val="false"/>
        </w:rPr>
      </w:pPr>
      <w:r>
        <w:rPr>
          <w:caps w:val="false"/>
          <w:smallCaps w:val="false"/>
        </w:rPr>
        <w:t> </w:t>
      </w:r>
    </w:p>
    <w:p>
      <w:pPr>
        <w:pStyle w:val="TextBody"/>
        <w:bidi w:val="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 (b) The following disclosure is based upon 48,454,582 outstanding Shares of the Issuer, as set forth in the Issuer’s Quarterly Report on Form 10-Q for the quarter ending June 30, 2023 filed the SEC on August 9, 2023.</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OrbiMed Private Investments V, LP (“</w:t>
      </w:r>
      <w:r>
        <w:rPr>
          <w:rFonts w:ascii="Times New Roman;Times;Serif" w:hAnsi="Times New Roman;Times;Serif"/>
          <w:b w:val="false"/>
          <w:i w:val="false"/>
          <w:caps w:val="false"/>
          <w:smallCaps w:val="false"/>
          <w:sz w:val="20"/>
          <w:u w:val="single"/>
        </w:rPr>
        <w:t>OPI V</w:t>
      </w:r>
      <w:r>
        <w:rPr>
          <w:rFonts w:ascii="Times New Roman;Times;Serif" w:hAnsi="Times New Roman;Times;Serif"/>
          <w:b w:val="false"/>
          <w:i w:val="false"/>
          <w:caps w:val="false"/>
          <w:smallCaps w:val="false"/>
          <w:sz w:val="20"/>
        </w:rPr>
        <w:t>”), a limited partnership organized under the laws of Delaware, holds 6,475,291 Shares, constituting approximately 13.4% of the issued and outstanding Shares. OrbiMed GP is the general partner of OPI V, pursuant to the terms of the limited partnership agreement of OPI V, and OrbiMed Advisors is the managing member of OrbiMed GP, pursuant to the terms of the limited liability company agreement of OrbiMed GP. As a result, OrbiMed Advisors and OrbiMed GP share power to direct the vote and disposition of the Shares held by OPI V and may be deemed directly or indirectly, including by reason of their mutual affiliation, to be the beneficial owners of the Shares held by OPI V. OrbiMed Advisors exercises this investment and voting power through a management committee comprised of Carl L. Gordon, Sven H. Borho, and W. Carter Neild, each of whom disclaims beneficial ownership of the Shares held by OPI V.</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OrbiMed Advisors and OrbiMed GP, pursuant to their authority under the limited partnership agreement of OPI V, caused OPI V to enter into the agreements referred to in Item 6 below.</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OrbiMed Genesis Master Fund, L.P. (“</w:t>
      </w:r>
      <w:r>
        <w:rPr>
          <w:rFonts w:ascii="Times New Roman;Times;Serif" w:hAnsi="Times New Roman;Times;Serif"/>
          <w:b w:val="false"/>
          <w:i w:val="false"/>
          <w:caps w:val="false"/>
          <w:smallCaps w:val="false"/>
          <w:sz w:val="20"/>
          <w:u w:val="single"/>
        </w:rPr>
        <w:t>Genesis</w:t>
      </w:r>
      <w:r>
        <w:rPr>
          <w:rFonts w:ascii="Times New Roman;Times;Serif" w:hAnsi="Times New Roman;Times;Serif"/>
          <w:b w:val="false"/>
          <w:i w:val="false"/>
          <w:caps w:val="false"/>
          <w:smallCaps w:val="false"/>
          <w:sz w:val="20"/>
        </w:rPr>
        <w:t>”), a limited partnership organized under the laws of the Cayman Islands, holds 87,786 Shares constituting approximately 0.2% of the issued and outstanding Shares. OrbiMed Genesis is the general partner of Genesis, pursuant to the terms of the limited partnership agreement of Genesis, and OrbiMed Advisors is the managing member of OrbiMed Genesis, pursuant to the terms of the limited liability company agreement of OrbiMed Genesis. As a result, OrbiMed Advisors and OrbiMed Genesis share power to direct the vote and disposition of the Shares held by Genesis and may be deemed, directly or indirectly, including by reason of their mutual affiliation, to be the beneficial owners of the Shares held by Genesis. OrbiMed Advisors exercises this investment and voting power through a management committee comprised of Carl L. Gordon, Sven H. Borho and W. Carter Neild, each of whom disclaims beneficial ownership of the Shares held by Genesis.</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OrbiMed Advisors and OrbiMed Genesis, pursuant to their authority under the limited partnership agreement of Genesis, caused Genesis to enter into the agreements referred to in Item 6 below.</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Reporting Persons have not effected any transactions in any Shares during the past sixty (60) days.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 applicable.</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 applicable.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Contracts, Arrangements, Understandings or Relationships with Respect to Securities of the Issuer</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relationships between the Reporting Persons described in Items 2 and 5 above, OrbiMed GP is the general partner of OPI V, pursuant to the terms of the limited partnership agreement of OPI V. Pursuant to this agreement and relationship, OrbiMed GP has discretionary investment management authority with respect to the assets of OPI V. Such authority includes the power to vote and otherwise dispose of securities held by OPI V. The number of outstanding Shares of the Issuer attributable to OPI V is 6,475,291 Shares. OrbiMed GP, pursuant to its authority under the limited partnership agreement of OPI V, may be considered to hold indirectly 6,475,291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Genesis is the general partner of Genesis, pursuant to the terms of the limited partnership agreement of Genesis. Pursuant to this agreement and relationship, OrbiMed Genesis has discretionary investment management authority with respect to the assets of Genesis. Such authority includes the power to vote and otherwise dispose of securities held by Genesis. The number of outstanding Shares of the Issuer attributable to Genesis is 87,786 Shares. OrbiMed Genesis, pursuant to its authority under the limited partnership agreement of Genesis, may be considered to hold indirectly 87,786 Shares.</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is the managing member of OrbiMed GP and OrbiMed Genesis, pursuant to the terms of the limited liability company agreements of OrbiMed GP and OrbiMed Genesis. Pursuant to these agreements and relationships, OrbiMed Advisors and OrbiMed GP have discretionary investment management authority with respect to the assets of OPI V. OrbiMed Advisors and OrbiMed Genesis have discretionary investment management authority with respect to the assets of Genesis. Such authority includes the power of OrbiMed GP to vote and otherwise dispose of securities held by OPI V and the power of OrbiMed Genesis to vote and otherwise dispose of the securities held by Genesis. The number of outstanding Shares attributable to OPI V is 6,475,291 Shares and the number of Shares attributed to Genesis is 87,786 Shares. OrbiMed Advisors, pursuant to its authority under the terms of the limited liability company agreements of OrbiMed GP and OrbiMed Genesis, may also be considered to hold indirectly 6,563,077 Shares.</w:t>
      </w:r>
    </w:p>
    <w:p>
      <w:pPr>
        <w:pStyle w:val="TextBody"/>
        <w:bidi w:val="0"/>
        <w:jc w:val="both"/>
        <w:rPr>
          <w:caps w:val="false"/>
          <w:smallCaps w:val="false"/>
        </w:rPr>
      </w:pPr>
      <w:r>
        <w:rPr>
          <w:caps w:val="false"/>
          <w:smallCaps w:val="false"/>
        </w:rPr>
        <w:t> </w:t>
      </w:r>
    </w:p>
    <w:p>
      <w:pPr>
        <w:pStyle w:val="TextBody"/>
        <w:shd w:fill="FFFFFF" w:val="clear"/>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Investors’ Rights Agreement</w:t>
      </w:r>
    </w:p>
    <w:p>
      <w:pPr>
        <w:pStyle w:val="TextBody"/>
        <w:bidi w:val="0"/>
        <w:spacing w:before="200" w:after="200"/>
        <w:ind w:left="200" w:right="20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OPI V, Genesis, and certain other stockholders of the Issuer entered into an Amended and Restated Investors’ Rights Agreement with the Issuer (the “</w:t>
      </w:r>
      <w:r>
        <w:rPr>
          <w:rFonts w:ascii="Times New Roman;Times;Serif" w:hAnsi="Times New Roman;Times;Serif"/>
          <w:b w:val="false"/>
          <w:i w:val="false"/>
          <w:caps w:val="false"/>
          <w:smallCaps w:val="false"/>
          <w:sz w:val="20"/>
          <w:u w:val="single"/>
        </w:rPr>
        <w:t>Investors’ Rights Agreement</w:t>
      </w:r>
      <w:r>
        <w:rPr>
          <w:rFonts w:ascii="Times New Roman;Times;Serif" w:hAnsi="Times New Roman;Times;Serif"/>
          <w:b w:val="false"/>
          <w:i w:val="false"/>
          <w:caps w:val="false"/>
          <w:smallCaps w:val="false"/>
          <w:sz w:val="20"/>
        </w:rPr>
        <w:t>”), dated as of July 17, 2020. Pursuant to the Investors’ Rights Agreement and subject to the terms and conditions therein, the parties agreed that: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Demand Registration Rights</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beginning six months following the effective date of the registration statement of the Issuer’s initial public offering, the holders of at least 30% of the registrable securities then outstanding of the Issuer may make a written request that the Issuer register some or all of their registrable securities, subject to certain specified conditions and exceptions, including that the aggregated gross offering price of such offering must exceed $5 million. The Issuer is required to use commercially reasonable efforts to effect the registration and will pay all registration expenses, other than underwriting discounts and commissions, related to any demand registration. The Issuer is not obligated to effect more than two of these registrations.</w:t>
      </w:r>
    </w:p>
    <w:p>
      <w:pPr>
        <w:pStyle w:val="TextBody"/>
        <w:shd w:fill="FFFFFF" w:val="clear"/>
        <w:bidi w:val="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Piggyback Registration Rights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Whenever the Issuer proposes to file a registration statement under the Securities Act of 1933, as amended (the “</w:t>
      </w:r>
      <w:r>
        <w:rPr>
          <w:rFonts w:ascii="Times New Roman;Times;Serif" w:hAnsi="Times New Roman;Times;Serif"/>
          <w:b w:val="false"/>
          <w:i w:val="false"/>
          <w:caps w:val="false"/>
          <w:smallCaps w:val="false"/>
          <w:sz w:val="20"/>
          <w:u w:val="single"/>
          <w:shd w:fill="FFFFFF" w:val="clear"/>
        </w:rPr>
        <w:t>Securities Act</w:t>
      </w:r>
      <w:r>
        <w:rPr>
          <w:rFonts w:ascii="Times New Roman;Times;Serif" w:hAnsi="Times New Roman;Times;Serif"/>
          <w:b w:val="false"/>
          <w:i w:val="false"/>
          <w:caps w:val="false"/>
          <w:smallCaps w:val="false"/>
          <w:sz w:val="20"/>
          <w:shd w:fill="FFFFFF" w:val="clear"/>
        </w:rPr>
        <w:t>”), including a registration statement on Form S-3 as discussed below, other than with respect to certain excluded registrations, OPI V and Genesis will be entitled to notice of the registration and have the right, subject to limitations that the underwriters may impose on the number of Shares included in the registration, to include the Shares held by them in the registration.</w:t>
      </w:r>
    </w:p>
    <w:p>
      <w:pPr>
        <w:pStyle w:val="TextBody"/>
        <w:shd w:fill="FFFFFF" w:val="clear"/>
        <w:bidi w:val="0"/>
        <w:ind w:left="0" w:right="0" w:firstLine="36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S-3 Registration Rights</w:t>
      </w:r>
    </w:p>
    <w:p>
      <w:pPr>
        <w:pStyle w:val="TextBody"/>
        <w:shd w:fill="FFFFFF" w:val="clear"/>
        <w:bidi w:val="0"/>
        <w:jc w:val="both"/>
        <w:rPr>
          <w:caps w:val="false"/>
          <w:smallCaps w:val="false"/>
        </w:rPr>
      </w:pPr>
      <w:r>
        <w:rPr>
          <w:caps w:val="false"/>
          <w:smallCaps w:val="false"/>
        </w:rPr>
        <w:t> </w:t>
      </w:r>
    </w:p>
    <w:p>
      <w:pPr>
        <w:pStyle w:val="TextBody"/>
        <w:shd w:fill="FFFFFF" w:val="clear"/>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Issuer is qualified to file a registration statement on Form S-3 under the Securities Act, and subject to limitations and conditions specified in the Investors’ Rights Agreement, holders of at least 30% of the registrable securities then outstanding may make a written request that the Issuer prepare and file a registration statement on Form S-3 covering their Shares, so long as the aggregate price to the public equal or exceeds $5 million. The Issuer is not obligated to effect more than two of these Form S-3 registrations in any 12-month period.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Investors’ Rights Agreement does not purport to be complete and is qualified in its entirety by reference to the full text of the Investors’ Rights Agreement, which is filed as Exhibit 2 and incorporated herein by reference.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Material to Be Filed as Exhibits</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15" w:type="dxa"/>
        <w:tblLayout w:type="fixed"/>
        <w:tblCellMar>
          <w:top w:w="90" w:type="dxa"/>
          <w:left w:w="90" w:type="dxa"/>
          <w:bottom w:w="90" w:type="dxa"/>
          <w:right w:w="0" w:type="dxa"/>
        </w:tblCellMar>
      </w:tblPr>
      <w:tblGrid>
        <w:gridCol w:w="665"/>
        <w:gridCol w:w="9540"/>
      </w:tblGrid>
      <w:tr>
        <w:trPr/>
        <w:tc>
          <w:tcPr>
            <w:tcW w:w="66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9540" w:type="dxa"/>
            <w:tcBorders>
              <w:top w:val="single" w:sz="12" w:space="0" w:color="000000"/>
              <w:left w:val="single" w:sz="12" w:space="0" w:color="000000"/>
              <w:bottom w:val="single" w:sz="12" w:space="0" w:color="000000"/>
              <w:right w:val="single" w:sz="12" w:space="0" w:color="000000"/>
            </w:tcBorders>
            <w:tcMar>
              <w:right w:w="9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40" w:type="dxa"/>
            <w:tcBorders>
              <w:left w:val="single" w:sz="12" w:space="0" w:color="000000"/>
              <w:bottom w:val="single" w:sz="12" w:space="0" w:color="000000"/>
              <w:right w:val="single" w:sz="12" w:space="0" w:color="000000"/>
            </w:tcBorders>
            <w:tcMar>
              <w:top w:w="0" w:type="dxa"/>
              <w:right w:w="9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 among OrbiMed Advisors LLC, OrbiMed Genesis GP LLC, and OrbiMed Capital GP V LLC.</w:t>
            </w:r>
          </w:p>
        </w:tc>
      </w:tr>
      <w:tr>
        <w:trPr/>
        <w:tc>
          <w:tcPr>
            <w:tcW w:w="665" w:type="dxa"/>
            <w:tcBorders>
              <w:left w:val="single" w:sz="12" w:space="0" w:color="000000"/>
              <w:bottom w:val="single" w:sz="12" w:space="0" w:color="000000"/>
            </w:tcBorders>
            <w:tcMar>
              <w:top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40" w:type="dxa"/>
            <w:tcBorders>
              <w:left w:val="single" w:sz="12" w:space="0" w:color="000000"/>
              <w:bottom w:val="single" w:sz="12" w:space="0" w:color="000000"/>
              <w:right w:val="single" w:sz="12" w:space="0" w:color="000000"/>
            </w:tcBorders>
            <w:tcMar>
              <w:top w:w="0" w:type="dxa"/>
              <w:right w:w="9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Investors’ Rights Agreement by and among the Issuer and each of the signatories thereto, dated as of July 17, 2020 (incorporated by reference to Exhibit 4.1 to the Issuer’s Registration Statement on Form S-1 (File No. 333-248627), filed with the SEC on September 4, 2020).</w:t>
            </w:r>
          </w:p>
        </w:tc>
      </w:tr>
    </w:tbl>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jc w:val="left"/>
        <w:rPr>
          <w:caps w:val="false"/>
          <w:smallCaps w:val="false"/>
        </w:rPr>
      </w:pPr>
      <w:r>
        <w:rPr>
          <w:caps w:val="false"/>
          <w:smallCaps w:val="false"/>
        </w:rPr>
        <w:t> </w:t>
      </w:r>
    </w:p>
    <w:p>
      <w:pPr>
        <w:pStyle w:val="TextBody"/>
        <w:bidi w:val="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jc w:val="left"/>
        <w:rPr>
          <w:caps w:val="false"/>
          <w:smallCaps w:val="false"/>
        </w:rPr>
      </w:pPr>
      <w:r>
        <w:rPr>
          <w:caps w:val="false"/>
          <w:smallCaps w:val="false"/>
        </w:rPr>
        <w:t> </w:t>
      </w:r>
    </w:p>
    <w:tbl>
      <w:tblPr>
        <w:tblW w:w="6524" w:type="dxa"/>
        <w:jc w:val="left"/>
        <w:tblInd w:w="0" w:type="dxa"/>
        <w:tblLayout w:type="fixed"/>
        <w:tblCellMar>
          <w:top w:w="0" w:type="dxa"/>
          <w:left w:w="0" w:type="dxa"/>
          <w:bottom w:w="0" w:type="dxa"/>
          <w:right w:w="0" w:type="dxa"/>
        </w:tblCellMar>
      </w:tblPr>
      <w:tblGrid>
        <w:gridCol w:w="1970"/>
        <w:gridCol w:w="320"/>
        <w:gridCol w:w="4142"/>
        <w:gridCol w:w="92"/>
      </w:tblGrid>
      <w:tr>
        <w:trPr/>
        <w:tc>
          <w:tcPr>
            <w:tcW w:w="1970" w:type="dxa"/>
            <w:tcBorders/>
            <w:vAlign w:val="center"/>
          </w:tcPr>
          <w:p>
            <w:pPr>
              <w:pStyle w:val="TableContents"/>
              <w:bidi w:val="0"/>
              <w:spacing w:before="0" w:after="283"/>
              <w:jc w:val="left"/>
              <w:rPr>
                <w:sz w:val="20"/>
              </w:rPr>
            </w:pPr>
            <w:r>
              <w:rPr>
                <w:sz w:val="20"/>
              </w:rPr>
              <w:t>Dated: August 23, 2023</w:t>
            </w:r>
          </w:p>
        </w:tc>
        <w:tc>
          <w:tcPr>
            <w:tcW w:w="4462" w:type="dxa"/>
            <w:gridSpan w:val="2"/>
            <w:tcBorders/>
            <w:vAlign w:val="center"/>
          </w:tcPr>
          <w:p>
            <w:pPr>
              <w:pStyle w:val="TableContents"/>
              <w:bidi w:val="0"/>
              <w:spacing w:before="0" w:after="283"/>
              <w:jc w:val="left"/>
              <w:rPr>
                <w:sz w:val="20"/>
              </w:rPr>
            </w:pPr>
            <w:r>
              <w:rPr>
                <w:sz w:val="20"/>
              </w:rPr>
              <w:t>ORBIMED ADVISORS LLC</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42" w:type="dxa"/>
            <w:tcBorders/>
            <w:vAlign w:val="center"/>
          </w:tcPr>
          <w:p>
            <w:pPr>
              <w:pStyle w:val="TableContents"/>
              <w:bidi w:val="0"/>
              <w:spacing w:before="0" w:after="283"/>
              <w:jc w:val="left"/>
              <w:rPr>
                <w:sz w:val="20"/>
                <w:u w:val="single"/>
              </w:rPr>
            </w:pPr>
            <w:r>
              <w:rPr>
                <w:sz w:val="20"/>
                <w:u w:val="single"/>
              </w:rPr>
              <w:t>/s/ Carl L. Gordon</w:t>
              <w:tab/>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Name: Carl L. Gordon</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 xml:space="preserve">Title: Member </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4462" w:type="dxa"/>
            <w:gridSpan w:val="2"/>
            <w:tcBorders/>
            <w:vAlign w:val="center"/>
          </w:tcPr>
          <w:p>
            <w:pPr>
              <w:pStyle w:val="TableContents"/>
              <w:bidi w:val="0"/>
              <w:spacing w:before="0" w:after="283"/>
              <w:jc w:val="left"/>
              <w:rPr>
                <w:sz w:val="20"/>
              </w:rPr>
            </w:pPr>
            <w:r>
              <w:rPr>
                <w:sz w:val="20"/>
              </w:rPr>
              <w:t>ORBIMED CAPITAL GP V LLC</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23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42" w:type="dxa"/>
            <w:tcBorders/>
            <w:vAlign w:val="center"/>
          </w:tcPr>
          <w:p>
            <w:pPr>
              <w:pStyle w:val="TableContents"/>
              <w:bidi w:val="0"/>
              <w:spacing w:before="0" w:after="283"/>
              <w:jc w:val="left"/>
              <w:rPr>
                <w:sz w:val="20"/>
                <w:u w:val="single"/>
              </w:rPr>
            </w:pPr>
            <w:r>
              <w:rPr>
                <w:sz w:val="20"/>
                <w:u w:val="single"/>
              </w:rPr>
              <w:t>/s/ Carl L. Gordon</w:t>
              <w:tab/>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Name: Carl L. Gordon</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Title: Member of OrbiMed Advisors LLC</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4462" w:type="dxa"/>
            <w:gridSpan w:val="2"/>
            <w:tcBorders/>
            <w:vAlign w:val="center"/>
          </w:tcPr>
          <w:p>
            <w:pPr>
              <w:pStyle w:val="TableContents"/>
              <w:bidi w:val="0"/>
              <w:spacing w:before="0" w:after="283"/>
              <w:jc w:val="left"/>
              <w:rPr>
                <w:sz w:val="20"/>
              </w:rPr>
            </w:pPr>
            <w:r>
              <w:rPr>
                <w:sz w:val="20"/>
              </w:rPr>
              <w:t>ORBIMED GENESIS GP LLC</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23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42" w:type="dxa"/>
            <w:tcBorders/>
            <w:vAlign w:val="center"/>
          </w:tcPr>
          <w:p>
            <w:pPr>
              <w:pStyle w:val="TableContents"/>
              <w:bidi w:val="0"/>
              <w:spacing w:before="0" w:after="283"/>
              <w:jc w:val="left"/>
              <w:rPr>
                <w:sz w:val="20"/>
                <w:u w:val="single"/>
              </w:rPr>
            </w:pPr>
            <w:r>
              <w:rPr>
                <w:sz w:val="20"/>
                <w:u w:val="single"/>
              </w:rPr>
              <w:t>/s/ Carl L. Gordon</w:t>
              <w:tab/>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Name: Carl L. Gordon</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Title: Member of OrbiMed Advisors LLC</w:t>
            </w:r>
          </w:p>
        </w:tc>
        <w:tc>
          <w:tcPr>
            <w:tcW w:w="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bl>
    <w:p>
      <w:pPr>
        <w:pStyle w:val="TextBody"/>
        <w:bidi w:val="0"/>
        <w:ind w:left="468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The names and present principal occupations of each of the executive officers and directors of OrbiMed Advisors LLC are set forth below. Unless otherwise noted, each of these persons is a United States citizen and has a business address of 601 Lexington Avenue, 54</w:t>
      </w:r>
      <w:r>
        <w:rPr>
          <w:rFonts w:ascii="Times New Roman;Times;Serif" w:hAnsi="Times New Roman;Times;Serif"/>
          <w:b w:val="false"/>
          <w:i w:val="false"/>
          <w:caps w:val="false"/>
          <w:smallCaps w:val="false"/>
          <w:sz w:val="16"/>
        </w:rPr>
        <w:t>th</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0"/>
        </w:rPr>
        <w:t>Floor, New York, NY 10022.</w:t>
      </w:r>
    </w:p>
    <w:p>
      <w:pPr>
        <w:pStyle w:val="TextBody"/>
        <w:bidi w:val="0"/>
        <w:ind w:left="72" w:right="360" w:firstLine="648"/>
        <w:jc w:val="both"/>
        <w:rPr>
          <w:caps w:val="false"/>
          <w:smallCaps w:val="false"/>
        </w:rPr>
      </w:pPr>
      <w:r>
        <w:rPr>
          <w:caps w:val="false"/>
          <w:smallCaps w:val="false"/>
        </w:rPr>
        <w:t>             </w:t>
      </w:r>
    </w:p>
    <w:tbl>
      <w:tblPr>
        <w:tblW w:w="7605" w:type="dxa"/>
        <w:jc w:val="left"/>
        <w:tblInd w:w="0" w:type="dxa"/>
        <w:tblLayout w:type="fixed"/>
        <w:tblCellMar>
          <w:top w:w="0" w:type="dxa"/>
          <w:left w:w="0" w:type="dxa"/>
          <w:bottom w:w="0" w:type="dxa"/>
          <w:right w:w="0" w:type="dxa"/>
        </w:tblCellMar>
      </w:tblPr>
      <w:tblGrid>
        <w:gridCol w:w="2735"/>
        <w:gridCol w:w="2555"/>
        <w:gridCol w:w="2315"/>
      </w:tblGrid>
      <w:tr>
        <w:trPr/>
        <w:tc>
          <w:tcPr>
            <w:tcW w:w="2735" w:type="dxa"/>
            <w:tcBorders/>
            <w:vAlign w:val="center"/>
          </w:tcPr>
          <w:p>
            <w:pPr>
              <w:pStyle w:val="TableContents"/>
              <w:bidi w:val="0"/>
              <w:spacing w:before="0" w:after="283"/>
              <w:jc w:val="left"/>
              <w:rPr>
                <w:sz w:val="20"/>
                <w:u w:val="single"/>
              </w:rPr>
            </w:pPr>
            <w:r>
              <w:rPr>
                <w:sz w:val="20"/>
                <w:u w:val="single"/>
              </w:rPr>
              <w:t>Name</w:t>
            </w:r>
          </w:p>
        </w:tc>
        <w:tc>
          <w:tcPr>
            <w:tcW w:w="2555" w:type="dxa"/>
            <w:tcBorders/>
            <w:vAlign w:val="center"/>
          </w:tcPr>
          <w:p>
            <w:pPr>
              <w:pStyle w:val="TableContents"/>
              <w:bidi w:val="0"/>
              <w:spacing w:before="0" w:after="283"/>
              <w:jc w:val="left"/>
              <w:rPr>
                <w:sz w:val="20"/>
                <w:u w:val="single"/>
              </w:rPr>
            </w:pPr>
            <w:r>
              <w:rPr>
                <w:sz w:val="20"/>
                <w:u w:val="single"/>
              </w:rPr>
              <w:t>Position with Reporting Person</w:t>
            </w:r>
          </w:p>
        </w:tc>
        <w:tc>
          <w:tcPr>
            <w:tcW w:w="2315" w:type="dxa"/>
            <w:tcBorders/>
            <w:vAlign w:val="center"/>
          </w:tcPr>
          <w:p>
            <w:pPr>
              <w:pStyle w:val="TableContents"/>
              <w:bidi w:val="0"/>
              <w:spacing w:before="0" w:after="283"/>
              <w:jc w:val="left"/>
              <w:rPr>
                <w:sz w:val="20"/>
                <w:u w:val="single"/>
              </w:rPr>
            </w:pPr>
            <w:r>
              <w:rPr>
                <w:sz w:val="20"/>
                <w:u w:val="single"/>
              </w:rPr>
              <w:t>Principal Occupation</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Carl L. Gordon</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Sven H. Borho</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German and Swedish Citizen</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W. Carter Neild</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Geoffrey C. Hsu</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C. Scotland Stevens</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both"/>
              <w:rPr>
                <w:sz w:val="20"/>
              </w:rPr>
            </w:pPr>
            <w:r>
              <w:rPr>
                <w:sz w:val="20"/>
              </w:rPr>
              <w:t>David P. Bonita</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both"/>
              <w:rPr/>
            </w:pPr>
            <w:r>
              <w:rPr/>
              <w:t> </w:t>
            </w:r>
          </w:p>
        </w:tc>
        <w:tc>
          <w:tcPr>
            <w:tcW w:w="2555" w:type="dxa"/>
            <w:tcBorders/>
            <w:vAlign w:val="center"/>
          </w:tcPr>
          <w:p>
            <w:pPr>
              <w:pStyle w:val="TableContents"/>
              <w:bidi w:val="0"/>
              <w:spacing w:before="0" w:after="283"/>
              <w:jc w:val="both"/>
              <w:rPr/>
            </w:pPr>
            <w:r>
              <w:rPr/>
              <w:t> </w:t>
            </w:r>
          </w:p>
        </w:tc>
        <w:tc>
          <w:tcPr>
            <w:tcW w:w="2315" w:type="dxa"/>
            <w:tcBorders/>
            <w:vAlign w:val="center"/>
          </w:tcPr>
          <w:p>
            <w:pPr>
              <w:pStyle w:val="TableContents"/>
              <w:bidi w:val="0"/>
              <w:spacing w:before="0" w:after="283"/>
              <w:jc w:val="both"/>
              <w:rPr/>
            </w:pPr>
            <w:r>
              <w:rPr/>
              <w:t> </w:t>
            </w:r>
          </w:p>
        </w:tc>
      </w:tr>
      <w:tr>
        <w:trPr/>
        <w:tc>
          <w:tcPr>
            <w:tcW w:w="2735" w:type="dxa"/>
            <w:tcBorders/>
            <w:vAlign w:val="center"/>
          </w:tcPr>
          <w:p>
            <w:pPr>
              <w:pStyle w:val="TableContents"/>
              <w:bidi w:val="0"/>
              <w:spacing w:before="0" w:after="283"/>
              <w:jc w:val="both"/>
              <w:rPr>
                <w:sz w:val="20"/>
              </w:rPr>
            </w:pPr>
            <w:r>
              <w:rPr>
                <w:sz w:val="20"/>
              </w:rPr>
              <w:t>Peter A. Thompson</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both"/>
              <w:rPr/>
            </w:pPr>
            <w:r>
              <w:rPr/>
              <w:t> </w:t>
            </w:r>
          </w:p>
        </w:tc>
        <w:tc>
          <w:tcPr>
            <w:tcW w:w="2555" w:type="dxa"/>
            <w:tcBorders/>
            <w:vAlign w:val="center"/>
          </w:tcPr>
          <w:p>
            <w:pPr>
              <w:pStyle w:val="TableContents"/>
              <w:bidi w:val="0"/>
              <w:spacing w:before="0" w:after="283"/>
              <w:jc w:val="both"/>
              <w:rPr/>
            </w:pPr>
            <w:r>
              <w:rPr/>
              <w:t> </w:t>
            </w:r>
          </w:p>
        </w:tc>
        <w:tc>
          <w:tcPr>
            <w:tcW w:w="2315" w:type="dxa"/>
            <w:tcBorders/>
            <w:vAlign w:val="center"/>
          </w:tcPr>
          <w:p>
            <w:pPr>
              <w:pStyle w:val="TableContents"/>
              <w:bidi w:val="0"/>
              <w:spacing w:before="0" w:after="283"/>
              <w:jc w:val="both"/>
              <w:rPr/>
            </w:pPr>
            <w:r>
              <w:rPr/>
              <w:t> </w:t>
            </w:r>
          </w:p>
        </w:tc>
      </w:tr>
      <w:tr>
        <w:trPr/>
        <w:tc>
          <w:tcPr>
            <w:tcW w:w="2735" w:type="dxa"/>
            <w:tcBorders/>
            <w:vAlign w:val="center"/>
          </w:tcPr>
          <w:p>
            <w:pPr>
              <w:pStyle w:val="TableContents"/>
              <w:bidi w:val="0"/>
              <w:spacing w:before="0" w:after="283"/>
              <w:jc w:val="both"/>
              <w:rPr>
                <w:sz w:val="20"/>
              </w:rPr>
            </w:pPr>
            <w:r>
              <w:rPr>
                <w:sz w:val="20"/>
              </w:rPr>
              <w:t>Matthew S. Rizzo</w:t>
            </w:r>
          </w:p>
        </w:tc>
        <w:tc>
          <w:tcPr>
            <w:tcW w:w="2555" w:type="dxa"/>
            <w:tcBorders/>
            <w:vAlign w:val="center"/>
          </w:tcPr>
          <w:p>
            <w:pPr>
              <w:pStyle w:val="TableContents"/>
              <w:bidi w:val="0"/>
              <w:spacing w:before="0" w:after="283"/>
              <w:jc w:val="both"/>
              <w:rPr>
                <w:sz w:val="20"/>
              </w:rPr>
            </w:pPr>
            <w:r>
              <w:rPr>
                <w:sz w:val="20"/>
              </w:rPr>
              <w:t>Member</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r>
        <w:trPr/>
        <w:tc>
          <w:tcPr>
            <w:tcW w:w="2735" w:type="dxa"/>
            <w:tcBorders/>
            <w:vAlign w:val="center"/>
          </w:tcPr>
          <w:p>
            <w:pPr>
              <w:pStyle w:val="TableContents"/>
              <w:bidi w:val="0"/>
              <w:spacing w:before="0" w:after="283"/>
              <w:jc w:val="both"/>
              <w:rPr/>
            </w:pPr>
            <w:r>
              <w:rPr/>
              <w:t> </w:t>
            </w:r>
          </w:p>
        </w:tc>
        <w:tc>
          <w:tcPr>
            <w:tcW w:w="2555" w:type="dxa"/>
            <w:tcBorders/>
            <w:vAlign w:val="center"/>
          </w:tcPr>
          <w:p>
            <w:pPr>
              <w:pStyle w:val="TableContents"/>
              <w:bidi w:val="0"/>
              <w:spacing w:before="0" w:after="283"/>
              <w:jc w:val="both"/>
              <w:rPr/>
            </w:pPr>
            <w:r>
              <w:rPr/>
              <w:t> </w:t>
            </w:r>
          </w:p>
        </w:tc>
        <w:tc>
          <w:tcPr>
            <w:tcW w:w="2315" w:type="dxa"/>
            <w:tcBorders/>
            <w:vAlign w:val="center"/>
          </w:tcPr>
          <w:p>
            <w:pPr>
              <w:pStyle w:val="TableContents"/>
              <w:bidi w:val="0"/>
              <w:spacing w:before="0" w:after="283"/>
              <w:jc w:val="both"/>
              <w:rPr/>
            </w:pPr>
            <w:r>
              <w:rPr/>
              <w:t> </w:t>
            </w:r>
          </w:p>
        </w:tc>
      </w:tr>
      <w:tr>
        <w:trPr/>
        <w:tc>
          <w:tcPr>
            <w:tcW w:w="2735" w:type="dxa"/>
            <w:tcBorders/>
            <w:vAlign w:val="center"/>
          </w:tcPr>
          <w:p>
            <w:pPr>
              <w:pStyle w:val="TableContents"/>
              <w:bidi w:val="0"/>
              <w:spacing w:before="0" w:after="283"/>
              <w:jc w:val="both"/>
              <w:rPr>
                <w:sz w:val="20"/>
              </w:rPr>
            </w:pPr>
            <w:r>
              <w:rPr>
                <w:sz w:val="20"/>
              </w:rPr>
              <w:t>Trey Block</w:t>
            </w:r>
          </w:p>
        </w:tc>
        <w:tc>
          <w:tcPr>
            <w:tcW w:w="255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jc w:val="left"/>
              <w:rPr>
                <w:caps w:val="false"/>
                <w:smallCaps w:val="false"/>
              </w:rPr>
            </w:pPr>
            <w:r>
              <w:rPr>
                <w:caps w:val="false"/>
                <w:smallCaps w:val="false"/>
              </w:rPr>
              <w:t> </w:t>
            </w:r>
          </w:p>
        </w:tc>
        <w:tc>
          <w:tcPr>
            <w:tcW w:w="2315" w:type="dxa"/>
            <w:tcBorders/>
            <w:vAlign w:val="center"/>
          </w:tcPr>
          <w:p>
            <w:pPr>
              <w:pStyle w:val="TableContents"/>
              <w:bidi w:val="0"/>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283"/>
              <w:ind w:left="360" w:right="36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OrbiMed Advisors LLC</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II</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operations of OrbiMed Capital GP V LLC are managed by the executive officers and directors of its managing member, OrbiMed Advisors LLC, set forth in Schedule I attached hereto.</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SCHEDULE III</w:t>
      </w:r>
      <w:r>
        <w:rPr>
          <w:rFonts w:ascii="Times New Roman;Times;Serif" w:hAnsi="Times New Roman;Times;Serif"/>
          <w:b w:val="false"/>
          <w:i w:val="false"/>
          <w:caps w:val="false"/>
          <w:smallCaps w:val="false"/>
          <w:sz w:val="20"/>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and operations of OrbiMed Genesis GP LLC are managed by the executive officers and directors of its managing member, OrbiMed Advisors LLC, set forth in Schedule I attached hereto.</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200" w:after="200"/>
        <w:ind w:left="200" w:right="20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15" w:type="dxa"/>
        <w:tblLayout w:type="fixed"/>
        <w:tblCellMar>
          <w:top w:w="90" w:type="dxa"/>
          <w:left w:w="90" w:type="dxa"/>
          <w:bottom w:w="90" w:type="dxa"/>
          <w:right w:w="0" w:type="dxa"/>
        </w:tblCellMar>
      </w:tblPr>
      <w:tblGrid>
        <w:gridCol w:w="665"/>
        <w:gridCol w:w="9540"/>
      </w:tblGrid>
      <w:tr>
        <w:trPr/>
        <w:tc>
          <w:tcPr>
            <w:tcW w:w="665"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b/>
                <w:sz w:val="20"/>
              </w:rPr>
            </w:pPr>
            <w:r>
              <w:rPr>
                <w:b/>
                <w:sz w:val="20"/>
              </w:rPr>
              <w:t>Exhibit</w:t>
            </w:r>
          </w:p>
        </w:tc>
        <w:tc>
          <w:tcPr>
            <w:tcW w:w="9540" w:type="dxa"/>
            <w:tcBorders>
              <w:top w:val="single" w:sz="12" w:space="0" w:color="000000"/>
              <w:left w:val="single" w:sz="12" w:space="0" w:color="000000"/>
              <w:bottom w:val="single" w:sz="12" w:space="0" w:color="000000"/>
              <w:right w:val="single" w:sz="12" w:space="0" w:color="000000"/>
            </w:tcBorders>
            <w:tcMar>
              <w:right w:w="90" w:type="dxa"/>
            </w:tcMar>
            <w:vAlign w:val="center"/>
          </w:tcPr>
          <w:p>
            <w:pPr>
              <w:pStyle w:val="TableContents"/>
              <w:bidi w:val="0"/>
              <w:spacing w:before="0" w:after="283"/>
              <w:jc w:val="left"/>
              <w:rPr>
                <w:b/>
                <w:sz w:val="20"/>
              </w:rPr>
            </w:pPr>
            <w:r>
              <w:rPr>
                <w:b/>
                <w:sz w:val="20"/>
              </w:rPr>
              <w:t>Description</w:t>
            </w:r>
          </w:p>
        </w:tc>
      </w:tr>
      <w:tr>
        <w:trPr/>
        <w:tc>
          <w:tcPr>
            <w:tcW w:w="665" w:type="dxa"/>
            <w:tcBorders>
              <w:left w:val="single" w:sz="12" w:space="0" w:color="000000"/>
              <w:bottom w:val="single" w:sz="12" w:space="0" w:color="000000"/>
            </w:tcBorders>
            <w:tcMar>
              <w:top w:w="0" w:type="dxa"/>
            </w:tcMar>
            <w:vAlign w:val="center"/>
          </w:tcPr>
          <w:p>
            <w:pPr>
              <w:pStyle w:val="TableContents"/>
              <w:bidi w:val="0"/>
              <w:spacing w:before="0" w:after="283"/>
              <w:jc w:val="left"/>
              <w:rPr>
                <w:sz w:val="20"/>
              </w:rPr>
            </w:pPr>
            <w:r>
              <w:rPr>
                <w:sz w:val="20"/>
              </w:rPr>
              <w:t>1.</w:t>
            </w:r>
          </w:p>
        </w:tc>
        <w:tc>
          <w:tcPr>
            <w:tcW w:w="9540" w:type="dxa"/>
            <w:tcBorders>
              <w:left w:val="single" w:sz="12" w:space="0" w:color="000000"/>
              <w:bottom w:val="single" w:sz="12" w:space="0" w:color="000000"/>
              <w:right w:val="single" w:sz="12" w:space="0" w:color="000000"/>
            </w:tcBorders>
            <w:tcMar>
              <w:top w:w="0" w:type="dxa"/>
              <w:right w:w="90" w:type="dxa"/>
            </w:tcMar>
            <w:vAlign w:val="center"/>
          </w:tcPr>
          <w:p>
            <w:pPr>
              <w:pStyle w:val="TableContents"/>
              <w:bidi w:val="0"/>
              <w:spacing w:before="0" w:after="283"/>
              <w:jc w:val="left"/>
              <w:rPr>
                <w:sz w:val="20"/>
              </w:rPr>
            </w:pPr>
            <w:r>
              <w:rPr>
                <w:sz w:val="20"/>
              </w:rPr>
              <w:t>Joint Filing Agreement among OrbiMed Advisors LLC, OrbiMed Genesis GP LLC, and OrbiMed Capital GP V LLC.</w:t>
            </w:r>
          </w:p>
        </w:tc>
      </w:tr>
      <w:tr>
        <w:trPr/>
        <w:tc>
          <w:tcPr>
            <w:tcW w:w="665" w:type="dxa"/>
            <w:tcBorders>
              <w:left w:val="single" w:sz="12" w:space="0" w:color="000000"/>
              <w:bottom w:val="single" w:sz="12" w:space="0" w:color="000000"/>
            </w:tcBorders>
            <w:tcMar>
              <w:top w:w="0" w:type="dxa"/>
            </w:tcMar>
            <w:vAlign w:val="center"/>
          </w:tcPr>
          <w:p>
            <w:pPr>
              <w:pStyle w:val="TableContents"/>
              <w:bidi w:val="0"/>
              <w:spacing w:before="0" w:after="283"/>
              <w:jc w:val="left"/>
              <w:rPr>
                <w:sz w:val="20"/>
              </w:rPr>
            </w:pPr>
            <w:r>
              <w:rPr>
                <w:sz w:val="20"/>
              </w:rPr>
              <w:t>2.</w:t>
            </w:r>
          </w:p>
        </w:tc>
        <w:tc>
          <w:tcPr>
            <w:tcW w:w="9540" w:type="dxa"/>
            <w:tcBorders>
              <w:left w:val="single" w:sz="12" w:space="0" w:color="000000"/>
              <w:bottom w:val="single" w:sz="12" w:space="0" w:color="000000"/>
              <w:right w:val="single" w:sz="12" w:space="0" w:color="000000"/>
            </w:tcBorders>
            <w:tcMar>
              <w:top w:w="0" w:type="dxa"/>
              <w:right w:w="90" w:type="dxa"/>
            </w:tcMar>
            <w:vAlign w:val="center"/>
          </w:tcPr>
          <w:p>
            <w:pPr>
              <w:pStyle w:val="TableContents"/>
              <w:bidi w:val="0"/>
              <w:spacing w:before="0" w:after="283"/>
              <w:jc w:val="left"/>
              <w:rPr>
                <w:sz w:val="20"/>
              </w:rPr>
            </w:pPr>
            <w:r>
              <w:rPr>
                <w:sz w:val="20"/>
              </w:rPr>
              <w:t>Amended and Restated Investors’ Rights Agreement by and among the Issuer and each of the signatories thereto, dated as of July 17, 2020 (incorporated by reference to Exhibit 4.1 to the Issuer’s Registration Statement on Form S-1 (File No. 333-248627), filed with the SEC on September 4, 2020).</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bookmarkStart w:id="2" w:name="ss2418229_ex9901.htm"/>
      <w:bookmarkStart w:id="3" w:name="ksss2418229_ex9901"/>
      <w:bookmarkEnd w:id="2"/>
      <w:bookmarkEnd w:id="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ind w:left="0" w:right="0" w:firstLine="108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undersigned hereby agree that Amendment No. 2 to Schedule 13D, dated August 9, 2023, with respect to the common stock of PMV Pharmaceuticals, Inc. is filed on behalf of each of us pursuant to and in accordance with the provisions of Rule 13d-1(k) under the Securities Exchange Act of 1934, as amended. Each of the undersigned agrees to be responsible for the timely filing of this Amendment No. 2, and for the completeness and accuracy of the information concerning itself contained therein. This Agreement may be executed in any number of counterparts, all of which taken together shall constitute one and the same instrument.</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executed this Agreement as of the 23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day of August 2023.</w:t>
      </w:r>
    </w:p>
    <w:p>
      <w:pPr>
        <w:pStyle w:val="TextBody"/>
        <w:bidi w:val="0"/>
        <w:jc w:val="left"/>
        <w:rPr>
          <w:caps w:val="false"/>
          <w:smallCaps w:val="false"/>
        </w:rPr>
      </w:pPr>
      <w:r>
        <w:rPr>
          <w:caps w:val="false"/>
          <w:smallCaps w:val="false"/>
        </w:rPr>
        <w:t> </w:t>
      </w:r>
    </w:p>
    <w:tbl>
      <w:tblPr>
        <w:tblW w:w="4629" w:type="dxa"/>
        <w:jc w:val="left"/>
        <w:tblInd w:w="0" w:type="dxa"/>
        <w:tblLayout w:type="fixed"/>
        <w:tblCellMar>
          <w:top w:w="0" w:type="dxa"/>
          <w:left w:w="0" w:type="dxa"/>
          <w:bottom w:w="0" w:type="dxa"/>
          <w:right w:w="0" w:type="dxa"/>
        </w:tblCellMar>
      </w:tblPr>
      <w:tblGrid>
        <w:gridCol w:w="75"/>
        <w:gridCol w:w="320"/>
        <w:gridCol w:w="4142"/>
        <w:gridCol w:w="92"/>
      </w:tblGrid>
      <w:tr>
        <w:trPr/>
        <w:tc>
          <w:tcPr>
            <w:tcW w:w="75" w:type="dxa"/>
            <w:tcBorders/>
            <w:vAlign w:val="center"/>
          </w:tcPr>
          <w:p>
            <w:pPr>
              <w:pStyle w:val="TableContents"/>
              <w:bidi w:val="0"/>
              <w:spacing w:before="0" w:after="283"/>
              <w:jc w:val="left"/>
              <w:rPr/>
            </w:pPr>
            <w:r>
              <w:rPr/>
              <w:t> </w:t>
            </w:r>
          </w:p>
        </w:tc>
        <w:tc>
          <w:tcPr>
            <w:tcW w:w="4462" w:type="dxa"/>
            <w:gridSpan w:val="2"/>
            <w:tcBorders/>
            <w:vAlign w:val="center"/>
          </w:tcPr>
          <w:p>
            <w:pPr>
              <w:pStyle w:val="TableContents"/>
              <w:bidi w:val="0"/>
              <w:spacing w:before="0" w:after="283"/>
              <w:jc w:val="left"/>
              <w:rPr>
                <w:sz w:val="20"/>
              </w:rPr>
            </w:pPr>
            <w:r>
              <w:rPr>
                <w:sz w:val="20"/>
              </w:rPr>
              <w:t>ORBIMED ADVISORS LLC</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42" w:type="dxa"/>
            <w:tcBorders/>
            <w:vAlign w:val="center"/>
          </w:tcPr>
          <w:p>
            <w:pPr>
              <w:pStyle w:val="TableContents"/>
              <w:bidi w:val="0"/>
              <w:spacing w:before="0" w:after="283"/>
              <w:jc w:val="left"/>
              <w:rPr>
                <w:sz w:val="20"/>
                <w:u w:val="single"/>
              </w:rPr>
            </w:pPr>
            <w:r>
              <w:rPr>
                <w:sz w:val="20"/>
                <w:u w:val="single"/>
              </w:rPr>
              <w:t>/s/ Carl L. Gordon</w:t>
              <w:tab/>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Name: Carl L. Gordon</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 xml:space="preserve">Title: Member </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62" w:type="dxa"/>
            <w:gridSpan w:val="2"/>
            <w:tcBorders/>
            <w:vAlign w:val="center"/>
          </w:tcPr>
          <w:p>
            <w:pPr>
              <w:pStyle w:val="TableContents"/>
              <w:bidi w:val="0"/>
              <w:spacing w:before="0" w:after="283"/>
              <w:jc w:val="left"/>
              <w:rPr>
                <w:sz w:val="20"/>
              </w:rPr>
            </w:pPr>
            <w:r>
              <w:rPr>
                <w:sz w:val="20"/>
              </w:rPr>
              <w:t>ORBIMED CAPITAL GP V LLC</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23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42" w:type="dxa"/>
            <w:tcBorders/>
            <w:vAlign w:val="center"/>
          </w:tcPr>
          <w:p>
            <w:pPr>
              <w:pStyle w:val="TableContents"/>
              <w:bidi w:val="0"/>
              <w:spacing w:before="0" w:after="283"/>
              <w:jc w:val="left"/>
              <w:rPr>
                <w:sz w:val="20"/>
                <w:u w:val="single"/>
              </w:rPr>
            </w:pPr>
            <w:r>
              <w:rPr>
                <w:sz w:val="20"/>
                <w:u w:val="single"/>
              </w:rPr>
              <w:t>/s/ Carl L. Gordon</w:t>
              <w:tab/>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Name: Carl L. Gordon</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Title: Member of OrbiMed Advisors LLC</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62" w:type="dxa"/>
            <w:gridSpan w:val="2"/>
            <w:tcBorders/>
            <w:vAlign w:val="center"/>
          </w:tcPr>
          <w:p>
            <w:pPr>
              <w:pStyle w:val="TableContents"/>
              <w:bidi w:val="0"/>
              <w:spacing w:before="0" w:after="283"/>
              <w:jc w:val="left"/>
              <w:rPr>
                <w:sz w:val="20"/>
              </w:rPr>
            </w:pPr>
            <w:r>
              <w:rPr>
                <w:sz w:val="20"/>
              </w:rPr>
              <w:t>ORBIMED GENESIS GP LLC</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234" w:type="dxa"/>
            <w:gridSpan w:val="2"/>
            <w:tcBorders/>
            <w:vAlign w:val="center"/>
          </w:tcPr>
          <w:p>
            <w:pPr>
              <w:pStyle w:val="TableContents"/>
              <w:bidi w:val="0"/>
              <w:spacing w:before="0" w:after="283"/>
              <w:jc w:val="left"/>
              <w:rPr>
                <w:sz w:val="20"/>
              </w:rPr>
            </w:pPr>
            <w:r>
              <w:rPr>
                <w:sz w:val="20"/>
              </w:rPr>
              <w:t>ORBIMED ADVISORS LLC, it’s managing member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142" w:type="dxa"/>
            <w:tcBorders/>
            <w:vAlign w:val="center"/>
          </w:tcPr>
          <w:p>
            <w:pPr>
              <w:pStyle w:val="TableContents"/>
              <w:bidi w:val="0"/>
              <w:spacing w:before="0" w:after="283"/>
              <w:jc w:val="left"/>
              <w:rPr>
                <w:sz w:val="20"/>
                <w:u w:val="single"/>
              </w:rPr>
            </w:pPr>
            <w:r>
              <w:rPr>
                <w:sz w:val="20"/>
                <w:u w:val="single"/>
              </w:rPr>
              <w:t>/s/ Carl L. Gordon</w:t>
              <w:tab/>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Name: Carl L. Gordon</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42" w:type="dxa"/>
            <w:tcBorders/>
            <w:vAlign w:val="center"/>
          </w:tcPr>
          <w:p>
            <w:pPr>
              <w:pStyle w:val="TableContents"/>
              <w:bidi w:val="0"/>
              <w:spacing w:before="0" w:after="283"/>
              <w:jc w:val="left"/>
              <w:rPr>
                <w:sz w:val="20"/>
              </w:rPr>
            </w:pPr>
            <w:r>
              <w:rPr>
                <w:sz w:val="20"/>
              </w:rPr>
              <w:t>Title: Member of OrbiMed Advisors LLC</w:t>
            </w:r>
          </w:p>
        </w:tc>
        <w:tc>
          <w:tcPr>
            <w:tcW w:w="9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3691</Words>
  <Characters>19119</Characters>
  <CharactersWithSpaces>23676</CharactersWithSpaces>
  <Paragraphs>781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