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SCHEDULE 13D</w:t>
      </w:r>
    </w:p>
    <w:p>
      <w:pPr>
        <w:spacing w:after="0" w:line="200" w:lineRule="exact"/>
        <w:rPr>
          <w:sz w:val="24"/>
          <w:szCs w:val="24"/>
          <w:color w:val="auto"/>
        </w:rPr>
      </w:pPr>
    </w:p>
    <w:p>
      <w:pPr>
        <w:spacing w:after="0" w:line="30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spacing w:after="0" w:line="3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333333"/>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Capital GP V LLC</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Genesis GP LLC</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601 Lexington Avenue, 54th Floor</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Receive Notices and Communications)</w:t>
      </w:r>
    </w:p>
    <w:p>
      <w:pPr>
        <w:spacing w:after="0" w:line="28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September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9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2" w:lineRule="exact"/>
        <w:rPr>
          <w:sz w:val="24"/>
          <w:szCs w:val="24"/>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86" w:lineRule="exact"/>
        <w:rPr>
          <w:sz w:val="24"/>
          <w:szCs w:val="24"/>
          <w:color w:val="auto"/>
        </w:rPr>
      </w:pPr>
    </w:p>
    <w:p>
      <w:pPr>
        <w:ind w:left="260" w:hanging="252"/>
        <w:spacing w:after="0" w:line="282" w:lineRule="auto"/>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9"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40"/>
          </w:cols>
          <w:pgMar w:left="320" w:top="698" w:right="439" w:bottom="1440" w:gutter="0" w:footer="0" w:header="0"/>
        </w:sectPr>
      </w:pPr>
    </w:p>
    <w:bookmarkStart w:id="1" w:name="page2"/>
    <w:bookmarkEnd w:id="1"/>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16027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333333"/>
        </w:rPr>
        <w:t>69353Y103</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OrbiMed Advisors LLC</w:t>
            </w: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7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2</w:t>
            </w: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gridSpan w:val="2"/>
            <w:vMerge w:val="continue"/>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2"/>
                <w:szCs w:val="22"/>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gridSpan w:val="3"/>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2"/>
                <w:szCs w:val="22"/>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00" w:type="dxa"/>
            <w:vAlign w:val="bottom"/>
            <w:tcBorders>
              <w:left w:val="single" w:sz="8" w:color="auto"/>
            </w:tcBorders>
            <w:vMerge w:val="continue"/>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2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500" w:type="dxa"/>
            <w:vAlign w:val="bottom"/>
            <w:tcBorders>
              <w:lef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22"/>
                <w:szCs w:val="22"/>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gridSpan w:val="3"/>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6,589,330</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6,589,330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6,589,330</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22"/>
                <w:szCs w:val="22"/>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240" w:type="dxa"/>
            <w:vAlign w:val="bottom"/>
            <w:tcBorders>
              <w:bottom w:val="single" w:sz="8" w:color="auto"/>
            </w:tcBorders>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14.7%*</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40" w:firstLine="8"/>
        <w:spacing w:after="0" w:line="241" w:lineRule="auto"/>
        <w:tabs>
          <w:tab w:leader="none" w:pos="10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44,764,060 shares of common stock outstanding of PMV Pharmaceuticals, Inc. (the “Issuer”), as set forth in the Issuer’s Rule 424(b)(4) Prospectus filed with the Securities and Exchange Commission (“SEC”) on September 25, 2020 and giving effect to an additional 1,764,750 Shares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 w:name="page3"/>
    <w:bookmarkEnd w:id="2"/>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16027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333333"/>
        </w:rPr>
        <w:t>69353Y103</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GP V LLC</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8260" w:type="dxa"/>
            <w:vAlign w:val="bottom"/>
            <w:gridSpan w:val="3"/>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2</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16"/>
                <w:szCs w:val="16"/>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260" w:type="dxa"/>
            <w:vAlign w:val="bottom"/>
            <w:gridSpan w:val="3"/>
            <w:vMerge w:val="continue"/>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6,475,291</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6,475,291</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6,475,291</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16"/>
                <w:szCs w:val="16"/>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260" w:type="dxa"/>
            <w:vAlign w:val="bottom"/>
            <w:gridSpan w:val="3"/>
            <w:vMerge w:val="continue"/>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14.5%*</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right="40" w:firstLine="8"/>
        <w:spacing w:after="0" w:line="241" w:lineRule="auto"/>
        <w:tabs>
          <w:tab w:leader="none" w:pos="1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44,764,060 shares of common stock outstanding of PMV Pharmaceuticals, Inc. (the “Issuer”), as set forth in the Issuer’s Rule 424(b)(4) Prospectus filed with the Securities and Exchange Commission (“SEC”) on September 25, 2020 and giving effect to an additional 1,764,750 Shares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3" w:name="page4"/>
    <w:bookmarkEnd w:id="3"/>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16027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333333"/>
        </w:rPr>
        <w:t>69353Y103</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1"/>
                <w:szCs w:val="21"/>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OrbiMed Genesis GP LLC</w:t>
            </w: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2</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16"/>
                <w:szCs w:val="16"/>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260" w:type="dxa"/>
            <w:vAlign w:val="bottom"/>
            <w:gridSpan w:val="3"/>
            <w:vMerge w:val="continue"/>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114,039</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114,039</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114,039</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16"/>
                <w:szCs w:val="16"/>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260" w:type="dxa"/>
            <w:vAlign w:val="bottom"/>
            <w:gridSpan w:val="3"/>
            <w:vMerge w:val="continue"/>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0.3%*</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right="40" w:firstLine="8"/>
        <w:spacing w:after="0" w:line="241" w:lineRule="auto"/>
        <w:tabs>
          <w:tab w:leader="none" w:pos="10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44,764,060 shares of common stock outstanding of PMV Pharmaceuticals, Inc. (the “Issuer”), as set forth in the Issuer’s Rule 424(b)(4) Prospectus filed with the Securities and Exchange Commission (“SEC”) on September 25, 2020 and giving effect to an additional 1,764,750 Shares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752475</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4" w:name="page5"/>
    <w:bookmarkEnd w:id="4"/>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678053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80530" cy="30861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333333"/>
        </w:rPr>
        <w:t>69353Y103</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40" w:type="dxa"/>
            <w:vAlign w:val="bottom"/>
            <w:tcBorders>
              <w:top w:val="single" w:sz="8" w:color="auto"/>
              <w:left w:val="single" w:sz="8" w:color="auto"/>
            </w:tcBorders>
            <w:vMerge w:val="restart"/>
          </w:tcPr>
          <w:p>
            <w:pPr>
              <w:jc w:val="center"/>
              <w:ind w:left="64"/>
              <w:spacing w:after="0"/>
              <w:rPr>
                <w:sz w:val="20"/>
                <w:szCs w:val="20"/>
                <w:color w:val="auto"/>
              </w:rPr>
            </w:pPr>
            <w:r>
              <w:rPr>
                <w:rFonts w:ascii="Times New Roman" w:cs="Times New Roman" w:eastAsia="Times New Roman" w:hAnsi="Times New Roman"/>
                <w:sz w:val="25"/>
                <w:szCs w:val="25"/>
                <w:color w:val="auto"/>
                <w:w w:val="95"/>
              </w:rPr>
              <w:t>1</w:t>
            </w:r>
          </w:p>
        </w:tc>
        <w:tc>
          <w:tcPr>
            <w:tcW w:w="180" w:type="dxa"/>
            <w:vAlign w:val="bottom"/>
            <w:tcBorders>
              <w:top w:val="single" w:sz="8" w:color="auto"/>
              <w:right w:val="single" w:sz="8" w:color="auto"/>
            </w:tcBorders>
          </w:tcPr>
          <w:p>
            <w:pPr>
              <w:spacing w:after="0"/>
              <w:rPr>
                <w:sz w:val="23"/>
                <w:szCs w:val="23"/>
                <w:color w:val="auto"/>
              </w:rPr>
            </w:pPr>
          </w:p>
        </w:tc>
        <w:tc>
          <w:tcPr>
            <w:tcW w:w="824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1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LLC</w:t>
            </w:r>
          </w:p>
        </w:tc>
        <w:tc>
          <w:tcPr>
            <w:tcW w:w="6440" w:type="dxa"/>
            <w:vAlign w:val="bottom"/>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6440" w:type="dxa"/>
            <w:vAlign w:val="bottom"/>
          </w:tcPr>
          <w:p>
            <w:pPr>
              <w:spacing w:after="0"/>
              <w:rPr>
                <w:sz w:val="5"/>
                <w:szCs w:val="5"/>
                <w:color w:val="auto"/>
              </w:rPr>
            </w:pP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8240" w:type="dxa"/>
            <w:vAlign w:val="bottom"/>
            <w:tcBorders>
              <w:bottom w:val="single" w:sz="8" w:color="auto"/>
            </w:tcBorders>
            <w:gridSpan w:val="4"/>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vMerge w:val="restart"/>
          </w:tcPr>
          <w:p>
            <w:pPr>
              <w:jc w:val="center"/>
              <w:ind w:left="64"/>
              <w:spacing w:after="0"/>
              <w:rPr>
                <w:sz w:val="20"/>
                <w:szCs w:val="20"/>
                <w:color w:val="auto"/>
              </w:rPr>
            </w:pPr>
            <w:r>
              <w:rPr>
                <w:rFonts w:ascii="Times New Roman" w:cs="Times New Roman" w:eastAsia="Times New Roman" w:hAnsi="Times New Roman"/>
                <w:sz w:val="25"/>
                <w:szCs w:val="25"/>
                <w:color w:val="auto"/>
                <w:w w:val="95"/>
              </w:rPr>
              <w:t>2</w:t>
            </w:r>
          </w:p>
        </w:tc>
        <w:tc>
          <w:tcPr>
            <w:tcW w:w="180" w:type="dxa"/>
            <w:vAlign w:val="bottom"/>
            <w:tcBorders>
              <w:right w:val="single" w:sz="8" w:color="auto"/>
            </w:tcBorders>
          </w:tcPr>
          <w:p>
            <w:pPr>
              <w:spacing w:after="0"/>
              <w:rPr>
                <w:sz w:val="20"/>
                <w:szCs w:val="20"/>
                <w:color w:val="auto"/>
              </w:rPr>
            </w:pPr>
          </w:p>
        </w:tc>
        <w:tc>
          <w:tcPr>
            <w:tcW w:w="8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tcBorders>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5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54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40" w:type="dxa"/>
            <w:vAlign w:val="bottom"/>
            <w:tcBorders>
              <w:bottom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40" w:type="dxa"/>
            <w:vAlign w:val="bottom"/>
            <w:tcBorders>
              <w:left w:val="single" w:sz="8" w:color="auto"/>
            </w:tcBorders>
          </w:tcPr>
          <w:p>
            <w:pPr>
              <w:jc w:val="center"/>
              <w:ind w:left="64"/>
              <w:spacing w:after="0"/>
              <w:rPr>
                <w:sz w:val="20"/>
                <w:szCs w:val="20"/>
                <w:color w:val="auto"/>
              </w:rPr>
            </w:pPr>
            <w:r>
              <w:rPr>
                <w:rFonts w:ascii="Times New Roman" w:cs="Times New Roman" w:eastAsia="Times New Roman" w:hAnsi="Times New Roman"/>
                <w:sz w:val="25"/>
                <w:szCs w:val="25"/>
                <w:color w:val="auto"/>
                <w:w w:val="95"/>
              </w:rPr>
              <w:t>3</w:t>
            </w:r>
          </w:p>
        </w:tc>
        <w:tc>
          <w:tcPr>
            <w:tcW w:w="180" w:type="dxa"/>
            <w:vAlign w:val="bottom"/>
            <w:tcBorders>
              <w:right w:val="single" w:sz="8" w:color="auto"/>
            </w:tcBorders>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4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8240" w:type="dxa"/>
            <w:vAlign w:val="bottom"/>
            <w:tcBorders>
              <w:bottom w:val="single" w:sz="8" w:color="auto"/>
            </w:tcBorders>
            <w:gridSpan w:val="4"/>
          </w:tcPr>
          <w:p>
            <w:pPr>
              <w:spacing w:after="0"/>
              <w:rPr>
                <w:sz w:val="3"/>
                <w:szCs w:val="3"/>
                <w:color w:val="auto"/>
              </w:rPr>
            </w:pPr>
          </w:p>
        </w:tc>
        <w:tc>
          <w:tcPr>
            <w:tcW w:w="2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vMerge w:val="restart"/>
          </w:tcPr>
          <w:p>
            <w:pPr>
              <w:jc w:val="center"/>
              <w:ind w:left="64"/>
              <w:spacing w:after="0"/>
              <w:rPr>
                <w:sz w:val="20"/>
                <w:szCs w:val="20"/>
                <w:color w:val="auto"/>
              </w:rPr>
            </w:pPr>
            <w:r>
              <w:rPr>
                <w:rFonts w:ascii="Times New Roman" w:cs="Times New Roman" w:eastAsia="Times New Roman" w:hAnsi="Times New Roman"/>
                <w:sz w:val="25"/>
                <w:szCs w:val="25"/>
                <w:color w:val="auto"/>
                <w:w w:val="95"/>
              </w:rPr>
              <w:t>4</w:t>
            </w:r>
          </w:p>
        </w:tc>
        <w:tc>
          <w:tcPr>
            <w:tcW w:w="180" w:type="dxa"/>
            <w:vAlign w:val="bottom"/>
            <w:tcBorders>
              <w:right w:val="single" w:sz="8" w:color="auto"/>
            </w:tcBorders>
          </w:tcPr>
          <w:p>
            <w:pPr>
              <w:spacing w:after="0"/>
              <w:rPr>
                <w:sz w:val="20"/>
                <w:szCs w:val="20"/>
                <w:color w:val="auto"/>
              </w:rPr>
            </w:pPr>
          </w:p>
        </w:tc>
        <w:tc>
          <w:tcPr>
            <w:tcW w:w="8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54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6440" w:type="dxa"/>
            <w:vAlign w:val="bottom"/>
          </w:tcPr>
          <w:p>
            <w:pPr>
              <w:spacing w:after="0"/>
              <w:rPr>
                <w:sz w:val="5"/>
                <w:szCs w:val="5"/>
                <w:color w:val="auto"/>
              </w:rPr>
            </w:pP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8240" w:type="dxa"/>
            <w:vAlign w:val="bottom"/>
            <w:tcBorders>
              <w:bottom w:val="single" w:sz="8" w:color="auto"/>
            </w:tcBorders>
            <w:gridSpan w:val="4"/>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40" w:type="dxa"/>
            <w:vAlign w:val="bottom"/>
            <w:tcBorders>
              <w:left w:val="single" w:sz="8" w:color="auto"/>
            </w:tcBorders>
            <w:vMerge w:val="restart"/>
          </w:tcPr>
          <w:p>
            <w:pPr>
              <w:jc w:val="center"/>
              <w:ind w:left="64"/>
              <w:spacing w:after="0"/>
              <w:rPr>
                <w:sz w:val="20"/>
                <w:szCs w:val="20"/>
                <w:color w:val="auto"/>
              </w:rPr>
            </w:pPr>
            <w:r>
              <w:rPr>
                <w:rFonts w:ascii="Times New Roman" w:cs="Times New Roman" w:eastAsia="Times New Roman" w:hAnsi="Times New Roman"/>
                <w:sz w:val="25"/>
                <w:szCs w:val="25"/>
                <w:color w:val="auto"/>
                <w:w w:val="95"/>
              </w:rPr>
              <w:t>5</w:t>
            </w:r>
          </w:p>
        </w:tc>
        <w:tc>
          <w:tcPr>
            <w:tcW w:w="180" w:type="dxa"/>
            <w:vAlign w:val="bottom"/>
            <w:tcBorders>
              <w:right w:val="single" w:sz="8" w:color="auto"/>
            </w:tcBorders>
          </w:tcPr>
          <w:p>
            <w:pPr>
              <w:spacing w:after="0"/>
              <w:rPr>
                <w:sz w:val="22"/>
                <w:szCs w:val="22"/>
                <w:color w:val="auto"/>
              </w:rPr>
            </w:pPr>
          </w:p>
        </w:tc>
        <w:tc>
          <w:tcPr>
            <w:tcW w:w="8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540" w:type="dxa"/>
            <w:vAlign w:val="bottom"/>
            <w:tcBorders>
              <w:left w:val="single" w:sz="8" w:color="auto"/>
            </w:tcBorders>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2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40" w:type="dxa"/>
            <w:vAlign w:val="bottom"/>
            <w:tcBorders>
              <w:left w:val="single" w:sz="8" w:color="auto"/>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8240" w:type="dxa"/>
            <w:vAlign w:val="bottom"/>
            <w:tcBorders>
              <w:bottom w:val="single" w:sz="8" w:color="auto"/>
            </w:tcBorders>
            <w:gridSpan w:val="4"/>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vMerge w:val="restart"/>
          </w:tcPr>
          <w:p>
            <w:pPr>
              <w:jc w:val="center"/>
              <w:ind w:left="64"/>
              <w:spacing w:after="0"/>
              <w:rPr>
                <w:sz w:val="20"/>
                <w:szCs w:val="20"/>
                <w:color w:val="auto"/>
              </w:rPr>
            </w:pPr>
            <w:r>
              <w:rPr>
                <w:rFonts w:ascii="Times New Roman" w:cs="Times New Roman" w:eastAsia="Times New Roman" w:hAnsi="Times New Roman"/>
                <w:sz w:val="25"/>
                <w:szCs w:val="25"/>
                <w:color w:val="auto"/>
                <w:w w:val="95"/>
              </w:rPr>
              <w:t>6</w:t>
            </w:r>
          </w:p>
        </w:tc>
        <w:tc>
          <w:tcPr>
            <w:tcW w:w="180" w:type="dxa"/>
            <w:vAlign w:val="bottom"/>
            <w:tcBorders>
              <w:right w:val="single" w:sz="8" w:color="auto"/>
            </w:tcBorders>
          </w:tcPr>
          <w:p>
            <w:pPr>
              <w:spacing w:after="0"/>
              <w:rPr>
                <w:sz w:val="20"/>
                <w:szCs w:val="20"/>
                <w:color w:val="auto"/>
              </w:rPr>
            </w:pPr>
          </w:p>
        </w:tc>
        <w:tc>
          <w:tcPr>
            <w:tcW w:w="8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54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6440" w:type="dxa"/>
            <w:vAlign w:val="bottom"/>
          </w:tcPr>
          <w:p>
            <w:pPr>
              <w:spacing w:after="0"/>
              <w:rPr>
                <w:sz w:val="5"/>
                <w:szCs w:val="5"/>
                <w:color w:val="auto"/>
              </w:rPr>
            </w:pP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40" w:type="dxa"/>
            <w:vAlign w:val="bottom"/>
            <w:tcBorders>
              <w:bottom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8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ind w:right="34"/>
              <w:spacing w:after="0"/>
              <w:rPr>
                <w:sz w:val="20"/>
                <w:szCs w:val="20"/>
                <w:color w:val="auto"/>
              </w:rPr>
            </w:pPr>
            <w:r>
              <w:rPr>
                <w:rFonts w:ascii="Times New Roman" w:cs="Times New Roman" w:eastAsia="Times New Roman" w:hAnsi="Times New Roman"/>
                <w:sz w:val="25"/>
                <w:szCs w:val="25"/>
                <w:color w:val="auto"/>
              </w:rPr>
              <w:t>7</w:t>
            </w: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40" w:type="dxa"/>
            <w:vAlign w:val="bottom"/>
            <w:tcBorders>
              <w:left w:val="single" w:sz="8" w:color="auto"/>
              <w:right w:val="single" w:sz="8" w:color="auto"/>
            </w:tcBorders>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64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741,093</w:t>
            </w: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40" w:type="dxa"/>
            <w:vAlign w:val="bottom"/>
            <w:tcBorders>
              <w:left w:val="single" w:sz="8" w:color="auto"/>
            </w:tcBorders>
          </w:tcPr>
          <w:p>
            <w:pPr>
              <w:spacing w:after="0"/>
              <w:rPr>
                <w:sz w:val="8"/>
                <w:szCs w:val="8"/>
                <w:color w:val="auto"/>
              </w:rPr>
            </w:pPr>
          </w:p>
        </w:tc>
        <w:tc>
          <w:tcPr>
            <w:tcW w:w="1300" w:type="dxa"/>
            <w:vAlign w:val="bottom"/>
            <w:tcBorders>
              <w:right w:val="single" w:sz="8" w:color="auto"/>
            </w:tcBorders>
            <w:gridSpan w:val="2"/>
            <w:vMerge w:val="restart"/>
          </w:tcPr>
          <w:p>
            <w:pPr>
              <w:jc w:val="center"/>
              <w:ind w:right="43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6440" w:type="dxa"/>
            <w:vAlign w:val="bottom"/>
            <w:tcBorders>
              <w:bottom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40" w:type="dxa"/>
            <w:vAlign w:val="bottom"/>
            <w:tcBorders>
              <w:left w:val="single" w:sz="8" w:color="auto"/>
            </w:tcBorders>
          </w:tcPr>
          <w:p>
            <w:pPr>
              <w:spacing w:after="0"/>
              <w:rPr>
                <w:sz w:val="6"/>
                <w:szCs w:val="6"/>
                <w:color w:val="auto"/>
              </w:rPr>
            </w:pPr>
          </w:p>
        </w:tc>
        <w:tc>
          <w:tcPr>
            <w:tcW w:w="130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8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ind w:right="34"/>
              <w:spacing w:after="0" w:line="216" w:lineRule="exact"/>
              <w:rPr>
                <w:sz w:val="20"/>
                <w:szCs w:val="20"/>
                <w:color w:val="auto"/>
              </w:rPr>
            </w:pPr>
            <w:r>
              <w:rPr>
                <w:rFonts w:ascii="Times New Roman" w:cs="Times New Roman" w:eastAsia="Times New Roman" w:hAnsi="Times New Roman"/>
                <w:sz w:val="25"/>
                <w:szCs w:val="25"/>
                <w:color w:val="auto"/>
              </w:rPr>
              <w:t>8</w:t>
            </w:r>
          </w:p>
        </w:tc>
        <w:tc>
          <w:tcPr>
            <w:tcW w:w="6440" w:type="dxa"/>
            <w:vAlign w:val="bottom"/>
            <w:vMerge w:val="continue"/>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40" w:type="dxa"/>
            <w:vAlign w:val="bottom"/>
            <w:tcBorders>
              <w:left w:val="single" w:sz="8" w:color="auto"/>
              <w:right w:val="single" w:sz="8" w:color="auto"/>
            </w:tcBorders>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6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8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6440" w:type="dxa"/>
            <w:vAlign w:val="bottom"/>
            <w:tcBorders>
              <w:bottom w:val="single" w:sz="8" w:color="auto"/>
            </w:tcBorders>
            <w:vMerge w:val="continue"/>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1300" w:type="dxa"/>
            <w:vAlign w:val="bottom"/>
            <w:tcBorders>
              <w:right w:val="single" w:sz="8" w:color="auto"/>
            </w:tcBorders>
            <w:gridSpan w:val="2"/>
          </w:tcPr>
          <w:p>
            <w:pPr>
              <w:jc w:val="center"/>
              <w:ind w:right="4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Pr>
          <w:p>
            <w:pPr>
              <w:spacing w:after="0"/>
              <w:rPr>
                <w:sz w:val="17"/>
                <w:szCs w:val="17"/>
                <w:color w:val="auto"/>
              </w:rPr>
            </w:pPr>
          </w:p>
        </w:tc>
        <w:tc>
          <w:tcPr>
            <w:tcW w:w="540" w:type="dxa"/>
            <w:vAlign w:val="bottom"/>
            <w:tcBorders>
              <w:right w:val="single" w:sz="8" w:color="auto"/>
            </w:tcBorders>
            <w:vMerge w:val="restart"/>
          </w:tcPr>
          <w:p>
            <w:pPr>
              <w:jc w:val="center"/>
              <w:ind w:right="34"/>
              <w:spacing w:after="0"/>
              <w:rPr>
                <w:sz w:val="20"/>
                <w:szCs w:val="20"/>
                <w:color w:val="auto"/>
              </w:rPr>
            </w:pPr>
            <w:r>
              <w:rPr>
                <w:rFonts w:ascii="Times New Roman" w:cs="Times New Roman" w:eastAsia="Times New Roman" w:hAnsi="Times New Roman"/>
                <w:sz w:val="25"/>
                <w:szCs w:val="25"/>
                <w:color w:val="auto"/>
              </w:rPr>
              <w:t>9</w:t>
            </w:r>
          </w:p>
        </w:tc>
        <w:tc>
          <w:tcPr>
            <w:tcW w:w="64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Pr>
          <w:p>
            <w:pPr>
              <w:spacing w:after="0"/>
              <w:rPr>
                <w:sz w:val="18"/>
                <w:szCs w:val="18"/>
                <w:color w:val="auto"/>
              </w:rPr>
            </w:pPr>
          </w:p>
        </w:tc>
        <w:tc>
          <w:tcPr>
            <w:tcW w:w="540" w:type="dxa"/>
            <w:vAlign w:val="bottom"/>
            <w:tcBorders>
              <w:right w:val="single" w:sz="8" w:color="auto"/>
            </w:tcBorders>
            <w:vMerge w:val="continue"/>
          </w:tcPr>
          <w:p>
            <w:pPr>
              <w:spacing w:after="0"/>
              <w:rPr>
                <w:sz w:val="18"/>
                <w:szCs w:val="18"/>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741,093</w:t>
            </w: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40" w:type="dxa"/>
            <w:vAlign w:val="bottom"/>
            <w:tcBorders>
              <w:left w:val="single" w:sz="8" w:color="auto"/>
            </w:tcBorders>
          </w:tcPr>
          <w:p>
            <w:pPr>
              <w:spacing w:after="0"/>
              <w:rPr>
                <w:sz w:val="8"/>
                <w:szCs w:val="8"/>
                <w:color w:val="auto"/>
              </w:rPr>
            </w:pPr>
          </w:p>
        </w:tc>
        <w:tc>
          <w:tcPr>
            <w:tcW w:w="1300" w:type="dxa"/>
            <w:vAlign w:val="bottom"/>
            <w:tcBorders>
              <w:right w:val="single" w:sz="8" w:color="auto"/>
            </w:tcBorders>
            <w:gridSpan w:val="2"/>
            <w:vMerge w:val="restart"/>
          </w:tcPr>
          <w:p>
            <w:pPr>
              <w:jc w:val="center"/>
              <w:ind w:right="430"/>
              <w:spacing w:after="0" w:line="198" w:lineRule="exact"/>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6440" w:type="dxa"/>
            <w:vAlign w:val="bottom"/>
            <w:tcBorders>
              <w:bottom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40" w:type="dxa"/>
            <w:vAlign w:val="bottom"/>
            <w:tcBorders>
              <w:left w:val="single" w:sz="8" w:color="auto"/>
            </w:tcBorders>
          </w:tcPr>
          <w:p>
            <w:pPr>
              <w:spacing w:after="0"/>
              <w:rPr>
                <w:sz w:val="6"/>
                <w:szCs w:val="6"/>
                <w:color w:val="auto"/>
              </w:rPr>
            </w:pPr>
          </w:p>
        </w:tc>
        <w:tc>
          <w:tcPr>
            <w:tcW w:w="130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4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right w:val="single" w:sz="8" w:color="auto"/>
            </w:tcBorders>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w w:val="93"/>
              </w:rPr>
              <w:t>WITH</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ind w:right="34"/>
              <w:spacing w:after="0"/>
              <w:rPr>
                <w:sz w:val="20"/>
                <w:szCs w:val="20"/>
                <w:color w:val="auto"/>
              </w:rPr>
            </w:pPr>
            <w:r>
              <w:rPr>
                <w:rFonts w:ascii="Times New Roman" w:cs="Times New Roman" w:eastAsia="Times New Roman" w:hAnsi="Times New Roman"/>
                <w:sz w:val="25"/>
                <w:szCs w:val="25"/>
                <w:color w:val="auto"/>
              </w:rPr>
              <w:t>10</w:t>
            </w:r>
          </w:p>
        </w:tc>
        <w:tc>
          <w:tcPr>
            <w:tcW w:w="6440" w:type="dxa"/>
            <w:vAlign w:val="bottom"/>
            <w:vMerge w:val="continue"/>
          </w:tcPr>
          <w:p>
            <w:pPr>
              <w:spacing w:after="0"/>
              <w:rPr>
                <w:sz w:val="14"/>
                <w:szCs w:val="14"/>
                <w:color w:val="auto"/>
              </w:rPr>
            </w:pPr>
          </w:p>
        </w:tc>
        <w:tc>
          <w:tcPr>
            <w:tcW w:w="2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6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440" w:type="dxa"/>
            <w:vAlign w:val="bottom"/>
            <w:vMerge w:val="continue"/>
          </w:tcPr>
          <w:p>
            <w:pPr>
              <w:spacing w:after="0"/>
              <w:rPr>
                <w:sz w:val="5"/>
                <w:szCs w:val="5"/>
                <w:color w:val="auto"/>
              </w:rPr>
            </w:pP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gridSpan w:val="2"/>
          </w:tcPr>
          <w:p>
            <w:pPr>
              <w:spacing w:after="0"/>
              <w:rPr>
                <w:sz w:val="4"/>
                <w:szCs w:val="4"/>
                <w:color w:val="auto"/>
              </w:rPr>
            </w:pPr>
          </w:p>
        </w:tc>
        <w:tc>
          <w:tcPr>
            <w:tcW w:w="6440" w:type="dxa"/>
            <w:vAlign w:val="bottom"/>
            <w:tcBorders>
              <w:bottom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vMerge w:val="restart"/>
          </w:tcPr>
          <w:p>
            <w:pPr>
              <w:jc w:val="center"/>
              <w:ind w:left="64"/>
              <w:spacing w:after="0"/>
              <w:rPr>
                <w:sz w:val="20"/>
                <w:szCs w:val="20"/>
                <w:color w:val="auto"/>
              </w:rPr>
            </w:pPr>
            <w:r>
              <w:rPr>
                <w:rFonts w:ascii="Times New Roman" w:cs="Times New Roman" w:eastAsia="Times New Roman" w:hAnsi="Times New Roman"/>
                <w:sz w:val="25"/>
                <w:szCs w:val="25"/>
                <w:color w:val="auto"/>
                <w:w w:val="95"/>
              </w:rPr>
              <w:t>11</w:t>
            </w:r>
          </w:p>
        </w:tc>
        <w:tc>
          <w:tcPr>
            <w:tcW w:w="180" w:type="dxa"/>
            <w:vAlign w:val="bottom"/>
            <w:tcBorders>
              <w:right w:val="single" w:sz="8" w:color="auto"/>
            </w:tcBorders>
          </w:tcPr>
          <w:p>
            <w:pPr>
              <w:spacing w:after="0"/>
              <w:rPr>
                <w:sz w:val="20"/>
                <w:szCs w:val="20"/>
                <w:color w:val="auto"/>
              </w:rPr>
            </w:pPr>
          </w:p>
        </w:tc>
        <w:tc>
          <w:tcPr>
            <w:tcW w:w="8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741,093</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1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40" w:type="dxa"/>
            <w:vAlign w:val="bottom"/>
          </w:tcPr>
          <w:p>
            <w:pPr>
              <w:spacing w:after="0"/>
              <w:rPr>
                <w:sz w:val="5"/>
                <w:szCs w:val="5"/>
                <w:color w:val="auto"/>
              </w:rPr>
            </w:pP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6440" w:type="dxa"/>
            <w:vAlign w:val="bottom"/>
            <w:tcBorders>
              <w:bottom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40" w:type="dxa"/>
            <w:vAlign w:val="bottom"/>
            <w:tcBorders>
              <w:left w:val="single" w:sz="8" w:color="auto"/>
            </w:tcBorders>
            <w:vMerge w:val="restart"/>
          </w:tcPr>
          <w:p>
            <w:pPr>
              <w:jc w:val="center"/>
              <w:ind w:left="64"/>
              <w:spacing w:after="0"/>
              <w:rPr>
                <w:sz w:val="20"/>
                <w:szCs w:val="20"/>
                <w:color w:val="auto"/>
              </w:rPr>
            </w:pPr>
            <w:r>
              <w:rPr>
                <w:rFonts w:ascii="Times New Roman" w:cs="Times New Roman" w:eastAsia="Times New Roman" w:hAnsi="Times New Roman"/>
                <w:sz w:val="25"/>
                <w:szCs w:val="25"/>
                <w:color w:val="auto"/>
                <w:w w:val="95"/>
              </w:rPr>
              <w:t>12</w:t>
            </w:r>
          </w:p>
        </w:tc>
        <w:tc>
          <w:tcPr>
            <w:tcW w:w="180" w:type="dxa"/>
            <w:vAlign w:val="bottom"/>
            <w:tcBorders>
              <w:right w:val="single" w:sz="8" w:color="auto"/>
            </w:tcBorders>
          </w:tcPr>
          <w:p>
            <w:pPr>
              <w:spacing w:after="0"/>
              <w:rPr>
                <w:sz w:val="22"/>
                <w:szCs w:val="22"/>
                <w:color w:val="auto"/>
              </w:rPr>
            </w:pPr>
          </w:p>
        </w:tc>
        <w:tc>
          <w:tcPr>
            <w:tcW w:w="8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540" w:type="dxa"/>
            <w:vAlign w:val="bottom"/>
            <w:tcBorders>
              <w:left w:val="single" w:sz="8" w:color="auto"/>
            </w:tcBorders>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2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40" w:type="dxa"/>
            <w:vAlign w:val="bottom"/>
            <w:tcBorders>
              <w:left w:val="single" w:sz="8" w:color="auto"/>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vMerge w:val="restart"/>
          </w:tcPr>
          <w:p>
            <w:pPr>
              <w:jc w:val="center"/>
              <w:ind w:left="64"/>
              <w:spacing w:after="0"/>
              <w:rPr>
                <w:sz w:val="20"/>
                <w:szCs w:val="20"/>
                <w:color w:val="auto"/>
              </w:rPr>
            </w:pPr>
            <w:r>
              <w:rPr>
                <w:rFonts w:ascii="Times New Roman" w:cs="Times New Roman" w:eastAsia="Times New Roman" w:hAnsi="Times New Roman"/>
                <w:sz w:val="25"/>
                <w:szCs w:val="25"/>
                <w:color w:val="auto"/>
                <w:w w:val="95"/>
              </w:rPr>
              <w:t>13</w:t>
            </w:r>
          </w:p>
        </w:tc>
        <w:tc>
          <w:tcPr>
            <w:tcW w:w="180" w:type="dxa"/>
            <w:vAlign w:val="bottom"/>
            <w:tcBorders>
              <w:right w:val="single" w:sz="8" w:color="auto"/>
            </w:tcBorders>
          </w:tcPr>
          <w:p>
            <w:pPr>
              <w:spacing w:after="0"/>
              <w:rPr>
                <w:sz w:val="20"/>
                <w:szCs w:val="20"/>
                <w:color w:val="auto"/>
              </w:rPr>
            </w:pPr>
          </w:p>
        </w:tc>
        <w:tc>
          <w:tcPr>
            <w:tcW w:w="8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1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40" w:type="dxa"/>
            <w:vAlign w:val="bottom"/>
          </w:tcPr>
          <w:p>
            <w:pPr>
              <w:spacing w:after="0"/>
              <w:rPr>
                <w:sz w:val="5"/>
                <w:szCs w:val="5"/>
                <w:color w:val="auto"/>
              </w:rPr>
            </w:pP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6440" w:type="dxa"/>
            <w:vAlign w:val="bottom"/>
            <w:tcBorders>
              <w:bottom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vMerge w:val="restart"/>
          </w:tcPr>
          <w:p>
            <w:pPr>
              <w:jc w:val="center"/>
              <w:ind w:left="64"/>
              <w:spacing w:after="0"/>
              <w:rPr>
                <w:sz w:val="20"/>
                <w:szCs w:val="20"/>
                <w:color w:val="auto"/>
              </w:rPr>
            </w:pPr>
            <w:r>
              <w:rPr>
                <w:rFonts w:ascii="Times New Roman" w:cs="Times New Roman" w:eastAsia="Times New Roman" w:hAnsi="Times New Roman"/>
                <w:sz w:val="25"/>
                <w:szCs w:val="25"/>
                <w:color w:val="auto"/>
                <w:w w:val="95"/>
              </w:rPr>
              <w:t>14</w:t>
            </w:r>
          </w:p>
        </w:tc>
        <w:tc>
          <w:tcPr>
            <w:tcW w:w="180" w:type="dxa"/>
            <w:vAlign w:val="bottom"/>
            <w:tcBorders>
              <w:right w:val="single" w:sz="8" w:color="auto"/>
            </w:tcBorders>
          </w:tcPr>
          <w:p>
            <w:pPr>
              <w:spacing w:after="0"/>
              <w:rPr>
                <w:sz w:val="20"/>
                <w:szCs w:val="20"/>
                <w:color w:val="auto"/>
              </w:rPr>
            </w:pPr>
          </w:p>
        </w:tc>
        <w:tc>
          <w:tcPr>
            <w:tcW w:w="8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54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6440" w:type="dxa"/>
            <w:vAlign w:val="bottom"/>
          </w:tcPr>
          <w:p>
            <w:pPr>
              <w:spacing w:after="0"/>
              <w:rPr>
                <w:sz w:val="5"/>
                <w:szCs w:val="5"/>
                <w:color w:val="auto"/>
              </w:rPr>
            </w:pPr>
          </w:p>
        </w:tc>
        <w:tc>
          <w:tcPr>
            <w:tcW w:w="2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40" w:type="dxa"/>
            <w:vAlign w:val="bottom"/>
            <w:tcBorders>
              <w:bottom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firstLine="8"/>
        <w:spacing w:after="0" w:line="241" w:lineRule="auto"/>
        <w:tabs>
          <w:tab w:leader="none" w:pos="10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44,764,060 shares of common stock outstanding of PMV Pharmaceuticals, Inc. (the “Issuer”), as set forth in the Issuer’s Rule 424(b)(4) Prospectus filed with the Securities and Exchange Commission (“SEC”) on September 25, 2020 and giving effect to an additional 1,764,750 Shares issued and sold by the Issuer to the underwriters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777875</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Schedule 13D (the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relates to the common stock,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PMV Pharmaceuticals, Inc., a corporation organized under the laws of Delaware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 with its principal executive offices located at 8 Clarke Drive, Suite 3, Cranbury, New Jersey 08512. The Shares are listed on the NASDAQ Global Select Market under the ticker symbol “PMVP”. Information given in response to each item shall be deemed incorporated by reference in all other items, as applicable.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September 18, 2020, the Issuer effected a reverse stock-split at a ratio of 1-for-5.2651 (the “</w:t>
      </w: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 References in this Statement to numbers of Shares and exercise prices give effect to the Reverse Stock Split.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29, 2020, the Issuer completed its initial public offering pursuant to which the Issuer agreed to issue and sell to the participants 11,765,000 Shares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 In addition, the Issuer granted the underwriters an option to purchase, at the public offering price less any underwriting discounts and commissions, up to an additional 1,764,750 Shares. The purchase price for each Share was $18.00. As a result of the IPO, and the underwriters exercise of their option, the Issuer’s total number of outstanding Shares increased to 44,764,060.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firstLine="656"/>
        <w:spacing w:after="0" w:line="282" w:lineRule="auto"/>
        <w:tabs>
          <w:tab w:leader="none" w:pos="8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by OrbiMed Advisors LLC (“</w:t>
      </w:r>
      <w:r>
        <w:rPr>
          <w:rFonts w:ascii="Times New Roman" w:cs="Times New Roman" w:eastAsia="Times New Roman" w:hAnsi="Times New Roman"/>
          <w:sz w:val="18"/>
          <w:szCs w:val="18"/>
          <w:u w:val="single" w:color="auto"/>
          <w:color w:val="auto"/>
        </w:rPr>
        <w:t>OrbiMed Advisors</w:t>
      </w:r>
      <w:r>
        <w:rPr>
          <w:rFonts w:ascii="Times New Roman" w:cs="Times New Roman" w:eastAsia="Times New Roman" w:hAnsi="Times New Roman"/>
          <w:sz w:val="18"/>
          <w:szCs w:val="18"/>
          <w:color w:val="auto"/>
        </w:rPr>
        <w:t>”), OrbiMed Capital GP V LLC (“</w:t>
      </w:r>
      <w:r>
        <w:rPr>
          <w:rFonts w:ascii="Times New Roman" w:cs="Times New Roman" w:eastAsia="Times New Roman" w:hAnsi="Times New Roman"/>
          <w:sz w:val="18"/>
          <w:szCs w:val="18"/>
          <w:u w:val="single" w:color="auto"/>
          <w:color w:val="auto"/>
        </w:rPr>
        <w:t>OrbiMed GP</w:t>
      </w:r>
      <w:r>
        <w:rPr>
          <w:rFonts w:ascii="Times New Roman" w:cs="Times New Roman" w:eastAsia="Times New Roman" w:hAnsi="Times New Roman"/>
          <w:sz w:val="18"/>
          <w:szCs w:val="18"/>
          <w:color w:val="auto"/>
        </w:rPr>
        <w:t>”), OrbiMed Genesis GP LLC (“</w:t>
      </w:r>
      <w:r>
        <w:rPr>
          <w:rFonts w:ascii="Times New Roman" w:cs="Times New Roman" w:eastAsia="Times New Roman" w:hAnsi="Times New Roman"/>
          <w:sz w:val="18"/>
          <w:szCs w:val="18"/>
          <w:u w:val="single" w:color="auto"/>
          <w:color w:val="auto"/>
        </w:rPr>
        <w:t>OrbiMed Genesis</w:t>
      </w:r>
      <w:r>
        <w:rPr>
          <w:rFonts w:ascii="Times New Roman" w:cs="Times New Roman" w:eastAsia="Times New Roman" w:hAnsi="Times New Roman"/>
          <w:sz w:val="18"/>
          <w:szCs w:val="18"/>
          <w:color w:val="auto"/>
        </w:rPr>
        <w:t>”), and OrbiMed Capital LLC (“</w:t>
      </w:r>
      <w:r>
        <w:rPr>
          <w:rFonts w:ascii="Times New Roman" w:cs="Times New Roman" w:eastAsia="Times New Roman" w:hAnsi="Times New Roman"/>
          <w:sz w:val="18"/>
          <w:szCs w:val="18"/>
          <w:u w:val="single" w:color="auto"/>
          <w:color w:val="auto"/>
        </w:rPr>
        <w:t>OrbiMed Capital</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704"/>
        <w:spacing w:after="0" w:line="266" w:lineRule="auto"/>
        <w:tabs>
          <w:tab w:leader="none" w:pos="95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(f) OrbiMed Advisors, a limited liability company organized under the laws of Delaware and a registered investment adviser under the Investment Advisers Act of 1940, as amended, is the managing member or general partner of certain entities as more particularly described in Item 6 below. OrbiMed Advisors has its principal offices at 601 Lexington Avenue, 54th Floor, New York, New York 10022.</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OrbiMed GP, a limited liability company organized under the laws of Delaware, is the general partner of a limited partnership as more particularly described in Item 6 below. OrbiMed GP has its principal offices at 601 Lexington Avenue, 54th Floor, New York, New York 10022.</w:t>
      </w:r>
    </w:p>
    <w:p>
      <w:pPr>
        <w:spacing w:after="0" w:line="162" w:lineRule="exact"/>
        <w:rPr>
          <w:sz w:val="20"/>
          <w:szCs w:val="20"/>
          <w:color w:val="auto"/>
        </w:rPr>
      </w:pPr>
    </w:p>
    <w:p>
      <w:pPr>
        <w:ind w:right="480" w:firstLine="648"/>
        <w:spacing w:after="0" w:line="312" w:lineRule="auto"/>
        <w:rPr>
          <w:sz w:val="20"/>
          <w:szCs w:val="20"/>
          <w:color w:val="auto"/>
        </w:rPr>
      </w:pPr>
      <w:r>
        <w:rPr>
          <w:rFonts w:ascii="Times New Roman" w:cs="Times New Roman" w:eastAsia="Times New Roman" w:hAnsi="Times New Roman"/>
          <w:sz w:val="17"/>
          <w:szCs w:val="17"/>
          <w:color w:val="auto"/>
        </w:rPr>
        <w:t>OrbiMed Genesis, a limited liability company organized under the laws of Delaware, is the general partner of a limited partnership as more particularly described in Item 6 below. OrbiMed Genesis has its principal offices at 601 Lexington Avenue, 54th Floor, New York, New York 10022.</w:t>
      </w:r>
    </w:p>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OrbiMed Capital, a limited liability company organized under the laws of Delaware and a registered investment adviser under the Investment Advisers Act of 1940, as amended, is the investment adviser of certain entities as more particularly described in Item 6 below. OrbiMed Capital has its principal offices at 601 Lexington Avenue, 54th Floor, New York, New York 10022.</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directors and executive officers of OrbiMed Advisors, OrbiMed Capital, OrbiMed GP, and OrbiMed Genesis are set forth on Schedules I, II, III, and IV, respectively, attached hereto. Schedules I, II, III and IV set forth the following information with respect to each such person:</w:t>
      </w:r>
    </w:p>
    <w:p>
      <w:pPr>
        <w:spacing w:after="0" w:line="162" w:lineRule="exact"/>
        <w:rPr>
          <w:sz w:val="20"/>
          <w:szCs w:val="20"/>
          <w:color w:val="auto"/>
        </w:rPr>
      </w:pPr>
    </w:p>
    <w:p>
      <w:pPr>
        <w:ind w:left="1280" w:hanging="624"/>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address;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principal occupation of employment and the name, principal business and address of any corporation or other organization in which such employment is conducted;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ind w:firstLine="656"/>
        <w:spacing w:after="0" w:line="261" w:lineRule="auto"/>
        <w:tabs>
          <w:tab w:leader="none" w:pos="9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 During the last five years, neither the Reporting Persons nor any Person named in Schedules I through IV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In two closings in November 2014 and September 2016, OrbiMed Advisors and OrbiMed GP, pursuant to their authority under the limited partnership agreement of OrbiMed Private Investments V, LP (“</w:t>
      </w:r>
      <w:r>
        <w:rPr>
          <w:rFonts w:ascii="Times New Roman" w:cs="Times New Roman" w:eastAsia="Times New Roman" w:hAnsi="Times New Roman"/>
          <w:sz w:val="18"/>
          <w:szCs w:val="18"/>
          <w:u w:val="single" w:color="auto"/>
          <w:color w:val="auto"/>
        </w:rPr>
        <w:t>OPI V</w:t>
      </w:r>
      <w:r>
        <w:rPr>
          <w:rFonts w:ascii="Times New Roman" w:cs="Times New Roman" w:eastAsia="Times New Roman" w:hAnsi="Times New Roman"/>
          <w:sz w:val="18"/>
          <w:szCs w:val="18"/>
          <w:color w:val="auto"/>
        </w:rPr>
        <w:t>”), as more particularly referred to in Item 6 below, caused OPI V to purchase 4,025,076 shares of Series A Preferred Stock of the Issuer. In connection with the IPO, shares of Series A Convertible Preferred Stock were subsequently converted (on the closing of the IPO) into Shares on a 1-for-1 basis.</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February 2017, OrbiMed Advisors and OrbiMed GP, pursuant to their authority under the limited partnership agreement of OPI V, as more particularly referred to in Item 6 below, caused OPI V to purchase 1,076,891 shares of Series B Preferred Stock of the Issuer. In connection with the IPO, shares of Series B Preferred Stock were subsequently converted (on the closing of the IPO) into Shares on a 1-for-1 basis.</w:t>
      </w:r>
    </w:p>
    <w:p>
      <w:pPr>
        <w:spacing w:after="0" w:line="176"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In November 2019, OrbiMed Advisors and OrbiMed GP, pursuant to their authority under the limited partnership agreement of OPI V, as more particularly referred to in Item 6 below, caused OPI V to purchase 518,191 shares of Series C Preferred Stock of the Issuer. In connection with the IPO, shares of Series C Preferred Stock were subsequently converted (on the closing of the IPO) into Shares on a 1-for-1 basis.</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July 2020, OrbiMed Advisors and OrbiMed GP, pursuant to their authority under the limited partnership agreement of OPI V, as more particularly referred to in Item 6 below, caused OPI V to purchase 380,133 shares of Series D Preferred Stock of the Issuer. In connection with the IPO, shares of Series D Preferred Stock were subsequently converted (on the closing of the IPO) into Shares on a 1-for-1 basis.</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July 2020, OrbiMed Advisors and OrbiMed Genesis, pursuant to their authority under the limited partnership agreement of OrbiMed Genesis Master Fund, L.P. (“</w:t>
      </w:r>
      <w:r>
        <w:rPr>
          <w:rFonts w:ascii="Times New Roman" w:cs="Times New Roman" w:eastAsia="Times New Roman" w:hAnsi="Times New Roman"/>
          <w:sz w:val="18"/>
          <w:szCs w:val="18"/>
          <w:u w:val="single" w:color="auto"/>
          <w:color w:val="auto"/>
        </w:rPr>
        <w:t>Genesis</w:t>
      </w:r>
      <w:r>
        <w:rPr>
          <w:rFonts w:ascii="Times New Roman" w:cs="Times New Roman" w:eastAsia="Times New Roman" w:hAnsi="Times New Roman"/>
          <w:sz w:val="18"/>
          <w:szCs w:val="18"/>
          <w:color w:val="auto"/>
        </w:rPr>
        <w:t>”), as more particularly referred to in Item 6 below, caused Genesis to purchase 114,039 shares of Series D Preferred Stock of the Issuer. In connection with the IPO, shares of Series D Preferred Stock were subsequently converted (on the closing of the IPO) into Shares on a 1-for-1 basis.</w:t>
      </w:r>
    </w:p>
    <w:p>
      <w:pPr>
        <w:spacing w:after="0" w:line="180"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On and prior to the close of September 25, 2020, OrbiMed Capital, as the investment advisor to The Biotech Growth Trust PLC (“</w:t>
      </w:r>
      <w:r>
        <w:rPr>
          <w:rFonts w:ascii="Times New Roman" w:cs="Times New Roman" w:eastAsia="Times New Roman" w:hAnsi="Times New Roman"/>
          <w:sz w:val="18"/>
          <w:szCs w:val="18"/>
          <w:u w:val="single" w:color="auto"/>
          <w:color w:val="auto"/>
        </w:rPr>
        <w:t>BIOG</w:t>
      </w:r>
      <w:r>
        <w:rPr>
          <w:rFonts w:ascii="Times New Roman" w:cs="Times New Roman" w:eastAsia="Times New Roman" w:hAnsi="Times New Roman"/>
          <w:sz w:val="18"/>
          <w:szCs w:val="18"/>
          <w:color w:val="auto"/>
        </w:rPr>
        <w:t>”), as more particularly referred to in Item 6 below, caused BIOG to purchase 266,093 shares of Series D Preferred Stock of the Issuer. In connection with the IPO, shares of Series D Preferred Stock were subsequently converted (on the closing of the IPO) into Shares on a 1-for-1 basis.</w:t>
      </w:r>
    </w:p>
    <w:p>
      <w:pPr>
        <w:spacing w:after="0" w:line="176"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On and prior to the close of September 25, 2020, OrbiMed Advisors and OrbiMed GP, pursuant to their authority under the limited partnership agreement of OPI V, as more particularly referred to in Item 6 below, caused OPI V to purchase 475,000 Shares in the IPO.</w:t>
      </w:r>
    </w:p>
    <w:p>
      <w:pPr>
        <w:spacing w:after="0" w:line="162"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On and prior to the close of September 25, 2020, OrbiMed Capital, as the investment advisor to OrbiMed Partners Master Fund Limited (“</w:t>
      </w:r>
      <w:r>
        <w:rPr>
          <w:rFonts w:ascii="Times New Roman" w:cs="Times New Roman" w:eastAsia="Times New Roman" w:hAnsi="Times New Roman"/>
          <w:sz w:val="18"/>
          <w:szCs w:val="18"/>
          <w:u w:val="single" w:color="auto"/>
          <w:color w:val="auto"/>
        </w:rPr>
        <w:t>OPM</w:t>
      </w:r>
      <w:r>
        <w:rPr>
          <w:rFonts w:ascii="Times New Roman" w:cs="Times New Roman" w:eastAsia="Times New Roman" w:hAnsi="Times New Roman"/>
          <w:sz w:val="18"/>
          <w:szCs w:val="18"/>
          <w:color w:val="auto"/>
        </w:rPr>
        <w:t>”), as more particularly referred to in Item 6 below, caused OPM to purchase 475,000 Shares in the IPO.</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source of funds for such purchases was the working capital of OPI V, Genesis, OPM, and BIOG.</w:t>
      </w:r>
    </w:p>
    <w:p>
      <w:pPr>
        <w:spacing w:after="0" w:line="22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As a result of the transactions described in this Item 3, OrbiMed GP, as the general partner of OPI V, may be deemed to be the beneficial owner of approximately 14.5% of the outstanding Shares. OrbiMed Genesis, as the investment advisor to Genesis, may be deemed to be the beneficial owner of 0.3% of the outstanding Shares. OrbiMed Advisors, as the managing member of OrbiMed GP and OrbiMed Genesis, may be deemed to be the beneficial owner of approximately 14.7% of the outstanding Shares. OrbiMed Capital, as the investment advisor to OPM and BIOG, be deemed to be the beneficial owner of 1.7% of the outstanding Shares. None of the Reporting Persons have acquired or disposed of any additional Shares since September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statement relates to the acquisition of Shares by the Reporting Persons. The Shares acquired by the Reporting Persons were acquired for the purpose of making an investment in the Issuer and not with the intention of acquiring control of the Issuer’s business on behalf of the Reporting Persons’ respective advisory clients.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w:t>
      </w:r>
    </w:p>
    <w:p>
      <w:pPr>
        <w:spacing w:after="0" w:line="21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jc w:val="both"/>
        <w:ind w:firstLine="712"/>
        <w:spacing w:after="0" w:line="255" w:lineRule="auto"/>
        <w:tabs>
          <w:tab w:leader="none" w:pos="9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As of the date of this filing, OPI V, a limited partnership organized under the laws of Delaware, holds 6,475,291 Shares, constituting approximately 14.5% of the issued and outstanding Shares. OrbiMed GP is the general partner of OPI V, pursuant to the terms of the limited partnership agreement of OPI V, and OrbiMed Advisors is the managing member of OrbiMed GP, pursuant to the terms of the limited liability company agreement of OrbiMed GP. As a result, OrbiMed Advisors and OrbiMed GP share power to direct the vote and disposition of the Shares held by OPI V and may be deemed directly or indirectly, including by reason of their mutual affiliation, to be the beneficial owners of the Shares held by OPI V. OrbiMed Advisors exercises this investment and voting power through a management committee comprised of Carl L. Gordon, Sven H. Borho, and Jonathan T. Silverstein, each of whom disclaims beneficial ownership of the Shares held by OPI VI.</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OrbiMed Advisors and OrbiMed GP, pursuant to their authority under the limited partnership agreement of OPI V, caused OPI V to enter into the agreements referred to in Item 6 below.</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filing, Genesis, a limited partnership organized under the laws of the Cayman Islands, holds 114,039 Shares constituting approximately 0.3% of the issued and outstanding Shares. OrbiMed Genesis is the general partner of Genesis, pursuant to the terms of the 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Sven H. Borho and Jonathan T. Silverstein, each of whom disclaims beneficial ownership of the Shares held by Genesis.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OrbiMed Advisors and OrbiMed Genesis, pursuant to their authority under the limited partnership agreement of Genesis, caused Genesis to enter into the agreements referred to in Item 6 below.</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the date of this filing, BIOG, a publicly-listed investment trust organized under the laws of England, holds 266,093 Shares constituting approximately 0.6% of the issued and outstanding Shares. OrbiMed Capital is the investment advisor of BIOG. As a result, OrbiMed Capital has the power to direct the vote and disposition of the Shares held by BIOG and may be deemed directly or indirectly, including by reason of mutual affiliation, to be the beneficial owner of the Shares held by BIOG. OrbiMed Capital disclaims any beneficial ownership over the shares of the other Reporting Persons. OrbiMed Capital exercises this investment and voting power through a management committee comprised of Carl L. Gordon, Sven H. Borho, and Jonathan T. Silverstein, each of whom disclaims beneficial ownership of the Shares held by BIOG.</w:t>
      </w:r>
    </w:p>
    <w:p>
      <w:pPr>
        <w:spacing w:after="0" w:line="18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of the date of this filing, OPM, an exempted company organized under the laws of Bermuda, holds 475,000 Shares constituting approximately 1.1% of the issued and outstanding Shares. OrbiMed Capital is the investment advisor of OPM. As a result, OrbiMed Capital has the power to direct the vote and disposition of the Shares held by OPM and may be deemed directly or indirectly, including by reason of mutual affiliation, to be the beneficial owner of the Shares held by OPM. OrbiMed Capital disclaims any beneficial ownership over the shares of the other Reporting Persons. OrbiMed Capital exercises this investment and voting power through a management committee comprised of Carl L. Gordon, Sven H. Borho, and Jonathan T. Silverstein, each of whom disclaims beneficial ownership of the Shares held by OPM.</w:t>
      </w:r>
    </w:p>
    <w:p>
      <w:pPr>
        <w:spacing w:after="0" w:line="187" w:lineRule="exact"/>
        <w:rPr>
          <w:sz w:val="20"/>
          <w:szCs w:val="20"/>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Item 3, the Reporting Persons have not effected any transactions during the past sixty (60) days in any Shares.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relationships between the Reporting Persons described in Items 2 and 5 above, OrbiMed GP is the general partner of OPI V, pursuant to the terms of the limited partnership agreement of OPI V. Pursuant to this agreement and relationship, OrbiMed GP has discretionary investment management authority with respect to the assets of OPI V. Such authority includes the power to vote and otherwise dispose of securities held by OPI V. The number of outstanding Shares of the Issuer attributable to OPI V is 6,475,291 Shares. OrbiMed GP, pursuant to its authority under the limited partnership agreement of OPI VI, may be considered to hold indirectly 6,475,291 Shares.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OrbiMed Genesis is the general partner of Genesis, pursuant to the terms of the limited partnership agreement of Genesis. Pursuant to this agreement and relationship, OrbiMed Genesis has discretionary investment management authority with respect to the assets of Genesis. Such authority includes the power to vote and otherwise dispose of securities held by Genesis. The number of outstanding Shares of the Issuer attributable to Genesis is 114,039. OrbiMed Genesis, pursuant to its authority under the limited partnership agreement of Genesis, may be considered to hold indirectly 114,039 Shares.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OrbiMed Advisors is the managing member of OrbiMed GP and OrbiMed Genesis, pursuant to the terms of the limited liability company agreements of OrbiMed GP and OrbiMed Genesis. Pursuant to these agreements and relationships, OrbiMed Advisors and OrbiMed GP have discretionary investment management authority with respect to the assets of OPI VI. OrbiMed Advisors and OrbiMed Genesis have discretionary investment management authority with respect to the assets of Genesis. Such authority includes the power of OrbiMed GP to vote and otherwise dispose of securities held by OPI V and the power of OrbiMed Genesis to vote and otherwise dispose of the securities held by Genesis. The number of outstanding Shares attributable to OPI V is 6,475,291 Shares and the number of Shares attributed to Genesis is 114,039 Shares. OrbiMed Advisors, pursuant to its authority under the terms of the limited liability company agreements of OrbiMed GP and OrbiMed Genesis, may also be considered to hold indirectly 6,589,330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OrbiMed Capital is the investment advisor to OPM and BIOG. OrbiMed Capital may be deemed to have voting and investment power over the securities held by OPM and BIOG. Such authority includes the power of OrbiMed Capital to vote and otherwise dispose of securities held by OPM and BIOG. The number of outstanding Shares attributable to OPM is 475,000 and to BIOG is 266,093 Shares. OrbiMed Capital, as the investment advisor to OPM and BIOG, may also be considered to hold indirectly 741,093 Shares.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Peter Thompson (“</w:t>
      </w:r>
      <w:r>
        <w:rPr>
          <w:rFonts w:ascii="Times New Roman" w:cs="Times New Roman" w:eastAsia="Times New Roman" w:hAnsi="Times New Roman"/>
          <w:sz w:val="18"/>
          <w:szCs w:val="18"/>
          <w:u w:val="single" w:color="auto"/>
          <w:color w:val="auto"/>
        </w:rPr>
        <w:t>Thompson</w:t>
      </w:r>
      <w:r>
        <w:rPr>
          <w:rFonts w:ascii="Times New Roman" w:cs="Times New Roman" w:eastAsia="Times New Roman" w:hAnsi="Times New Roman"/>
          <w:sz w:val="18"/>
          <w:szCs w:val="18"/>
          <w:color w:val="auto"/>
        </w:rPr>
        <w:t>”), an employee of OrbiMed Advisors, is a member of the Board of Directors of the Issuer and, accordingly, OrbiMed Advisors and OrbiMed GP may have the ability to affect and influence control of the Issuer. From time to time, Thompson may receive stock options or other awards of equity-based compensation pursuant to the Issuer’s compensation arrangements for non-employee directors. Pursuant to an agreement with OrbiMed Advisors and OrbiMed GP, Thompson is obligated to transfer any securities issued under any such stock options or other awards, or the economic benefit thereof, to OrbiMed Advisors and OrbiMed GP, which will in turn ensure that such securities or economic benefits are provided to OPI V.</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89" w:lineRule="exact"/>
        <w:rPr>
          <w:sz w:val="20"/>
          <w:szCs w:val="20"/>
          <w:color w:val="auto"/>
        </w:rPr>
      </w:pPr>
    </w:p>
    <w:p>
      <w:pPr>
        <w:jc w:val="both"/>
        <w:ind w:firstLine="363"/>
        <w:spacing w:after="0" w:line="266" w:lineRule="auto"/>
        <w:rPr>
          <w:sz w:val="20"/>
          <w:szCs w:val="20"/>
          <w:color w:val="auto"/>
        </w:rPr>
      </w:pPr>
      <w:r>
        <w:rPr>
          <w:rFonts w:ascii="Times New Roman" w:cs="Times New Roman" w:eastAsia="Times New Roman" w:hAnsi="Times New Roman"/>
          <w:sz w:val="18"/>
          <w:szCs w:val="18"/>
          <w:color w:val="auto"/>
        </w:rPr>
        <w:t>In addition, OPI V, BIOG, Genesis, and certain other stockholders of the Issuer entered into an Amended and Restated Investors’ Rights Agreement with the Issuer (the “</w:t>
      </w:r>
      <w:r>
        <w:rPr>
          <w:rFonts w:ascii="Times New Roman" w:cs="Times New Roman" w:eastAsia="Times New Roman" w:hAnsi="Times New Roman"/>
          <w:sz w:val="18"/>
          <w:szCs w:val="18"/>
          <w:u w:val="single" w:color="auto"/>
          <w:color w:val="auto"/>
        </w:rPr>
        <w:t>Investors’ Rights Agreement</w:t>
      </w:r>
      <w:r>
        <w:rPr>
          <w:rFonts w:ascii="Times New Roman" w:cs="Times New Roman" w:eastAsia="Times New Roman" w:hAnsi="Times New Roman"/>
          <w:sz w:val="18"/>
          <w:szCs w:val="18"/>
          <w:color w:val="auto"/>
        </w:rPr>
        <w:t>”), dated as of July 17, 2020. Pursuant to the Investors’ Rights Agreement and subject to the terms and conditions therein, the parties agreed that: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Registration Rights</w:t>
      </w:r>
    </w:p>
    <w:p>
      <w:pPr>
        <w:spacing w:after="0" w:line="22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At any time beginning six months following the date of the effective date of the registration statement of the IPO, the holders of at least 30% of the registrable securities then outstanding of the Issuer may make a written request that the Issuer register some or all of their registrable securities, subject to certain specified conditions and exceptions, including that the aggregated gross offering price of such offering must exceed $5 million. The Issuer is required to use commercially reasonable efforts to effect the registration and will pay all registration expenses, other than underwriting discounts and commissions, related to any demand registration. The Issuer is not obligated to effect more than two of these registrations.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22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Whenever the Issuer proposes to file a registration statement under the Securities Act, including a registration statement on Form S-3 as discussed below, other than with respect to certain excluded registrations, OPI V, BIOG, and Genesis will be entitled to notice of the registration and have the right, subject to limitations that the underwriters may impose on the number of Shares included in the registration, to include the Shares held by them in the registration.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S-3 Registration Rights</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At any time after the Issuer is qualified to file a registration statement on Form S-3 under the Securities Act, and subject to limitations and conditions specified in the Investors’ Rights Agreement, holders of at least 30% of the registrable securities then outstanding may make a written request that the Issuer prepare and file a registration statement on Form S-3 covering their Shares, so long as the aggregate price to the public equal or exceeds $5 million. The Issuer is not obligated to effect more than two of these Form S-3 registrations in any 12-month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20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Pursuant to the Investors’ Rights Agreement, OPI V, BIOG, and Genesis agreed that they will not, during the period ending 180 days after the date of the IPO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 directly or indirectly (1) sell, assign, transfer, pledge, contract to sell, or otherwise dispose of, any Shares or securities convertible into or exercisable or exchangeable for Shares with respect to which they have or have acquired the power of disposition or (2) enter into any swap or other agreement that transfers, in whole or in part, the economic risk of ownership of any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After the Lock-Up Period expires, OPI V’s, BIOG’s and Genesis’s Shares will be eligible for sale in the public market, subject to any applicable limitations under Rule 144 under the Securities Act, and other applicable U.S. securities laws.</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Investors’ Rights Agreement does not purport to be complete and is qualified in its entirety by reference to the full text of the Investors’ Rights Agreement, which is filed as Exhibits 2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200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2" w:lineRule="exact"/>
        <w:rPr>
          <w:sz w:val="20"/>
          <w:szCs w:val="20"/>
          <w:color w:val="auto"/>
        </w:rPr>
      </w:pPr>
    </w:p>
    <w:p>
      <w:pPr>
        <w:ind w:left="1460" w:hanging="1344"/>
        <w:spacing w:after="0" w:line="282" w:lineRule="auto"/>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among OrbiMed Advisors LLC, OrbiMed Capital LLC, OrbiMed Genesis GP LLC, and OrbiMed Capital GP V LLC.</w:t>
      </w:r>
    </w:p>
    <w:p>
      <w:pPr>
        <w:spacing w:after="0" w:line="134" w:lineRule="exact"/>
        <w:rPr>
          <w:rFonts w:ascii="Times New Roman" w:cs="Times New Roman" w:eastAsia="Times New Roman" w:hAnsi="Times New Roman"/>
          <w:sz w:val="18"/>
          <w:szCs w:val="18"/>
          <w:color w:val="auto"/>
        </w:rPr>
      </w:pPr>
    </w:p>
    <w:p>
      <w:pPr>
        <w:ind w:left="1460" w:right="20" w:hanging="1344"/>
        <w:spacing w:after="0" w:line="266" w:lineRule="auto"/>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Investors’ Rights Agreement by and among the Issuer and each of the signatories thereto, dated as of July 17, 2020 (incorporated by reference to Exhibit 4.1 to the Issuer’s Registration Statement on Form S-1 (SEC 333-248627), filed with the SEC on September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2043430</wp:posOffset>
            </wp:positionV>
            <wp:extent cx="71323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080"/>
          </w:cols>
          <w:pgMar w:left="320" w:top="580" w:right="4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5, 2020</w:t>
            </w:r>
          </w:p>
        </w:tc>
        <w:tc>
          <w:tcPr>
            <w:tcW w:w="746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ORBIMED ADVISORS LLC</w:t>
            </w:r>
          </w:p>
        </w:tc>
        <w:tc>
          <w:tcPr>
            <w:tcW w:w="0" w:type="dxa"/>
            <w:vAlign w:val="bottom"/>
          </w:tcPr>
          <w:p>
            <w:pPr>
              <w:spacing w:after="0"/>
              <w:rPr>
                <w:sz w:val="1"/>
                <w:szCs w:val="1"/>
                <w:color w:val="auto"/>
              </w:rPr>
            </w:pPr>
          </w:p>
        </w:tc>
      </w:tr>
      <w:tr>
        <w:trPr>
          <w:trHeight w:val="729"/>
        </w:trPr>
        <w:tc>
          <w:tcPr>
            <w:tcW w:w="378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c>
          <w:tcPr>
            <w:tcW w:w="0" w:type="dxa"/>
            <w:vAlign w:val="bottom"/>
          </w:tcPr>
          <w:p>
            <w:pPr>
              <w:spacing w:after="0"/>
              <w:rPr>
                <w:sz w:val="1"/>
                <w:szCs w:val="1"/>
                <w:color w:val="auto"/>
              </w:rPr>
            </w:pPr>
          </w:p>
        </w:tc>
      </w:tr>
      <w:tr>
        <w:trPr>
          <w:trHeight w:val="486"/>
        </w:trPr>
        <w:tc>
          <w:tcPr>
            <w:tcW w:w="3780" w:type="dxa"/>
            <w:vAlign w:val="bottom"/>
          </w:tcPr>
          <w:p>
            <w:pPr>
              <w:spacing w:after="0"/>
              <w:rPr>
                <w:sz w:val="24"/>
                <w:szCs w:val="24"/>
                <w:color w:val="auto"/>
              </w:rPr>
            </w:pPr>
          </w:p>
        </w:tc>
        <w:tc>
          <w:tcPr>
            <w:tcW w:w="746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ORBIMED CAPITAL GP V LLC</w:t>
            </w:r>
          </w:p>
        </w:tc>
        <w:tc>
          <w:tcPr>
            <w:tcW w:w="0" w:type="dxa"/>
            <w:vAlign w:val="bottom"/>
          </w:tcPr>
          <w:p>
            <w:pPr>
              <w:spacing w:after="0"/>
              <w:rPr>
                <w:sz w:val="1"/>
                <w:szCs w:val="1"/>
                <w:color w:val="auto"/>
              </w:rPr>
            </w:pPr>
          </w:p>
        </w:tc>
      </w:tr>
      <w:tr>
        <w:trPr>
          <w:trHeight w:val="486"/>
        </w:trPr>
        <w:tc>
          <w:tcPr>
            <w:tcW w:w="378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378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c>
          <w:tcPr>
            <w:tcW w:w="0" w:type="dxa"/>
            <w:vAlign w:val="bottom"/>
          </w:tcPr>
          <w:p>
            <w:pPr>
              <w:spacing w:after="0"/>
              <w:rPr>
                <w:sz w:val="1"/>
                <w:szCs w:val="1"/>
                <w:color w:val="auto"/>
              </w:rPr>
            </w:pPr>
          </w:p>
        </w:tc>
      </w:tr>
      <w:tr>
        <w:trPr>
          <w:trHeight w:val="486"/>
        </w:trPr>
        <w:tc>
          <w:tcPr>
            <w:tcW w:w="3780" w:type="dxa"/>
            <w:vAlign w:val="bottom"/>
          </w:tcPr>
          <w:p>
            <w:pPr>
              <w:spacing w:after="0"/>
              <w:rPr>
                <w:sz w:val="24"/>
                <w:szCs w:val="24"/>
                <w:color w:val="auto"/>
              </w:rPr>
            </w:pPr>
          </w:p>
        </w:tc>
        <w:tc>
          <w:tcPr>
            <w:tcW w:w="746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ORBIMED GENESIS GP LLC</w:t>
            </w:r>
          </w:p>
        </w:tc>
        <w:tc>
          <w:tcPr>
            <w:tcW w:w="0" w:type="dxa"/>
            <w:vAlign w:val="bottom"/>
          </w:tcPr>
          <w:p>
            <w:pPr>
              <w:spacing w:after="0"/>
              <w:rPr>
                <w:sz w:val="1"/>
                <w:szCs w:val="1"/>
                <w:color w:val="auto"/>
              </w:rPr>
            </w:pPr>
          </w:p>
        </w:tc>
      </w:tr>
      <w:tr>
        <w:trPr>
          <w:trHeight w:val="486"/>
        </w:trPr>
        <w:tc>
          <w:tcPr>
            <w:tcW w:w="378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378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c>
          <w:tcPr>
            <w:tcW w:w="0" w:type="dxa"/>
            <w:vAlign w:val="bottom"/>
          </w:tcPr>
          <w:p>
            <w:pPr>
              <w:spacing w:after="0"/>
              <w:rPr>
                <w:sz w:val="1"/>
                <w:szCs w:val="1"/>
                <w:color w:val="auto"/>
              </w:rPr>
            </w:pPr>
          </w:p>
        </w:tc>
      </w:tr>
      <w:tr>
        <w:trPr>
          <w:trHeight w:val="486"/>
        </w:trPr>
        <w:tc>
          <w:tcPr>
            <w:tcW w:w="3780" w:type="dxa"/>
            <w:vAlign w:val="bottom"/>
          </w:tcPr>
          <w:p>
            <w:pPr>
              <w:spacing w:after="0"/>
              <w:rPr>
                <w:sz w:val="24"/>
                <w:szCs w:val="24"/>
                <w:color w:val="auto"/>
              </w:rPr>
            </w:pPr>
          </w:p>
        </w:tc>
        <w:tc>
          <w:tcPr>
            <w:tcW w:w="746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ORBIMED CAPITAL LLC</w:t>
            </w:r>
          </w:p>
        </w:tc>
        <w:tc>
          <w:tcPr>
            <w:tcW w:w="0" w:type="dxa"/>
            <w:vAlign w:val="bottom"/>
          </w:tcPr>
          <w:p>
            <w:pPr>
              <w:spacing w:after="0"/>
              <w:rPr>
                <w:sz w:val="1"/>
                <w:szCs w:val="1"/>
                <w:color w:val="auto"/>
              </w:rPr>
            </w:pPr>
          </w:p>
        </w:tc>
      </w:tr>
      <w:tr>
        <w:trPr>
          <w:trHeight w:val="486"/>
        </w:trPr>
        <w:tc>
          <w:tcPr>
            <w:tcW w:w="378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c>
          <w:tcPr>
            <w:tcW w:w="0" w:type="dxa"/>
            <w:vAlign w:val="bottom"/>
          </w:tcPr>
          <w:p>
            <w:pPr>
              <w:spacing w:after="0"/>
              <w:rPr>
                <w:sz w:val="1"/>
                <w:szCs w:val="1"/>
                <w:color w:val="auto"/>
              </w:rPr>
            </w:pPr>
          </w:p>
        </w:tc>
      </w:tr>
      <w:tr>
        <w:trPr>
          <w:trHeight w:val="1451"/>
        </w:trPr>
        <w:tc>
          <w:tcPr>
            <w:tcW w:w="37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0" w:lineRule="exact"/>
        <w:rPr>
          <w:sz w:val="20"/>
          <w:szCs w:val="20"/>
          <w:color w:val="auto"/>
        </w:rPr>
      </w:pPr>
    </w:p>
    <w:p>
      <w:pPr>
        <w:spacing w:after="0" w:line="245" w:lineRule="exact"/>
        <w:rPr>
          <w:sz w:val="20"/>
          <w:szCs w:val="20"/>
          <w:color w:val="auto"/>
        </w:rPr>
      </w:pPr>
    </w:p>
    <w:p>
      <w:pPr>
        <w:jc w:val="both"/>
        <w:ind w:left="80" w:right="340" w:firstLine="583"/>
        <w:spacing w:after="0" w:line="281" w:lineRule="auto"/>
        <w:rPr>
          <w:sz w:val="20"/>
          <w:szCs w:val="20"/>
          <w:color w:val="auto"/>
        </w:rPr>
      </w:pPr>
      <w:r>
        <w:rPr>
          <w:rFonts w:ascii="Times New Roman" w:cs="Times New Roman" w:eastAsia="Times New Roman" w:hAnsi="Times New Roman"/>
          <w:sz w:val="18"/>
          <w:szCs w:val="18"/>
          <w:color w:val="auto"/>
        </w:rPr>
        <w:t>The names and present principal occupations of each of the executive officers and directors of OrbiMed Advisors LLC are set forth below. Unless otherwise noted, each of these persons is a United States citizen and has a business address of 601 Lexington Avenue, 54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New York, NY 10022.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with Reporting Person</w:t>
            </w:r>
          </w:p>
        </w:tc>
        <w:tc>
          <w:tcPr>
            <w:tcW w:w="136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Occupation</w:t>
            </w: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0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Carl L. Gordon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Sven H. Borho</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 and Swedish Citizen</w:t>
            </w: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Jonathan T. Silverstein</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 Carter Neild</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Geoffrey C. Hsu</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Scotland Stevens</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P. Bonita</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Trey Block</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Chief Financial Officer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1856"/>
        </w:trPr>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9" w:lineRule="exact"/>
        <w:rPr>
          <w:sz w:val="20"/>
          <w:szCs w:val="20"/>
          <w:color w:val="auto"/>
        </w:rPr>
      </w:pPr>
    </w:p>
    <w:p>
      <w:pPr>
        <w:jc w:val="both"/>
        <w:ind w:left="80" w:right="340" w:firstLine="583"/>
        <w:spacing w:after="0" w:line="281" w:lineRule="auto"/>
        <w:rPr>
          <w:sz w:val="20"/>
          <w:szCs w:val="20"/>
          <w:color w:val="auto"/>
        </w:rPr>
      </w:pPr>
      <w:r>
        <w:rPr>
          <w:rFonts w:ascii="Times New Roman" w:cs="Times New Roman" w:eastAsia="Times New Roman" w:hAnsi="Times New Roman"/>
          <w:sz w:val="18"/>
          <w:szCs w:val="18"/>
          <w:color w:val="auto"/>
        </w:rPr>
        <w:t>The names and present principal occupations of each of the executive officers and directors of OrbiMed Capital LLC are set forth below. Unless otherwise noted, each of these persons is a United States citizen and has a business address of 601 Lexington Avenue, 54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New York, NY 10022.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with Reporting Person</w:t>
            </w:r>
          </w:p>
        </w:tc>
        <w:tc>
          <w:tcPr>
            <w:tcW w:w="136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Occupation</w:t>
            </w: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0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Carl L. Gordon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Sven H. Borho</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 and Swedish Citizen</w:t>
            </w: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Jonathan T. Silverstein</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 Carter Neild</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Geoffrey C. Hsu</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Scotland Stevens</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P. Bonita</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Trey Block</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Chief Financial Officer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1640"/>
        </w:trPr>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4" w:name="page15"/>
    <w:bookmarkEnd w:id="1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The business and operations of OrbiMed Capital GP V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1965960</wp:posOffset>
            </wp:positionV>
            <wp:extent cx="71323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840"/>
          </w:cols>
          <w:pgMar w:left="400" w:top="576" w:right="65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IV</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business and operations of OrbiMed Genesis GP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3097530</wp:posOffset>
            </wp:positionV>
            <wp:extent cx="71323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16" w:name="page17"/>
    <w:bookmarkEnd w:id="16"/>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328295</wp:posOffset>
            </wp:positionV>
            <wp:extent cx="7132320" cy="1200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
        <w:spacing w:after="0"/>
        <w:tabs>
          <w:tab w:leader="none" w:pos="1324"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2" w:lineRule="exact"/>
        <w:rPr>
          <w:sz w:val="20"/>
          <w:szCs w:val="20"/>
          <w:color w:val="auto"/>
        </w:rPr>
      </w:pPr>
    </w:p>
    <w:p>
      <w:pPr>
        <w:ind w:left="1344" w:hanging="1344"/>
        <w:spacing w:after="0" w:line="282" w:lineRule="auto"/>
        <w:tabs>
          <w:tab w:leader="none" w:pos="13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among OrbiMed Advisors LLC, OrbiMed Capital LLC, OrbiMed Genesis GP LLC, and OrbiMed Capital GP V LLC.</w:t>
      </w:r>
    </w:p>
    <w:p>
      <w:pPr>
        <w:spacing w:after="0" w:line="134" w:lineRule="exact"/>
        <w:rPr>
          <w:rFonts w:ascii="Times New Roman" w:cs="Times New Roman" w:eastAsia="Times New Roman" w:hAnsi="Times New Roman"/>
          <w:sz w:val="18"/>
          <w:szCs w:val="18"/>
          <w:color w:val="auto"/>
        </w:rPr>
      </w:pPr>
    </w:p>
    <w:p>
      <w:pPr>
        <w:jc w:val="both"/>
        <w:ind w:left="1344" w:right="100" w:hanging="1344"/>
        <w:spacing w:after="0" w:line="266" w:lineRule="auto"/>
        <w:tabs>
          <w:tab w:leader="none" w:pos="13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Investors’ Rights Agreement by and among the Issuer and each of the persons listed on Schedule A thereto, dated as of August 21, 2020 (incorporated by reference to Exhibit 4.1 to the Issuer’s Registration Statement on Form S-1 (SEC 333-248628), filed with the SEC on September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1494790</wp:posOffset>
            </wp:positionV>
            <wp:extent cx="713232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964"/>
          </w:cols>
          <w:pgMar w:left="436" w:top="576" w:right="49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07" w:lineRule="exact"/>
        <w:rPr>
          <w:sz w:val="20"/>
          <w:szCs w:val="20"/>
          <w:color w:val="auto"/>
        </w:rPr>
      </w:pPr>
    </w:p>
    <w:p>
      <w:pPr>
        <w:ind w:right="20" w:firstLine="45"/>
        <w:spacing w:after="0" w:line="258"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13D, dated October 5, 2020, with respect to the ordinary shares of PMV Pharmaceuticals,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Agreement may be executed in any number of counterparts, all of which taken together shall constitute one and the same instrument.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October 2020.</w:t>
      </w:r>
    </w:p>
    <w:p>
      <w:pPr>
        <w:spacing w:after="0" w:line="3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420" w:type="dxa"/>
            <w:vAlign w:val="bottom"/>
          </w:tcPr>
          <w:p>
            <w:pPr>
              <w:spacing w:after="0"/>
              <w:rPr>
                <w:sz w:val="17"/>
                <w:szCs w:val="17"/>
                <w:color w:val="auto"/>
              </w:rPr>
            </w:pP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c>
          <w:tcPr>
            <w:tcW w:w="0" w:type="dxa"/>
            <w:vAlign w:val="bottom"/>
          </w:tcPr>
          <w:p>
            <w:pPr>
              <w:spacing w:after="0"/>
              <w:rPr>
                <w:sz w:val="1"/>
                <w:szCs w:val="1"/>
                <w:color w:val="auto"/>
              </w:rPr>
            </w:pPr>
          </w:p>
        </w:tc>
      </w:tr>
      <w:tr>
        <w:trPr>
          <w:trHeight w:val="486"/>
        </w:trPr>
        <w:tc>
          <w:tcPr>
            <w:tcW w:w="11240" w:type="dxa"/>
            <w:vAlign w:val="bottom"/>
            <w:gridSpan w:val="3"/>
          </w:tcPr>
          <w:p>
            <w:pPr>
              <w:ind w:left="5860"/>
              <w:spacing w:after="0"/>
              <w:rPr>
                <w:sz w:val="20"/>
                <w:szCs w:val="20"/>
                <w:color w:val="auto"/>
              </w:rPr>
            </w:pPr>
            <w:r>
              <w:rPr>
                <w:rFonts w:ascii="Times New Roman" w:cs="Times New Roman" w:eastAsia="Times New Roman" w:hAnsi="Times New Roman"/>
                <w:sz w:val="18"/>
                <w:szCs w:val="18"/>
                <w:color w:val="auto"/>
              </w:rPr>
              <w:t>ORBIMED CAPITAL GP V LLC</w:t>
            </w:r>
          </w:p>
        </w:tc>
        <w:tc>
          <w:tcPr>
            <w:tcW w:w="0" w:type="dxa"/>
            <w:vAlign w:val="bottom"/>
          </w:tcPr>
          <w:p>
            <w:pPr>
              <w:spacing w:after="0"/>
              <w:rPr>
                <w:sz w:val="1"/>
                <w:szCs w:val="1"/>
                <w:color w:val="auto"/>
              </w:rPr>
            </w:pPr>
          </w:p>
        </w:tc>
      </w:tr>
      <w:tr>
        <w:trPr>
          <w:trHeight w:val="486"/>
        </w:trPr>
        <w:tc>
          <w:tcPr>
            <w:tcW w:w="64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64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420" w:type="dxa"/>
            <w:vAlign w:val="bottom"/>
          </w:tcPr>
          <w:p>
            <w:pPr>
              <w:spacing w:after="0"/>
              <w:rPr>
                <w:sz w:val="17"/>
                <w:szCs w:val="17"/>
                <w:color w:val="auto"/>
              </w:rPr>
            </w:pP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c>
          <w:tcPr>
            <w:tcW w:w="0" w:type="dxa"/>
            <w:vAlign w:val="bottom"/>
          </w:tcPr>
          <w:p>
            <w:pPr>
              <w:spacing w:after="0"/>
              <w:rPr>
                <w:sz w:val="1"/>
                <w:szCs w:val="1"/>
                <w:color w:val="auto"/>
              </w:rPr>
            </w:pPr>
          </w:p>
        </w:tc>
      </w:tr>
      <w:tr>
        <w:trPr>
          <w:trHeight w:val="486"/>
        </w:trPr>
        <w:tc>
          <w:tcPr>
            <w:tcW w:w="11240" w:type="dxa"/>
            <w:vAlign w:val="bottom"/>
            <w:gridSpan w:val="3"/>
          </w:tcPr>
          <w:p>
            <w:pPr>
              <w:ind w:left="5860"/>
              <w:spacing w:after="0"/>
              <w:rPr>
                <w:sz w:val="20"/>
                <w:szCs w:val="20"/>
                <w:color w:val="auto"/>
              </w:rPr>
            </w:pPr>
            <w:r>
              <w:rPr>
                <w:rFonts w:ascii="Times New Roman" w:cs="Times New Roman" w:eastAsia="Times New Roman" w:hAnsi="Times New Roman"/>
                <w:sz w:val="18"/>
                <w:szCs w:val="18"/>
                <w:color w:val="auto"/>
              </w:rPr>
              <w:t>ORBIMED GENESIS GP LLC</w:t>
            </w:r>
          </w:p>
        </w:tc>
        <w:tc>
          <w:tcPr>
            <w:tcW w:w="0" w:type="dxa"/>
            <w:vAlign w:val="bottom"/>
          </w:tcPr>
          <w:p>
            <w:pPr>
              <w:spacing w:after="0"/>
              <w:rPr>
                <w:sz w:val="1"/>
                <w:szCs w:val="1"/>
                <w:color w:val="auto"/>
              </w:rPr>
            </w:pPr>
          </w:p>
        </w:tc>
      </w:tr>
      <w:tr>
        <w:trPr>
          <w:trHeight w:val="486"/>
        </w:trPr>
        <w:tc>
          <w:tcPr>
            <w:tcW w:w="64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64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420" w:type="dxa"/>
            <w:vAlign w:val="bottom"/>
          </w:tcPr>
          <w:p>
            <w:pPr>
              <w:spacing w:after="0"/>
              <w:rPr>
                <w:sz w:val="17"/>
                <w:szCs w:val="17"/>
                <w:color w:val="auto"/>
              </w:rPr>
            </w:pP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c>
          <w:tcPr>
            <w:tcW w:w="0" w:type="dxa"/>
            <w:vAlign w:val="bottom"/>
          </w:tcPr>
          <w:p>
            <w:pPr>
              <w:spacing w:after="0"/>
              <w:rPr>
                <w:sz w:val="1"/>
                <w:szCs w:val="1"/>
                <w:color w:val="auto"/>
              </w:rPr>
            </w:pPr>
          </w:p>
        </w:tc>
      </w:tr>
      <w:tr>
        <w:trPr>
          <w:trHeight w:val="486"/>
        </w:trPr>
        <w:tc>
          <w:tcPr>
            <w:tcW w:w="11240" w:type="dxa"/>
            <w:vAlign w:val="bottom"/>
            <w:gridSpan w:val="3"/>
          </w:tcPr>
          <w:p>
            <w:pPr>
              <w:ind w:left="5860"/>
              <w:spacing w:after="0"/>
              <w:rPr>
                <w:sz w:val="20"/>
                <w:szCs w:val="20"/>
                <w:color w:val="auto"/>
              </w:rPr>
            </w:pPr>
            <w:r>
              <w:rPr>
                <w:rFonts w:ascii="Times New Roman" w:cs="Times New Roman" w:eastAsia="Times New Roman" w:hAnsi="Times New Roman"/>
                <w:sz w:val="18"/>
                <w:szCs w:val="18"/>
                <w:color w:val="auto"/>
              </w:rPr>
              <w:t>ORBIMED CAPITAL LLC</w:t>
            </w:r>
          </w:p>
        </w:tc>
        <w:tc>
          <w:tcPr>
            <w:tcW w:w="0" w:type="dxa"/>
            <w:vAlign w:val="bottom"/>
          </w:tcPr>
          <w:p>
            <w:pPr>
              <w:spacing w:after="0"/>
              <w:rPr>
                <w:sz w:val="1"/>
                <w:szCs w:val="1"/>
                <w:color w:val="auto"/>
              </w:rPr>
            </w:pPr>
          </w:p>
        </w:tc>
      </w:tr>
      <w:tr>
        <w:trPr>
          <w:trHeight w:val="486"/>
        </w:trPr>
        <w:tc>
          <w:tcPr>
            <w:tcW w:w="64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420" w:type="dxa"/>
            <w:vAlign w:val="bottom"/>
          </w:tcPr>
          <w:p>
            <w:pPr>
              <w:spacing w:after="0"/>
              <w:rPr>
                <w:sz w:val="17"/>
                <w:szCs w:val="17"/>
                <w:color w:val="auto"/>
              </w:rPr>
            </w:pP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c>
          <w:tcPr>
            <w:tcW w:w="0" w:type="dxa"/>
            <w:vAlign w:val="bottom"/>
          </w:tcPr>
          <w:p>
            <w:pPr>
              <w:spacing w:after="0"/>
              <w:rPr>
                <w:sz w:val="1"/>
                <w:szCs w:val="1"/>
                <w:color w:val="auto"/>
              </w:rPr>
            </w:pPr>
          </w:p>
        </w:tc>
      </w:tr>
      <w:tr>
        <w:trPr>
          <w:trHeight w:val="1586"/>
        </w:trPr>
        <w:tc>
          <w:tcPr>
            <w:tcW w:w="64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lvl w:ilvl="1">
      <w:lvlJc w:val="left"/>
      <w:lvlText w:val="(%2)"/>
      <w:numFmt w:val="lowerLetter"/>
      <w:start w:val="2"/>
    </w:lvl>
  </w:abstractNum>
  <w:abstractNum w:abstractNumId="6">
    <w:nsid w:val="12200854"/>
    <w:multiLevelType w:val="hybridMultilevel"/>
    <w:lvl w:ilvl="0">
      <w:lvlJc w:val="left"/>
      <w:lvlText w:val="(%1)"/>
      <w:numFmt w:val="lowerRoman"/>
      <w:start w:val="1"/>
    </w:lvl>
  </w:abstractNum>
  <w:abstractNum w:abstractNumId="7">
    <w:nsid w:val="4DB127F8"/>
    <w:multiLevelType w:val="hybridMultilevel"/>
    <w:lvl w:ilvl="0">
      <w:lvlJc w:val="left"/>
      <w:lvlText w:val="(%1)"/>
      <w:numFmt w:val="lowerLetter"/>
      <w:start w:val="4"/>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2020-10-05T16:24:17Z</dcterms:created>
  <dcterms:modified xsi:type="dcterms:W3CDTF">2020-10-05T16:24:17Z</dcterms:modified>
</cp:coreProperties>
</file>