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001-39539</w:t>
            </w:r>
          </w:p>
        </w:tc>
        <w:tc>
          <w:tcPr>
            <w:tcW w:w="228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6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92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8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92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3"/>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8"/>
              </w:rPr>
              <w:t>One Research Way</w:t>
            </w:r>
          </w:p>
        </w:tc>
        <w:tc>
          <w:tcPr>
            <w:tcW w:w="29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2"/>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2920" w:type="dxa"/>
            <w:vAlign w:val="bottom"/>
          </w:tcPr>
          <w:p>
            <w:pPr>
              <w:spacing w:after="0"/>
              <w:rPr>
                <w:sz w:val="21"/>
                <w:szCs w:val="21"/>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88"/>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920" w:type="dxa"/>
            <w:vAlign w:val="bottom"/>
          </w:tcPr>
          <w:p>
            <w:pPr>
              <w:spacing w:after="0"/>
              <w:rPr>
                <w:sz w:val="16"/>
                <w:szCs w:val="16"/>
                <w:color w:val="auto"/>
              </w:rPr>
            </w:pP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73"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August 5, 2024, PMV Pharmaceuticals,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 Lease Termination Agreement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Termination Agreement</w:t>
      </w:r>
      <w:r>
        <w:rPr>
          <w:rFonts w:ascii="Times New Roman" w:cs="Times New Roman" w:eastAsia="Times New Roman" w:hAnsi="Times New Roman"/>
          <w:sz w:val="17"/>
          <w:szCs w:val="17"/>
          <w:color w:val="auto"/>
        </w:rPr>
        <w:t>”) with BMR-One Research Way LLC, a Delaware limited liability company (the “</w:t>
      </w:r>
      <w:r>
        <w:rPr>
          <w:rFonts w:ascii="Times New Roman" w:cs="Times New Roman" w:eastAsia="Times New Roman" w:hAnsi="Times New Roman"/>
          <w:sz w:val="17"/>
          <w:szCs w:val="17"/>
          <w:b w:val="1"/>
          <w:bCs w:val="1"/>
          <w:i w:val="1"/>
          <w:iCs w:val="1"/>
          <w:color w:val="auto"/>
        </w:rPr>
        <w:t>Landlord</w:t>
      </w:r>
      <w:r>
        <w:rPr>
          <w:rFonts w:ascii="Times New Roman" w:cs="Times New Roman" w:eastAsia="Times New Roman" w:hAnsi="Times New Roman"/>
          <w:sz w:val="17"/>
          <w:szCs w:val="17"/>
          <w:color w:val="auto"/>
        </w:rPr>
        <w:t>”), in connection with the termination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that certain Lease, by and between the Landlord and the Company, dated January 8, 2021 (the “</w:t>
      </w:r>
      <w:r>
        <w:rPr>
          <w:rFonts w:ascii="Times New Roman" w:cs="Times New Roman" w:eastAsia="Times New Roman" w:hAnsi="Times New Roman"/>
          <w:sz w:val="18"/>
          <w:szCs w:val="18"/>
          <w:b w:val="1"/>
          <w:bCs w:val="1"/>
          <w:i w:val="1"/>
          <w:iCs w:val="1"/>
          <w:color w:val="auto"/>
        </w:rPr>
        <w:t>Lease</w:t>
      </w:r>
      <w:r>
        <w:rPr>
          <w:rFonts w:ascii="Times New Roman" w:cs="Times New Roman" w:eastAsia="Times New Roman" w:hAnsi="Times New Roman"/>
          <w:sz w:val="18"/>
          <w:szCs w:val="18"/>
          <w:color w:val="auto"/>
        </w:rPr>
        <w:t>”) of One Research Way, Princeton,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08540 (the “</w:t>
      </w:r>
      <w:r>
        <w:rPr>
          <w:rFonts w:ascii="Times New Roman" w:cs="Times New Roman" w:eastAsia="Times New Roman" w:hAnsi="Times New Roman"/>
          <w:sz w:val="18"/>
          <w:szCs w:val="18"/>
          <w:b w:val="1"/>
          <w:bCs w:val="1"/>
          <w:i w:val="1"/>
          <w:iCs w:val="1"/>
          <w:color w:val="auto"/>
        </w:rPr>
        <w:t>Property</w:t>
      </w:r>
      <w:r>
        <w:rPr>
          <w:rFonts w:ascii="Times New Roman" w:cs="Times New Roman" w:eastAsia="Times New Roman" w:hAnsi="Times New Roman"/>
          <w:sz w:val="18"/>
          <w:szCs w:val="18"/>
          <w:color w:val="auto"/>
        </w:rPr>
        <w:t>”). The Lease consists of 50,581 square feet of rentable area. Pursuant to the Termination Agreement, the Company and the Landlord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terminate the Lease effective as of September 30, 2024, contingent on the sale of the Property by the Landlord to a prospective new buyer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Contingency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Pursuant to the Termination Agreement, and subject to the Contingency, the Company agreed to surrender the Property and pay a total</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termination fee of approximately $1.42 million, consisting of (i) a cash payment in the amount of approximately $798 thousand (the “</w:t>
      </w:r>
      <w:r>
        <w:rPr>
          <w:rFonts w:ascii="Times New Roman" w:cs="Times New Roman" w:eastAsia="Times New Roman" w:hAnsi="Times New Roman"/>
          <w:sz w:val="18"/>
          <w:szCs w:val="18"/>
          <w:b w:val="1"/>
          <w:bCs w:val="1"/>
          <w:i w:val="1"/>
          <w:iCs w:val="1"/>
          <w:color w:val="auto"/>
        </w:rPr>
        <w:t>Cash Payment</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ind w:right="420" w:firstLine="8"/>
        <w:spacing w:after="0" w:line="255"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post of a security deposit in the form of a letter of credit in the amount of approximately $622 thousand. The Cash Payment is to be paid by the Company to the Landlord within five (5) business days of written notice from the Landlord of the completion of the prospective buyer’s due diligence review of the Property.</w:t>
      </w:r>
    </w:p>
    <w:p>
      <w:pPr>
        <w:spacing w:after="0" w:line="186"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The Lease termination is related to continued efforts by the Company to identify cost reduction opportunities. Concurrently with the termination of the Lease and the effectiveness of the Termination Agreement, the Company intends to relocate its headquarters and labs to an alternative property, with significantly reduced square footage and ongoing operating costs.</w:t>
      </w:r>
    </w:p>
    <w:p>
      <w:pPr>
        <w:spacing w:after="0" w:line="176"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Termination Agreement is not complete and is qualified in its entirety by reference to the full text of the Termination Agreement, a copy of which is filed as Exhibit 10.1 to this Current Report on Form 8-K and is incorporated by reference herein.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On August 8, 2024, PMV Pharmaceuticals, Inc. issued a press release announcing its financial results for the second quarter ended June 30, 2024. The full text of the press release is attached as Exhibit 99.1 to this Current Report on Form 8-K and is incorporated herein by reference.</w:t>
      </w:r>
    </w:p>
    <w:p>
      <w:pPr>
        <w:spacing w:after="0" w:line="16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4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0"/>
          <w:szCs w:val="20"/>
          <w:color w:val="auto"/>
        </w:rPr>
      </w:pPr>
    </w:p>
    <w:p>
      <w:pPr>
        <w:ind w:left="120"/>
        <w:spacing w:after="0"/>
        <w:tabs>
          <w:tab w:leader="none" w:pos="8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FF"/>
        </w:rPr>
        <w:t>Lease Termination Agreement, dated August 5, 2024, by and between BMR-One Research Way LLC and 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-7620</wp:posOffset>
            </wp:positionV>
            <wp:extent cx="61125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12510" cy="8890"/>
                    </a:xfrm>
                    <a:prstGeom prst="rect">
                      <a:avLst/>
                    </a:prstGeom>
                    <a:noFill/>
                  </pic:spPr>
                </pic:pic>
              </a:graphicData>
            </a:graphic>
          </wp:anchor>
        </w:drawing>
      </w:r>
    </w:p>
    <w:p>
      <w:pPr>
        <w:spacing w:after="0" w:line="219" w:lineRule="exact"/>
        <w:rPr>
          <w:sz w:val="20"/>
          <w:szCs w:val="20"/>
          <w:color w:val="auto"/>
        </w:rPr>
      </w:pPr>
    </w:p>
    <w:p>
      <w:pPr>
        <w:ind w:left="120"/>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PMV Pharmaceuticals, Inc., dated 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-7620</wp:posOffset>
            </wp:positionV>
            <wp:extent cx="3430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19" w:lineRule="exact"/>
        <w:rPr>
          <w:sz w:val="20"/>
          <w:szCs w:val="20"/>
          <w:color w:val="auto"/>
        </w:rPr>
      </w:pPr>
    </w:p>
    <w:p>
      <w:pPr>
        <w:ind w:left="120"/>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52" w:lineRule="exact"/>
        <w:rPr>
          <w:sz w:val="20"/>
          <w:szCs w:val="20"/>
          <w:color w:val="auto"/>
        </w:rPr>
      </w:pPr>
    </w:p>
    <w:p>
      <w:pPr>
        <w:ind w:left="20"/>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(Principal Financial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383838"/>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83838"/>
        </w:rPr>
        <w:t>LEASE TERMINATION AGREEMENT</w:t>
      </w:r>
    </w:p>
    <w:p>
      <w:pPr>
        <w:spacing w:after="0" w:line="236" w:lineRule="exact"/>
        <w:rPr>
          <w:sz w:val="20"/>
          <w:szCs w:val="20"/>
          <w:color w:val="auto"/>
        </w:rPr>
      </w:pPr>
    </w:p>
    <w:p>
      <w:pPr>
        <w:jc w:val="both"/>
        <w:ind w:firstLine="719"/>
        <w:spacing w:after="0" w:line="234" w:lineRule="auto"/>
        <w:rPr>
          <w:sz w:val="20"/>
          <w:szCs w:val="20"/>
          <w:color w:val="auto"/>
        </w:rPr>
      </w:pPr>
      <w:r>
        <w:rPr>
          <w:rFonts w:ascii="Times New Roman" w:cs="Times New Roman" w:eastAsia="Times New Roman" w:hAnsi="Times New Roman"/>
          <w:sz w:val="18"/>
          <w:szCs w:val="18"/>
          <w:color w:val="383838"/>
        </w:rPr>
        <w:t xml:space="preserve">THIS LEASE TERMINATION AGREEMENT (this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383838"/>
        </w:rPr>
        <w:t>Agreement</w:t>
      </w:r>
      <w:r>
        <w:rPr>
          <w:rFonts w:ascii="Times New Roman" w:cs="Times New Roman" w:eastAsia="Times New Roman" w:hAnsi="Times New Roman"/>
          <w:sz w:val="16"/>
          <w:szCs w:val="16"/>
          <w:color w:val="3A3A3A"/>
        </w:rPr>
        <w:t>”</w:t>
      </w:r>
      <w:r>
        <w:rPr>
          <w:rFonts w:ascii="Times New Roman" w:cs="Times New Roman" w:eastAsia="Times New Roman" w:hAnsi="Times New Roman"/>
          <w:sz w:val="18"/>
          <w:szCs w:val="18"/>
          <w:color w:val="383838"/>
        </w:rPr>
        <w:t>) is entered into as of this 5</w:t>
      </w:r>
      <w:r>
        <w:rPr>
          <w:rFonts w:ascii="Times New Roman" w:cs="Times New Roman" w:eastAsia="Times New Roman" w:hAnsi="Times New Roman"/>
          <w:sz w:val="24"/>
          <w:szCs w:val="24"/>
          <w:color w:val="383838"/>
          <w:vertAlign w:val="superscript"/>
        </w:rPr>
        <w:t>th</w:t>
      </w:r>
      <w:r>
        <w:rPr>
          <w:rFonts w:ascii="Times New Roman" w:cs="Times New Roman" w:eastAsia="Times New Roman" w:hAnsi="Times New Roman"/>
          <w:sz w:val="18"/>
          <w:szCs w:val="18"/>
          <w:color w:val="383838"/>
        </w:rPr>
        <w:t xml:space="preserve"> day of August, 2024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383838"/>
        </w:rPr>
        <w:t>Execution Date</w:t>
      </w:r>
      <w:r>
        <w:rPr>
          <w:rFonts w:ascii="Times New Roman" w:cs="Times New Roman" w:eastAsia="Times New Roman" w:hAnsi="Times New Roman"/>
          <w:sz w:val="16"/>
          <w:szCs w:val="16"/>
          <w:color w:val="3A3A3A"/>
        </w:rPr>
        <w:t>”</w:t>
      </w:r>
      <w:r>
        <w:rPr>
          <w:rFonts w:ascii="Times New Roman" w:cs="Times New Roman" w:eastAsia="Times New Roman" w:hAnsi="Times New Roman"/>
          <w:sz w:val="18"/>
          <w:szCs w:val="18"/>
          <w:color w:val="383838"/>
        </w:rPr>
        <w:t xml:space="preserve">), by and between BMR-ONE RESEARCH WAY LLC, a Delaware limited liability company </w:t>
      </w:r>
      <w:r>
        <w:rPr>
          <w:rFonts w:ascii="Times New Roman" w:cs="Times New Roman" w:eastAsia="Times New Roman" w:hAnsi="Times New Roman"/>
          <w:sz w:val="18"/>
          <w:szCs w:val="18"/>
          <w:u w:val="single" w:color="auto"/>
          <w:color w:val="383838"/>
        </w:rPr>
        <w: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383838"/>
        </w:rPr>
        <w:t>Landlord</w:t>
      </w:r>
      <w:r>
        <w:rPr>
          <w:rFonts w:ascii="Times New Roman" w:cs="Times New Roman" w:eastAsia="Times New Roman" w:hAnsi="Times New Roman"/>
          <w:sz w:val="16"/>
          <w:szCs w:val="16"/>
          <w:color w:val="3A3A3A"/>
        </w:rPr>
        <w:t>”</w:t>
      </w:r>
      <w:r>
        <w:rPr>
          <w:rFonts w:ascii="Times New Roman" w:cs="Times New Roman" w:eastAsia="Times New Roman" w:hAnsi="Times New Roman"/>
          <w:sz w:val="18"/>
          <w:szCs w:val="18"/>
          <w:color w:val="383838"/>
        </w:rPr>
        <w:t>), and PMV PHARMACEUTICALS, Inc., a Delaware corporation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383838"/>
        </w:rPr>
        <w:t>Tenant</w:t>
      </w:r>
      <w:r>
        <w:rPr>
          <w:rFonts w:ascii="Times New Roman" w:cs="Times New Roman" w:eastAsia="Times New Roman" w:hAnsi="Times New Roman"/>
          <w:sz w:val="16"/>
          <w:szCs w:val="16"/>
          <w:color w:val="3A3A3A"/>
        </w:rPr>
        <w:t>”</w:t>
      </w:r>
      <w:r>
        <w:rPr>
          <w:rFonts w:ascii="Times New Roman" w:cs="Times New Roman" w:eastAsia="Times New Roman" w:hAnsi="Times New Roman"/>
          <w:sz w:val="18"/>
          <w:szCs w:val="18"/>
          <w:color w:val="383838"/>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383838"/>
        </w:rPr>
        <w:t>RECITALS</w:t>
      </w:r>
    </w:p>
    <w:p>
      <w:pPr>
        <w:spacing w:after="0" w:line="243" w:lineRule="exact"/>
        <w:rPr>
          <w:sz w:val="20"/>
          <w:szCs w:val="20"/>
          <w:color w:val="auto"/>
        </w:rPr>
      </w:pPr>
    </w:p>
    <w:p>
      <w:pPr>
        <w:jc w:val="both"/>
        <w:ind w:firstLine="727"/>
        <w:spacing w:after="0" w:line="252" w:lineRule="auto"/>
        <w:tabs>
          <w:tab w:leader="none" w:pos="1018" w:val="left"/>
        </w:tabs>
        <w:numPr>
          <w:ilvl w:val="0"/>
          <w:numId w:val="4"/>
        </w:numPr>
        <w:rPr>
          <w:rFonts w:ascii="Times New Roman" w:cs="Times New Roman" w:eastAsia="Times New Roman" w:hAnsi="Times New Roman"/>
          <w:sz w:val="20"/>
          <w:szCs w:val="20"/>
          <w:color w:val="383838"/>
        </w:rPr>
      </w:pPr>
      <w:r>
        <w:rPr>
          <w:rFonts w:ascii="Times New Roman" w:cs="Times New Roman" w:eastAsia="Times New Roman" w:hAnsi="Times New Roman"/>
          <w:sz w:val="18"/>
          <w:szCs w:val="18"/>
          <w:color w:val="383838"/>
        </w:rPr>
        <w:t xml:space="preserve">WHEREAS, Landlord and Tenant entered into that certain Lease dated as of January 8, 2021 (as the same may have been amended, amended and restated, supplemented or otherwise modified from time to time,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383838"/>
        </w:rPr>
        <w:t>Lease</w:t>
      </w:r>
      <w:r>
        <w:rPr>
          <w:rFonts w:ascii="Times New Roman" w:cs="Times New Roman" w:eastAsia="Times New Roman" w:hAnsi="Times New Roman"/>
          <w:sz w:val="16"/>
          <w:szCs w:val="16"/>
          <w:color w:val="3A3A3A"/>
        </w:rPr>
        <w:t>”</w:t>
      </w:r>
      <w:r>
        <w:rPr>
          <w:rFonts w:ascii="Times New Roman" w:cs="Times New Roman" w:eastAsia="Times New Roman" w:hAnsi="Times New Roman"/>
          <w:sz w:val="18"/>
          <w:szCs w:val="18"/>
          <w:color w:val="383838"/>
        </w:rPr>
        <w:t xml:space="preserve">), whereby Tenant leases certain premises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383838"/>
        </w:rPr>
        <w:t>Premises") from Landlord at One Research Way in Princeton, New Jersey;</w:t>
      </w:r>
    </w:p>
    <w:p>
      <w:pPr>
        <w:spacing w:after="0" w:line="201" w:lineRule="exact"/>
        <w:rPr>
          <w:rFonts w:ascii="Times New Roman" w:cs="Times New Roman" w:eastAsia="Times New Roman" w:hAnsi="Times New Roman"/>
          <w:sz w:val="20"/>
          <w:szCs w:val="20"/>
          <w:color w:val="383838"/>
        </w:rPr>
      </w:pPr>
    </w:p>
    <w:p>
      <w:pPr>
        <w:ind w:firstLine="727"/>
        <w:spacing w:after="0" w:line="255" w:lineRule="auto"/>
        <w:tabs>
          <w:tab w:leader="none" w:pos="1018" w:val="left"/>
        </w:tabs>
        <w:numPr>
          <w:ilvl w:val="0"/>
          <w:numId w:val="4"/>
        </w:numPr>
        <w:rPr>
          <w:rFonts w:ascii="Times New Roman" w:cs="Times New Roman" w:eastAsia="Times New Roman" w:hAnsi="Times New Roman"/>
          <w:sz w:val="20"/>
          <w:szCs w:val="20"/>
          <w:color w:val="383838"/>
        </w:rPr>
      </w:pPr>
      <w:r>
        <w:rPr>
          <w:rFonts w:ascii="Times New Roman" w:cs="Times New Roman" w:eastAsia="Times New Roman" w:hAnsi="Times New Roman"/>
          <w:sz w:val="18"/>
          <w:szCs w:val="18"/>
          <w:color w:val="383838"/>
        </w:rPr>
        <w:t>WHEREAS, Landlord and a third party buyer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383838"/>
        </w:rPr>
        <w:t>Buyer</w:t>
      </w:r>
      <w:r>
        <w:rPr>
          <w:rFonts w:ascii="Times New Roman" w:cs="Times New Roman" w:eastAsia="Times New Roman" w:hAnsi="Times New Roman"/>
          <w:sz w:val="16"/>
          <w:szCs w:val="16"/>
          <w:color w:val="3A3A3A"/>
        </w:rPr>
        <w:t>”</w:t>
      </w:r>
      <w:r>
        <w:rPr>
          <w:rFonts w:ascii="Times New Roman" w:cs="Times New Roman" w:eastAsia="Times New Roman" w:hAnsi="Times New Roman"/>
          <w:sz w:val="18"/>
          <w:szCs w:val="18"/>
          <w:color w:val="383838"/>
        </w:rPr>
        <w:t xml:space="preserve">) are negotiating an agreement for the purchase and sale of the property containing the Premises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383838"/>
        </w:rPr>
        <w:t>Property</w:t>
      </w:r>
      <w:r>
        <w:rPr>
          <w:rFonts w:ascii="Times New Roman" w:cs="Times New Roman" w:eastAsia="Times New Roman" w:hAnsi="Times New Roman"/>
          <w:sz w:val="16"/>
          <w:szCs w:val="16"/>
          <w:color w:val="3A3A3A"/>
        </w:rPr>
        <w:t>”</w:t>
      </w:r>
      <w:r>
        <w:rPr>
          <w:rFonts w:ascii="Times New Roman" w:cs="Times New Roman" w:eastAsia="Times New Roman" w:hAnsi="Times New Roman"/>
          <w:sz w:val="18"/>
          <w:szCs w:val="18"/>
          <w:color w:val="383838"/>
        </w:rPr>
        <w:t xml:space="preserve">), the closing of which is currently anticipated to occur on or about September 30, 2024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383838"/>
        </w:rPr>
        <w:t>Transaction</w:t>
      </w:r>
      <w:r>
        <w:rPr>
          <w:rFonts w:ascii="Times New Roman" w:cs="Times New Roman" w:eastAsia="Times New Roman" w:hAnsi="Times New Roman"/>
          <w:sz w:val="16"/>
          <w:szCs w:val="16"/>
          <w:color w:val="3A3A3A"/>
        </w:rPr>
        <w:t>”</w:t>
      </w:r>
      <w:r>
        <w:rPr>
          <w:rFonts w:ascii="Times New Roman" w:cs="Times New Roman" w:eastAsia="Times New Roman" w:hAnsi="Times New Roman"/>
          <w:sz w:val="18"/>
          <w:szCs w:val="18"/>
          <w:color w:val="383838"/>
        </w:rPr>
        <w:t>); and</w:t>
      </w:r>
    </w:p>
    <w:p>
      <w:pPr>
        <w:spacing w:after="0" w:line="197" w:lineRule="exact"/>
        <w:rPr>
          <w:rFonts w:ascii="Times New Roman" w:cs="Times New Roman" w:eastAsia="Times New Roman" w:hAnsi="Times New Roman"/>
          <w:sz w:val="20"/>
          <w:szCs w:val="20"/>
          <w:color w:val="383838"/>
        </w:rPr>
      </w:pPr>
    </w:p>
    <w:p>
      <w:pPr>
        <w:ind w:left="1020" w:hanging="293"/>
        <w:spacing w:after="0"/>
        <w:tabs>
          <w:tab w:leader="none" w:pos="1020" w:val="left"/>
        </w:tabs>
        <w:numPr>
          <w:ilvl w:val="0"/>
          <w:numId w:val="4"/>
        </w:numPr>
        <w:rPr>
          <w:rFonts w:ascii="Times New Roman" w:cs="Times New Roman" w:eastAsia="Times New Roman" w:hAnsi="Times New Roman"/>
          <w:sz w:val="20"/>
          <w:szCs w:val="20"/>
          <w:color w:val="383838"/>
        </w:rPr>
      </w:pPr>
      <w:r>
        <w:rPr>
          <w:rFonts w:ascii="Times New Roman" w:cs="Times New Roman" w:eastAsia="Times New Roman" w:hAnsi="Times New Roman"/>
          <w:sz w:val="18"/>
          <w:szCs w:val="18"/>
          <w:color w:val="383838"/>
        </w:rPr>
        <w:t>WHEREAS, in connection with the Transaction, Landlord and Tenant desire to terminate the Lease in accordance with the following</w:t>
      </w:r>
    </w:p>
    <w:p>
      <w:pPr>
        <w:spacing w:after="0" w:line="6" w:lineRule="exact"/>
        <w:rPr>
          <w:rFonts w:ascii="Times New Roman" w:cs="Times New Roman" w:eastAsia="Times New Roman" w:hAnsi="Times New Roman"/>
          <w:sz w:val="20"/>
          <w:szCs w:val="20"/>
          <w:color w:val="383838"/>
        </w:rPr>
      </w:pPr>
    </w:p>
    <w:p>
      <w:pPr>
        <w:spacing w:after="0"/>
        <w:rPr>
          <w:rFonts w:ascii="Times New Roman" w:cs="Times New Roman" w:eastAsia="Times New Roman" w:hAnsi="Times New Roman"/>
          <w:sz w:val="20"/>
          <w:szCs w:val="20"/>
          <w:color w:val="383838"/>
        </w:rPr>
      </w:pPr>
      <w:r>
        <w:rPr>
          <w:rFonts w:ascii="Times New Roman" w:cs="Times New Roman" w:eastAsia="Times New Roman" w:hAnsi="Times New Roman"/>
          <w:sz w:val="18"/>
          <w:szCs w:val="18"/>
          <w:color w:val="383838"/>
        </w:rPr>
        <w:t>provisions.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383838"/>
        </w:rPr>
        <w:t>AGREEMENT</w:t>
      </w:r>
    </w:p>
    <w:p>
      <w:pPr>
        <w:spacing w:after="0" w:line="229" w:lineRule="exact"/>
        <w:rPr>
          <w:sz w:val="20"/>
          <w:szCs w:val="20"/>
          <w:color w:val="auto"/>
        </w:rPr>
      </w:pPr>
    </w:p>
    <w:p>
      <w:pPr>
        <w:ind w:firstLine="719"/>
        <w:spacing w:after="0" w:line="282" w:lineRule="auto"/>
        <w:rPr>
          <w:sz w:val="20"/>
          <w:szCs w:val="20"/>
          <w:color w:val="auto"/>
        </w:rPr>
      </w:pPr>
      <w:r>
        <w:rPr>
          <w:rFonts w:ascii="Times New Roman" w:cs="Times New Roman" w:eastAsia="Times New Roman" w:hAnsi="Times New Roman"/>
          <w:sz w:val="18"/>
          <w:szCs w:val="18"/>
          <w:color w:val="383838"/>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62" w:lineRule="exact"/>
        <w:rPr>
          <w:sz w:val="20"/>
          <w:szCs w:val="20"/>
          <w:color w:val="auto"/>
        </w:rPr>
      </w:pPr>
    </w:p>
    <w:p>
      <w:pPr>
        <w:jc w:val="both"/>
        <w:ind w:firstLine="727"/>
        <w:spacing w:after="0" w:line="252" w:lineRule="auto"/>
        <w:tabs>
          <w:tab w:leader="none" w:pos="1077" w:val="left"/>
        </w:tabs>
        <w:numPr>
          <w:ilvl w:val="0"/>
          <w:numId w:val="5"/>
        </w:numPr>
        <w:rPr>
          <w:rFonts w:ascii="Times New Roman" w:cs="Times New Roman" w:eastAsia="Times New Roman" w:hAnsi="Times New Roman"/>
          <w:sz w:val="18"/>
          <w:szCs w:val="18"/>
          <w:color w:val="383838"/>
        </w:rPr>
      </w:pPr>
      <w:r>
        <w:rPr>
          <w:rFonts w:ascii="Times New Roman" w:cs="Times New Roman" w:eastAsia="Times New Roman" w:hAnsi="Times New Roman"/>
          <w:sz w:val="18"/>
          <w:szCs w:val="18"/>
          <w:u w:val="single" w:color="auto"/>
          <w:color w:val="383838"/>
        </w:rPr>
        <w:t>Surrender Date</w:t>
      </w:r>
      <w:r>
        <w:rPr>
          <w:rFonts w:ascii="Times New Roman" w:cs="Times New Roman" w:eastAsia="Times New Roman" w:hAnsi="Times New Roman"/>
          <w:sz w:val="18"/>
          <w:szCs w:val="18"/>
          <w:color w:val="383838"/>
        </w:rPr>
        <w:t xml:space="preserve">. Tenant shall surrender the Premises to Landlord in broom clean condition and in the condition required under the Lease, including, without limitation, the requirements of Sections 16.7 and 25 thereof, no later than the Lease Termination Date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383838"/>
        </w:rPr>
        <w:t>Surrender Date</w:t>
      </w:r>
      <w:r>
        <w:rPr>
          <w:rFonts w:ascii="Times New Roman" w:cs="Times New Roman" w:eastAsia="Times New Roman" w:hAnsi="Times New Roman"/>
          <w:sz w:val="16"/>
          <w:szCs w:val="16"/>
          <w:color w:val="3A3A3A"/>
        </w:rPr>
        <w:t>”</w:t>
      </w:r>
      <w:r>
        <w:rPr>
          <w:rFonts w:ascii="Times New Roman" w:cs="Times New Roman" w:eastAsia="Times New Roman" w:hAnsi="Times New Roman"/>
          <w:sz w:val="18"/>
          <w:szCs w:val="18"/>
          <w:color w:val="383838"/>
        </w:rPr>
        <w:t>). Notwithstanding Section 25.5 of the Lease, Landlord hereby agrees to comply with the administrative requirements of ISRA on behalf of Tenant, including obtaining a preliminary assessment prepared in accordance with the Technical Requirements for Site Remediation (N.J.A.C. 7:26E) by a New Jersey Licensed Site Remediation Professional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383838"/>
        </w:rPr>
        <w:t>LSRP</w:t>
      </w:r>
      <w:r>
        <w:rPr>
          <w:rFonts w:ascii="Times New Roman" w:cs="Times New Roman" w:eastAsia="Times New Roman" w:hAnsi="Times New Roman"/>
          <w:sz w:val="16"/>
          <w:szCs w:val="16"/>
          <w:color w:val="3A3A3A"/>
        </w:rPr>
        <w:t>”</w:t>
      </w:r>
      <w:r>
        <w:rPr>
          <w:rFonts w:ascii="Times New Roman" w:cs="Times New Roman" w:eastAsia="Times New Roman" w:hAnsi="Times New Roman"/>
          <w:sz w:val="18"/>
          <w:szCs w:val="18"/>
          <w:color w:val="383838"/>
        </w:rPr>
        <w:t xml:space="preserve">) and, if no areas of concern are identified in the preliminary assessment, a response action outcome issued by the LSRP. Notwithstanding the foregoing, the parties expressly acknowledge and agree that Landlord's agreement to comply with the administrative requirements of ISRA on behalf of Tenant is an accommodation only and Landlord shall have no liability whatsoever in connection with the same. In the event Landlord's preliminary assessment identifies areas of concern, then Tenant shall cause any necessary site investigations and/or remedial investigations to be performed, and, if required by ISRA, shall cause a remedial action work plan to be prepared. Tenant agrees to remain responsible after the surrender of the Premises to Landlord for the remediation of any recognized environmental conditions identified in the preliminary assessment, any site investigations or remedial investigations, or any remedial action work plan, and shall perform any remediation to the remediation standards required by Applicable Laws. Tenant agrees to cooperate with Landlord in Landlord's pursuit of ISRA compliance. Tenant shall remain responsible for all such obligations after Tenant's surrender of the Premises, and Tenant's </w:t>
      </w:r>
      <w:r>
        <w:rPr>
          <w:rFonts w:ascii="Times New Roman" w:cs="Times New Roman" w:eastAsia="Times New Roman" w:hAnsi="Times New Roman"/>
          <w:sz w:val="18"/>
          <w:szCs w:val="18"/>
          <w:color w:val="3A3A3A"/>
        </w:rPr>
        <w:t>obligations under this</w:t>
      </w:r>
      <w:r>
        <w:rPr>
          <w:rFonts w:ascii="Times New Roman" w:cs="Times New Roman" w:eastAsia="Times New Roman" w:hAnsi="Times New Roman"/>
          <w:sz w:val="18"/>
          <w:szCs w:val="18"/>
          <w:color w:val="383838"/>
        </w:rPr>
        <w:t xml:space="preserve"> </w:t>
      </w:r>
      <w:r>
        <w:rPr>
          <w:rFonts w:ascii="Times New Roman" w:cs="Times New Roman" w:eastAsia="Times New Roman" w:hAnsi="Times New Roman"/>
          <w:sz w:val="18"/>
          <w:szCs w:val="18"/>
          <w:u w:val="single" w:color="auto"/>
          <w:color w:val="3A3A3A"/>
        </w:rPr>
        <w:t>Section 1</w:t>
      </w:r>
      <w:r>
        <w:rPr>
          <w:rFonts w:ascii="Times New Roman" w:cs="Times New Roman" w:eastAsia="Times New Roman" w:hAnsi="Times New Roman"/>
          <w:sz w:val="18"/>
          <w:szCs w:val="18"/>
          <w:color w:val="383838"/>
        </w:rPr>
        <w:t xml:space="preserve"> </w:t>
      </w:r>
      <w:r>
        <w:rPr>
          <w:rFonts w:ascii="Times New Roman" w:cs="Times New Roman" w:eastAsia="Times New Roman" w:hAnsi="Times New Roman"/>
          <w:sz w:val="18"/>
          <w:szCs w:val="18"/>
          <w:color w:val="3A3A3A"/>
        </w:rPr>
        <w:t>shall survive the termination of the Lease and this</w:t>
      </w:r>
      <w:r>
        <w:rPr>
          <w:rFonts w:ascii="Times New Roman" w:cs="Times New Roman" w:eastAsia="Times New Roman" w:hAnsi="Times New Roman"/>
          <w:sz w:val="18"/>
          <w:szCs w:val="18"/>
          <w:color w:val="383838"/>
        </w:rPr>
        <w:t xml:space="preserve"> </w:t>
      </w:r>
      <w:r>
        <w:rPr>
          <w:rFonts w:ascii="Times New Roman" w:cs="Times New Roman" w:eastAsia="Times New Roman" w:hAnsi="Times New Roman"/>
          <w:sz w:val="18"/>
          <w:szCs w:val="18"/>
          <w:color w:val="3A3A3A"/>
        </w:rPr>
        <w:t>Agreement. For the avoidance of doubt, the following property is Landlord-owned pursuant to Section 16.7 of the Lease and shall be surrendered with the Premises: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3A3A3A"/>
              </w:rPr>
              <w:t>Lab Table</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3A3A3A"/>
              </w:rPr>
              <w:t>Mott</w:t>
            </w:r>
          </w:p>
        </w:tc>
        <w:tc>
          <w:tcPr>
            <w:tcW w:w="6500" w:type="dxa"/>
            <w:vAlign w:val="bottom"/>
          </w:tcPr>
          <w:p>
            <w:pPr>
              <w:ind w:left="320"/>
              <w:spacing w:after="0"/>
              <w:rPr>
                <w:sz w:val="20"/>
                <w:szCs w:val="20"/>
                <w:color w:val="auto"/>
              </w:rPr>
            </w:pPr>
            <w:r>
              <w:rPr>
                <w:rFonts w:ascii="Times New Roman" w:cs="Times New Roman" w:eastAsia="Times New Roman" w:hAnsi="Times New Roman"/>
                <w:sz w:val="18"/>
                <w:szCs w:val="18"/>
                <w:color w:val="3A3A3A"/>
              </w:rPr>
              <w:t>Altus, 72” , dual circuit, dual gas connection, 30” deep phenolic top</w:t>
            </w:r>
          </w:p>
        </w:tc>
        <w:tc>
          <w:tcPr>
            <w:tcW w:w="2240" w:type="dxa"/>
            <w:vAlign w:val="bottom"/>
          </w:tcPr>
          <w:p>
            <w:pPr>
              <w:ind w:left="1280"/>
              <w:spacing w:after="0"/>
              <w:rPr>
                <w:sz w:val="20"/>
                <w:szCs w:val="20"/>
                <w:color w:val="auto"/>
              </w:rPr>
            </w:pPr>
            <w:r>
              <w:rPr>
                <w:rFonts w:ascii="Times New Roman" w:cs="Times New Roman" w:eastAsia="Times New Roman" w:hAnsi="Times New Roman"/>
                <w:sz w:val="18"/>
                <w:szCs w:val="18"/>
                <w:color w:val="3A3A3A"/>
              </w:rPr>
              <w:t>(85 total)</w:t>
            </w:r>
          </w:p>
        </w:tc>
      </w:tr>
      <w:tr>
        <w:trPr>
          <w:trHeight w:val="311"/>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3A3A3A"/>
              </w:rPr>
              <w:t>Lab Table</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3A3A3A"/>
              </w:rPr>
              <w:t>Mott</w:t>
            </w:r>
          </w:p>
        </w:tc>
        <w:tc>
          <w:tcPr>
            <w:tcW w:w="6500" w:type="dxa"/>
            <w:vAlign w:val="bottom"/>
          </w:tcPr>
          <w:p>
            <w:pPr>
              <w:ind w:left="320"/>
              <w:spacing w:after="0"/>
              <w:rPr>
                <w:sz w:val="20"/>
                <w:szCs w:val="20"/>
                <w:color w:val="auto"/>
              </w:rPr>
            </w:pPr>
            <w:r>
              <w:rPr>
                <w:rFonts w:ascii="Times New Roman" w:cs="Times New Roman" w:eastAsia="Times New Roman" w:hAnsi="Times New Roman"/>
                <w:sz w:val="18"/>
                <w:szCs w:val="18"/>
                <w:color w:val="3A3A3A"/>
              </w:rPr>
              <w:t>Altus, 60” , dual circuit, dual gas connection, 30” deep phenolic top</w:t>
            </w:r>
          </w:p>
        </w:tc>
        <w:tc>
          <w:tcPr>
            <w:tcW w:w="2240" w:type="dxa"/>
            <w:vAlign w:val="bottom"/>
          </w:tcPr>
          <w:p>
            <w:pPr>
              <w:ind w:left="1280"/>
              <w:spacing w:after="0"/>
              <w:rPr>
                <w:sz w:val="20"/>
                <w:szCs w:val="20"/>
                <w:color w:val="auto"/>
              </w:rPr>
            </w:pPr>
            <w:r>
              <w:rPr>
                <w:rFonts w:ascii="Times New Roman" w:cs="Times New Roman" w:eastAsia="Times New Roman" w:hAnsi="Times New Roman"/>
                <w:sz w:val="18"/>
                <w:szCs w:val="18"/>
                <w:color w:val="3A3A3A"/>
              </w:rPr>
              <w:t>(85 total)</w:t>
            </w:r>
          </w:p>
        </w:tc>
      </w:tr>
      <w:tr>
        <w:trPr>
          <w:trHeight w:val="310"/>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3A3A3A"/>
              </w:rPr>
              <w:t>Mobile Base</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3A3A3A"/>
              </w:rPr>
              <w:t>Mott</w:t>
            </w:r>
          </w:p>
        </w:tc>
        <w:tc>
          <w:tcPr>
            <w:tcW w:w="6500" w:type="dxa"/>
            <w:vAlign w:val="bottom"/>
          </w:tcPr>
          <w:p>
            <w:pPr>
              <w:ind w:left="320"/>
              <w:spacing w:after="0"/>
              <w:rPr>
                <w:sz w:val="20"/>
                <w:szCs w:val="20"/>
                <w:color w:val="auto"/>
              </w:rPr>
            </w:pPr>
            <w:r>
              <w:rPr>
                <w:rFonts w:ascii="Times New Roman" w:cs="Times New Roman" w:eastAsia="Times New Roman" w:hAnsi="Times New Roman"/>
                <w:sz w:val="18"/>
                <w:szCs w:val="18"/>
                <w:color w:val="3A3A3A"/>
              </w:rPr>
              <w:t>Mobile base, 24” , 4 drawer, 24” deep phenolic top</w:t>
            </w:r>
          </w:p>
        </w:tc>
        <w:tc>
          <w:tcPr>
            <w:tcW w:w="2240" w:type="dxa"/>
            <w:vAlign w:val="bottom"/>
          </w:tcPr>
          <w:p>
            <w:pPr>
              <w:ind w:left="1280"/>
              <w:spacing w:after="0"/>
              <w:rPr>
                <w:sz w:val="20"/>
                <w:szCs w:val="20"/>
                <w:color w:val="auto"/>
              </w:rPr>
            </w:pPr>
            <w:r>
              <w:rPr>
                <w:rFonts w:ascii="Times New Roman" w:cs="Times New Roman" w:eastAsia="Times New Roman" w:hAnsi="Times New Roman"/>
                <w:sz w:val="18"/>
                <w:szCs w:val="18"/>
                <w:color w:val="3A3A3A"/>
              </w:rPr>
              <w:t>(65 total)</w:t>
            </w:r>
          </w:p>
        </w:tc>
      </w:tr>
      <w:tr>
        <w:trPr>
          <w:trHeight w:val="310"/>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3A3A3A"/>
              </w:rPr>
              <w:t>Mobile Base</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3A3A3A"/>
              </w:rPr>
              <w:t>Mott</w:t>
            </w:r>
          </w:p>
        </w:tc>
        <w:tc>
          <w:tcPr>
            <w:tcW w:w="6500" w:type="dxa"/>
            <w:vAlign w:val="bottom"/>
          </w:tcPr>
          <w:p>
            <w:pPr>
              <w:ind w:left="320"/>
              <w:spacing w:after="0"/>
              <w:rPr>
                <w:sz w:val="20"/>
                <w:szCs w:val="20"/>
                <w:color w:val="auto"/>
              </w:rPr>
            </w:pPr>
            <w:r>
              <w:rPr>
                <w:rFonts w:ascii="Times New Roman" w:cs="Times New Roman" w:eastAsia="Times New Roman" w:hAnsi="Times New Roman"/>
                <w:sz w:val="18"/>
                <w:szCs w:val="18"/>
                <w:color w:val="3A3A3A"/>
              </w:rPr>
              <w:t>Mobile base, 24” , full door, 24” deep phenolic top</w:t>
            </w:r>
          </w:p>
        </w:tc>
        <w:tc>
          <w:tcPr>
            <w:tcW w:w="2240" w:type="dxa"/>
            <w:vAlign w:val="bottom"/>
          </w:tcPr>
          <w:p>
            <w:pPr>
              <w:ind w:left="1280"/>
              <w:spacing w:after="0"/>
              <w:rPr>
                <w:sz w:val="20"/>
                <w:szCs w:val="20"/>
                <w:color w:val="auto"/>
              </w:rPr>
            </w:pPr>
            <w:r>
              <w:rPr>
                <w:rFonts w:ascii="Times New Roman" w:cs="Times New Roman" w:eastAsia="Times New Roman" w:hAnsi="Times New Roman"/>
                <w:sz w:val="18"/>
                <w:szCs w:val="18"/>
                <w:color w:val="3A3A3A"/>
              </w:rPr>
              <w:t>(50 total)</w:t>
            </w:r>
          </w:p>
        </w:tc>
      </w:tr>
      <w:tr>
        <w:trPr>
          <w:trHeight w:val="310"/>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3A3A3A"/>
              </w:rPr>
              <w:t>Mobile Base</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3A3A3A"/>
              </w:rPr>
              <w:t>Mott</w:t>
            </w:r>
          </w:p>
        </w:tc>
        <w:tc>
          <w:tcPr>
            <w:tcW w:w="6500" w:type="dxa"/>
            <w:vAlign w:val="bottom"/>
          </w:tcPr>
          <w:p>
            <w:pPr>
              <w:ind w:left="320"/>
              <w:spacing w:after="0"/>
              <w:rPr>
                <w:sz w:val="20"/>
                <w:szCs w:val="20"/>
                <w:color w:val="auto"/>
              </w:rPr>
            </w:pPr>
            <w:r>
              <w:rPr>
                <w:rFonts w:ascii="Times New Roman" w:cs="Times New Roman" w:eastAsia="Times New Roman" w:hAnsi="Times New Roman"/>
                <w:sz w:val="18"/>
                <w:szCs w:val="18"/>
                <w:color w:val="3A3A3A"/>
              </w:rPr>
              <w:t>Mobile base, 24” , drawer/door combo, 24” deep phenolic top</w:t>
            </w:r>
          </w:p>
        </w:tc>
        <w:tc>
          <w:tcPr>
            <w:tcW w:w="2240" w:type="dxa"/>
            <w:vAlign w:val="bottom"/>
          </w:tcPr>
          <w:p>
            <w:pPr>
              <w:ind w:left="1280"/>
              <w:spacing w:after="0"/>
              <w:rPr>
                <w:sz w:val="20"/>
                <w:szCs w:val="20"/>
                <w:color w:val="auto"/>
              </w:rPr>
            </w:pPr>
            <w:r>
              <w:rPr>
                <w:rFonts w:ascii="Times New Roman" w:cs="Times New Roman" w:eastAsia="Times New Roman" w:hAnsi="Times New Roman"/>
                <w:sz w:val="18"/>
                <w:szCs w:val="18"/>
                <w:color w:val="3A3A3A"/>
              </w:rPr>
              <w:t>(40 total)</w:t>
            </w:r>
          </w:p>
        </w:tc>
      </w:tr>
      <w:tr>
        <w:trPr>
          <w:trHeight w:val="652"/>
        </w:trPr>
        <w:tc>
          <w:tcPr>
            <w:tcW w:w="1820" w:type="dxa"/>
            <w:vAlign w:val="bottom"/>
          </w:tcPr>
          <w:p>
            <w:pPr>
              <w:ind w:left="20"/>
              <w:spacing w:after="0"/>
              <w:rPr>
                <w:sz w:val="20"/>
                <w:szCs w:val="20"/>
                <w:color w:val="auto"/>
              </w:rPr>
            </w:pPr>
            <w:r>
              <w:rPr>
                <w:rFonts w:ascii="Arial" w:cs="Arial" w:eastAsia="Arial" w:hAnsi="Arial"/>
                <w:sz w:val="18"/>
                <w:szCs w:val="18"/>
                <w:color w:val="auto"/>
                <w:w w:val="99"/>
              </w:rPr>
              <w:t>ACTIVE 699509317v5</w:t>
            </w:r>
          </w:p>
        </w:tc>
        <w:tc>
          <w:tcPr>
            <w:tcW w:w="6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515"/>
        </w:trPr>
        <w:tc>
          <w:tcPr>
            <w:tcW w:w="18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-1113790</wp:posOffset>
            </wp:positionV>
            <wp:extent cx="1054735"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4735" cy="44577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both"/>
        <w:ind w:firstLine="727"/>
        <w:spacing w:after="0" w:line="255" w:lineRule="auto"/>
        <w:tabs>
          <w:tab w:leader="none" w:pos="1077" w:val="left"/>
        </w:tabs>
        <w:numPr>
          <w:ilvl w:val="1"/>
          <w:numId w:val="6"/>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A3A3A"/>
        </w:rPr>
        <w:t>Termination Fee</w:t>
      </w:r>
      <w:r>
        <w:rPr>
          <w:rFonts w:ascii="Times New Roman" w:cs="Times New Roman" w:eastAsia="Times New Roman" w:hAnsi="Times New Roman"/>
          <w:sz w:val="18"/>
          <w:szCs w:val="18"/>
          <w:color w:val="3A3A3A"/>
        </w:rPr>
        <w:t>. Tenant agrees to pay a total termination fee of One Million Four Hundred Twenty Thousand Seven and 91/100 Dollars ($1,420,007.91)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3A3A3A"/>
        </w:rPr>
        <w:t>Total Termination Fee</w:t>
      </w:r>
      <w:r>
        <w:rPr>
          <w:rFonts w:ascii="Times New Roman" w:cs="Times New Roman" w:eastAsia="Times New Roman" w:hAnsi="Times New Roman"/>
          <w:sz w:val="16"/>
          <w:szCs w:val="16"/>
          <w:color w:val="3A3A3A"/>
        </w:rPr>
        <w:t>”</w:t>
      </w:r>
      <w:r>
        <w:rPr>
          <w:rFonts w:ascii="Times New Roman" w:cs="Times New Roman" w:eastAsia="Times New Roman" w:hAnsi="Times New Roman"/>
          <w:sz w:val="18"/>
          <w:szCs w:val="18"/>
          <w:color w:val="3A3A3A"/>
        </w:rPr>
        <w:t xml:space="preserve">), comprised of (i) a cash payment equal to Seven Hundred Ninety Eight Thousand Sixty Six and 66/100 Dollars ($798,066.66)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3A3A3A"/>
        </w:rPr>
        <w:t>Cash Termination Fee</w:t>
      </w:r>
      <w:r>
        <w:rPr>
          <w:rFonts w:ascii="Times New Roman" w:cs="Times New Roman" w:eastAsia="Times New Roman" w:hAnsi="Times New Roman"/>
          <w:sz w:val="16"/>
          <w:szCs w:val="16"/>
          <w:color w:val="3A3A3A"/>
        </w:rPr>
        <w:t>”</w:t>
      </w:r>
      <w:r>
        <w:rPr>
          <w:rFonts w:ascii="Times New Roman" w:cs="Times New Roman" w:eastAsia="Times New Roman" w:hAnsi="Times New Roman"/>
          <w:sz w:val="18"/>
          <w:szCs w:val="18"/>
          <w:color w:val="3A3A3A"/>
        </w:rPr>
        <w:t xml:space="preserve">), and (ii) a draw and retention by the Landlord under the Letter of Credit for Tenant's Security Deposit in the amount of Six Hundred Twenty One Nine Hundred Forty One and 25/ I 00 Dollars ($621,941.25)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3A3A3A"/>
        </w:rPr>
        <w:t>L/C Security Deposit Retention</w:t>
      </w:r>
      <w:r>
        <w:rPr>
          <w:rFonts w:ascii="Times New Roman" w:cs="Times New Roman" w:eastAsia="Times New Roman" w:hAnsi="Times New Roman"/>
          <w:sz w:val="16"/>
          <w:szCs w:val="16"/>
          <w:color w:val="3A3A3A"/>
        </w:rPr>
        <w:t>”</w:t>
      </w:r>
      <w:r>
        <w:rPr>
          <w:rFonts w:ascii="Times New Roman" w:cs="Times New Roman" w:eastAsia="Times New Roman" w:hAnsi="Times New Roman"/>
          <w:sz w:val="18"/>
          <w:szCs w:val="18"/>
          <w:color w:val="3A3A3A"/>
        </w:rPr>
        <w:t>). By no later than five (5) business days after written notice from Landlord to Tenant that Buyer has waived or approved its due diligence review of the Property, Tenant shall deliver the Cash Termination Fee in immediately available funds by wire transfer to First American Title Insurance Company, as escrow agent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3A3A3A"/>
        </w:rPr>
        <w:t>Escrow</w:t>
      </w:r>
      <w:r>
        <w:rPr>
          <w:rFonts w:ascii="Times New Roman" w:cs="Times New Roman" w:eastAsia="Times New Roman" w:hAnsi="Times New Roman"/>
          <w:sz w:val="18"/>
          <w:szCs w:val="18"/>
          <w:color w:val="3A3A3A"/>
        </w:rPr>
        <w:t xml:space="preserve"> </w:t>
      </w:r>
      <w:r>
        <w:rPr>
          <w:rFonts w:ascii="Times New Roman" w:cs="Times New Roman" w:eastAsia="Times New Roman" w:hAnsi="Times New Roman"/>
          <w:sz w:val="18"/>
          <w:szCs w:val="18"/>
          <w:u w:val="single" w:color="auto"/>
          <w:color w:val="3A3A3A"/>
        </w:rPr>
        <w:t>Agent")</w:t>
      </w:r>
      <w:r>
        <w:rPr>
          <w:rFonts w:ascii="Times New Roman" w:cs="Times New Roman" w:eastAsia="Times New Roman" w:hAnsi="Times New Roman"/>
          <w:sz w:val="18"/>
          <w:szCs w:val="18"/>
          <w:color w:val="3A3A3A"/>
        </w:rPr>
        <w:t xml:space="preserve"> to be held in escrow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3A3A3A"/>
        </w:rPr>
        <w:t>Escrow").</w:t>
      </w:r>
    </w:p>
    <w:p>
      <w:pPr>
        <w:spacing w:after="0" w:line="188" w:lineRule="exact"/>
        <w:rPr>
          <w:rFonts w:ascii="Times New Roman" w:cs="Times New Roman" w:eastAsia="Times New Roman" w:hAnsi="Times New Roman"/>
          <w:sz w:val="18"/>
          <w:szCs w:val="18"/>
          <w:color w:val="3A3A3A"/>
        </w:rPr>
      </w:pPr>
    </w:p>
    <w:p>
      <w:pPr>
        <w:jc w:val="both"/>
        <w:ind w:firstLine="727"/>
        <w:spacing w:after="0" w:line="253" w:lineRule="auto"/>
        <w:tabs>
          <w:tab w:leader="none" w:pos="1077" w:val="left"/>
        </w:tabs>
        <w:numPr>
          <w:ilvl w:val="1"/>
          <w:numId w:val="6"/>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A3A3A"/>
        </w:rPr>
        <w:t>Security Deposit</w:t>
      </w:r>
      <w:r>
        <w:rPr>
          <w:rFonts w:ascii="Times New Roman" w:cs="Times New Roman" w:eastAsia="Times New Roman" w:hAnsi="Times New Roman"/>
          <w:sz w:val="18"/>
          <w:szCs w:val="18"/>
          <w:color w:val="3A3A3A"/>
        </w:rPr>
        <w:t>. Landlord currently holds as Tenant's Security Deposit a Letter of Credit in the amount of Eight Hundred Twenty One Thousand Nine Hundred Forty One and 25</w:t>
      </w:r>
      <w:r>
        <w:rPr>
          <w:rFonts w:ascii="Times New Roman" w:cs="Times New Roman" w:eastAsia="Times New Roman" w:hAnsi="Times New Roman"/>
          <w:sz w:val="18"/>
          <w:szCs w:val="18"/>
          <w:color w:val="979797"/>
        </w:rPr>
        <w:t>/</w:t>
      </w:r>
      <w:r>
        <w:rPr>
          <w:rFonts w:ascii="Times New Roman" w:cs="Times New Roman" w:eastAsia="Times New Roman" w:hAnsi="Times New Roman"/>
          <w:sz w:val="18"/>
          <w:szCs w:val="18"/>
          <w:color w:val="3A3A3A"/>
        </w:rPr>
        <w:t xml:space="preserve">100 Dollars ($821, 941.25). Within five (5) business days after written notice from Landlord to Tenant that Buyer has waived or approved its due diligence review of the Property, Landlord shall draw from the Letter of Credit and deposit with Escrow Agent the </w:t>
      </w:r>
      <w:r>
        <w:rPr>
          <w:rFonts w:ascii="Times New Roman" w:cs="Times New Roman" w:eastAsia="Times New Roman" w:hAnsi="Times New Roman"/>
          <w:sz w:val="18"/>
          <w:szCs w:val="18"/>
          <w:color w:val="5B5B5B"/>
        </w:rPr>
        <w:t xml:space="preserve">L/C </w:t>
      </w:r>
      <w:r>
        <w:rPr>
          <w:rFonts w:ascii="Times New Roman" w:cs="Times New Roman" w:eastAsia="Times New Roman" w:hAnsi="Times New Roman"/>
          <w:sz w:val="18"/>
          <w:szCs w:val="18"/>
          <w:color w:val="3A3A3A"/>
        </w:rPr>
        <w:t>Security Deposit Retention which shall be held in the Escrow and applied towards the Total Termination Fee. On the Lease Termination Date, the Total</w:t>
      </w:r>
      <w:r>
        <w:rPr>
          <w:rFonts w:ascii="Times New Roman" w:cs="Times New Roman" w:eastAsia="Times New Roman" w:hAnsi="Times New Roman"/>
          <w:sz w:val="18"/>
          <w:szCs w:val="18"/>
          <w:color w:val="5B5B5B"/>
        </w:rPr>
        <w:t xml:space="preserve"> </w:t>
      </w:r>
      <w:r>
        <w:rPr>
          <w:rFonts w:ascii="Times New Roman" w:cs="Times New Roman" w:eastAsia="Times New Roman" w:hAnsi="Times New Roman"/>
          <w:sz w:val="18"/>
          <w:szCs w:val="18"/>
          <w:color w:val="3A3A3A"/>
        </w:rPr>
        <w:t>Termination Fee shall be released from Escrow and delivered by Escrow Agent to Landlord. Landlord agrees to submit a request for the return of the remaining Two Hundred Thousand ($200,000.00) of the Security Deposit in accordance with the procedures of the issuer of the Letter of Credit within five</w:t>
      </w:r>
    </w:p>
    <w:p>
      <w:pPr>
        <w:spacing w:after="0" w:line="5" w:lineRule="exact"/>
        <w:rPr>
          <w:rFonts w:ascii="Times New Roman" w:cs="Times New Roman" w:eastAsia="Times New Roman" w:hAnsi="Times New Roman"/>
          <w:sz w:val="18"/>
          <w:szCs w:val="18"/>
          <w:color w:val="3A3A3A"/>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color w:val="3A3A3A"/>
        </w:rPr>
        <w:t>business days following the Lease Termination Date.</w:t>
      </w:r>
    </w:p>
    <w:p>
      <w:pPr>
        <w:spacing w:after="0" w:line="202" w:lineRule="exact"/>
        <w:rPr>
          <w:rFonts w:ascii="Times New Roman" w:cs="Times New Roman" w:eastAsia="Times New Roman" w:hAnsi="Times New Roman"/>
          <w:sz w:val="18"/>
          <w:szCs w:val="18"/>
          <w:color w:val="3A3A3A"/>
        </w:rPr>
      </w:pPr>
    </w:p>
    <w:p>
      <w:pPr>
        <w:jc w:val="both"/>
        <w:ind w:firstLine="727"/>
        <w:spacing w:after="0" w:line="259" w:lineRule="auto"/>
        <w:tabs>
          <w:tab w:leader="none" w:pos="1063" w:val="left"/>
        </w:tabs>
        <w:numPr>
          <w:ilvl w:val="1"/>
          <w:numId w:val="7"/>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A3A3A"/>
        </w:rPr>
        <w:t>Lease Termination</w:t>
      </w:r>
      <w:r>
        <w:rPr>
          <w:rFonts w:ascii="Times New Roman" w:cs="Times New Roman" w:eastAsia="Times New Roman" w:hAnsi="Times New Roman"/>
          <w:sz w:val="18"/>
          <w:szCs w:val="18"/>
          <w:color w:val="3A3A3A"/>
        </w:rPr>
        <w:t xml:space="preserve">. Subject to Tenant's satisfaction of </w:t>
      </w:r>
      <w:r>
        <w:rPr>
          <w:rFonts w:ascii="Times New Roman" w:cs="Times New Roman" w:eastAsia="Times New Roman" w:hAnsi="Times New Roman"/>
          <w:sz w:val="18"/>
          <w:szCs w:val="18"/>
          <w:b w:val="1"/>
          <w:bCs w:val="1"/>
          <w:color w:val="3A3A3A"/>
        </w:rPr>
        <w:t>all</w:t>
      </w:r>
      <w:r>
        <w:rPr>
          <w:rFonts w:ascii="Times New Roman" w:cs="Times New Roman" w:eastAsia="Times New Roman" w:hAnsi="Times New Roman"/>
          <w:sz w:val="18"/>
          <w:szCs w:val="18"/>
          <w:color w:val="3A3A3A"/>
        </w:rPr>
        <w:t xml:space="preserve"> of its obligations set forth in </w:t>
      </w:r>
      <w:r>
        <w:rPr>
          <w:rFonts w:ascii="Times New Roman" w:cs="Times New Roman" w:eastAsia="Times New Roman" w:hAnsi="Times New Roman"/>
          <w:sz w:val="18"/>
          <w:szCs w:val="18"/>
          <w:u w:val="single" w:color="auto"/>
          <w:color w:val="3A3A3A"/>
        </w:rPr>
        <w:t>Section 1</w:t>
      </w:r>
      <w:r>
        <w:rPr>
          <w:rFonts w:ascii="Times New Roman" w:cs="Times New Roman" w:eastAsia="Times New Roman" w:hAnsi="Times New Roman"/>
          <w:sz w:val="18"/>
          <w:szCs w:val="18"/>
          <w:color w:val="3A3A3A"/>
        </w:rPr>
        <w:t xml:space="preserve"> and </w:t>
      </w:r>
      <w:r>
        <w:rPr>
          <w:rFonts w:ascii="Times New Roman" w:cs="Times New Roman" w:eastAsia="Times New Roman" w:hAnsi="Times New Roman"/>
          <w:sz w:val="18"/>
          <w:szCs w:val="18"/>
          <w:u w:val="single" w:color="auto"/>
          <w:color w:val="3A3A3A"/>
        </w:rPr>
        <w:t>Section 2</w:t>
      </w:r>
      <w:r>
        <w:rPr>
          <w:rFonts w:ascii="Times New Roman" w:cs="Times New Roman" w:eastAsia="Times New Roman" w:hAnsi="Times New Roman"/>
          <w:sz w:val="18"/>
          <w:szCs w:val="18"/>
          <w:color w:val="3A3A3A"/>
        </w:rPr>
        <w:t xml:space="preserve"> of this Agreement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3A3A3A"/>
        </w:rPr>
        <w:t>Surrender</w:t>
      </w:r>
      <w:r>
        <w:rPr>
          <w:rFonts w:ascii="Times New Roman" w:cs="Times New Roman" w:eastAsia="Times New Roman" w:hAnsi="Times New Roman"/>
          <w:sz w:val="18"/>
          <w:szCs w:val="18"/>
          <w:color w:val="3A3A3A"/>
        </w:rPr>
        <w:t xml:space="preserve"> </w:t>
      </w:r>
      <w:r>
        <w:rPr>
          <w:rFonts w:ascii="Times New Roman" w:cs="Times New Roman" w:eastAsia="Times New Roman" w:hAnsi="Times New Roman"/>
          <w:sz w:val="18"/>
          <w:szCs w:val="18"/>
          <w:u w:val="single" w:color="auto"/>
          <w:color w:val="3A3A3A"/>
        </w:rPr>
        <w:t>Obligations</w:t>
      </w:r>
      <w:r>
        <w:rPr>
          <w:rFonts w:ascii="Times New Roman" w:cs="Times New Roman" w:eastAsia="Times New Roman" w:hAnsi="Times New Roman"/>
          <w:sz w:val="16"/>
          <w:szCs w:val="16"/>
          <w:color w:val="3A3A3A"/>
        </w:rPr>
        <w:t>”</w:t>
      </w:r>
      <w:r>
        <w:rPr>
          <w:rFonts w:ascii="Times New Roman" w:cs="Times New Roman" w:eastAsia="Times New Roman" w:hAnsi="Times New Roman"/>
          <w:sz w:val="18"/>
          <w:szCs w:val="18"/>
          <w:color w:val="3A3A3A"/>
        </w:rPr>
        <w:t>), or the written waiver thereof by Landlord in its sole and absolute discretion, then the Lease shall terminate on the date that the Sale Contingency is satisfied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3A3A3A"/>
        </w:rPr>
        <w:t>Lease Termination</w:t>
      </w:r>
      <w:r>
        <w:rPr>
          <w:rFonts w:ascii="Times New Roman" w:cs="Times New Roman" w:eastAsia="Times New Roman" w:hAnsi="Times New Roman"/>
          <w:sz w:val="16"/>
          <w:szCs w:val="16"/>
          <w:color w:val="3A3A3A"/>
        </w:rPr>
        <w:t>”</w:t>
      </w:r>
      <w:r>
        <w:rPr>
          <w:rFonts w:ascii="Times New Roman" w:cs="Times New Roman" w:eastAsia="Times New Roman" w:hAnsi="Times New Roman"/>
          <w:sz w:val="18"/>
          <w:szCs w:val="18"/>
          <w:color w:val="3A3A3A"/>
        </w:rPr>
        <w:t xml:space="preserve"> and such date,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3A3A3A"/>
        </w:rPr>
        <w:t>Lease Termination Date</w:t>
      </w:r>
      <w:r>
        <w:rPr>
          <w:rFonts w:ascii="Times New Roman" w:cs="Times New Roman" w:eastAsia="Times New Roman" w:hAnsi="Times New Roman"/>
          <w:sz w:val="16"/>
          <w:szCs w:val="16"/>
          <w:color w:val="3A3A3A"/>
        </w:rPr>
        <w:t>”</w:t>
      </w:r>
      <w:r>
        <w:rPr>
          <w:rFonts w:ascii="Times New Roman" w:cs="Times New Roman" w:eastAsia="Times New Roman" w:hAnsi="Times New Roman"/>
          <w:sz w:val="18"/>
          <w:szCs w:val="18"/>
          <w:color w:val="3A3A3A"/>
        </w:rPr>
        <w:t>). As of the Lease Termination, the Lease shall be fully and finally surrendered and terminated and shall no longer be of any force or effect, except for those provisions that, by their express terms, survive the expiration or earlier termination of the Lease.</w:t>
      </w:r>
    </w:p>
    <w:p>
      <w:pPr>
        <w:spacing w:after="0" w:line="183" w:lineRule="exact"/>
        <w:rPr>
          <w:rFonts w:ascii="Times New Roman" w:cs="Times New Roman" w:eastAsia="Times New Roman" w:hAnsi="Times New Roman"/>
          <w:sz w:val="18"/>
          <w:szCs w:val="18"/>
          <w:color w:val="3A3A3A"/>
        </w:rPr>
      </w:pPr>
    </w:p>
    <w:p>
      <w:pPr>
        <w:jc w:val="both"/>
        <w:ind w:firstLine="727"/>
        <w:spacing w:after="0" w:line="255" w:lineRule="auto"/>
        <w:tabs>
          <w:tab w:leader="none" w:pos="1063" w:val="left"/>
        </w:tabs>
        <w:numPr>
          <w:ilvl w:val="1"/>
          <w:numId w:val="7"/>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A3A3A"/>
        </w:rPr>
        <w:t>Sale Contingency</w:t>
      </w:r>
      <w:r>
        <w:rPr>
          <w:rFonts w:ascii="Times New Roman" w:cs="Times New Roman" w:eastAsia="Times New Roman" w:hAnsi="Times New Roman"/>
          <w:sz w:val="18"/>
          <w:szCs w:val="18"/>
          <w:color w:val="3A3A3A"/>
        </w:rPr>
        <w:t xml:space="preserve">. Notwithstanding anything in this Agreement to the contrary, the Lease Termination shall be contingent on the sale of the Property to Buyer pursuant to the Transaction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3A3A3A"/>
        </w:rPr>
        <w:t>Sale Contingency</w:t>
      </w:r>
      <w:r>
        <w:rPr>
          <w:rFonts w:ascii="Times New Roman" w:cs="Times New Roman" w:eastAsia="Times New Roman" w:hAnsi="Times New Roman"/>
          <w:sz w:val="16"/>
          <w:szCs w:val="16"/>
          <w:color w:val="3A3A3A"/>
        </w:rPr>
        <w:t>”</w:t>
      </w:r>
      <w:r>
        <w:rPr>
          <w:rFonts w:ascii="Times New Roman" w:cs="Times New Roman" w:eastAsia="Times New Roman" w:hAnsi="Times New Roman"/>
          <w:sz w:val="18"/>
          <w:szCs w:val="18"/>
          <w:color w:val="3A3A3A"/>
        </w:rPr>
        <w:t xml:space="preserve">). If the Sale Contingency fails to occur for any reason, (a) Landlord shall notify Tenant of such failure, (b) within five (5) business days after such notification, (i) the Cash Termination Fee shall be returned to Tenant and (ii) the </w:t>
      </w:r>
      <w:r>
        <w:rPr>
          <w:rFonts w:ascii="Times New Roman" w:cs="Times New Roman" w:eastAsia="Times New Roman" w:hAnsi="Times New Roman"/>
          <w:sz w:val="18"/>
          <w:szCs w:val="18"/>
          <w:color w:val="5B5B5B"/>
        </w:rPr>
        <w:t>L/C</w:t>
      </w:r>
      <w:r>
        <w:rPr>
          <w:rFonts w:ascii="Times New Roman" w:cs="Times New Roman" w:eastAsia="Times New Roman" w:hAnsi="Times New Roman"/>
          <w:sz w:val="18"/>
          <w:szCs w:val="18"/>
          <w:color w:val="3A3A3A"/>
        </w:rPr>
        <w:t xml:space="preserve"> Security Deposit Retention shall be released to Landlord and Landlord shall hold the </w:t>
      </w:r>
      <w:r>
        <w:rPr>
          <w:rFonts w:ascii="Times New Roman" w:cs="Times New Roman" w:eastAsia="Times New Roman" w:hAnsi="Times New Roman"/>
          <w:sz w:val="18"/>
          <w:szCs w:val="18"/>
          <w:color w:val="5B5B5B"/>
        </w:rPr>
        <w:t>L/C</w:t>
      </w:r>
      <w:r>
        <w:rPr>
          <w:rFonts w:ascii="Times New Roman" w:cs="Times New Roman" w:eastAsia="Times New Roman" w:hAnsi="Times New Roman"/>
          <w:sz w:val="18"/>
          <w:szCs w:val="18"/>
          <w:color w:val="3A3A3A"/>
        </w:rPr>
        <w:t xml:space="preserve"> Security Deposit </w:t>
      </w:r>
      <w:r>
        <w:rPr>
          <w:rFonts w:ascii="Times New Roman" w:cs="Times New Roman" w:eastAsia="Times New Roman" w:hAnsi="Times New Roman"/>
          <w:sz w:val="18"/>
          <w:szCs w:val="18"/>
          <w:color w:val="363636"/>
        </w:rPr>
        <w:t>Retention as cash security under the Lease</w:t>
      </w:r>
      <w:r>
        <w:rPr>
          <w:rFonts w:ascii="Times New Roman" w:cs="Times New Roman" w:eastAsia="Times New Roman" w:hAnsi="Times New Roman"/>
          <w:sz w:val="18"/>
          <w:szCs w:val="18"/>
          <w:color w:val="3A3A3A"/>
        </w:rPr>
        <w:t xml:space="preserve"> </w:t>
      </w:r>
      <w:r>
        <w:rPr>
          <w:rFonts w:ascii="Times New Roman" w:cs="Times New Roman" w:eastAsia="Times New Roman" w:hAnsi="Times New Roman"/>
          <w:sz w:val="18"/>
          <w:szCs w:val="18"/>
          <w:color w:val="363636"/>
        </w:rPr>
        <w:t xml:space="preserve">unless and until Tenant shall replenish the Security Deposit in the same amount as required under the Lease, and (c) this Agreement shall automatically terminate and shall be null and void </w:t>
      </w:r>
      <w:r>
        <w:rPr>
          <w:rFonts w:ascii="Times New Roman" w:cs="Times New Roman" w:eastAsia="Times New Roman" w:hAnsi="Times New Roman"/>
          <w:sz w:val="18"/>
          <w:szCs w:val="18"/>
          <w:i w:val="1"/>
          <w:iCs w:val="1"/>
          <w:color w:val="363636"/>
        </w:rPr>
        <w:t>ab initio</w:t>
      </w:r>
      <w:r>
        <w:rPr>
          <w:rFonts w:ascii="Times New Roman" w:cs="Times New Roman" w:eastAsia="Times New Roman" w:hAnsi="Times New Roman"/>
          <w:sz w:val="18"/>
          <w:szCs w:val="18"/>
          <w:color w:val="363636"/>
        </w:rPr>
        <w:t xml:space="preserve"> (as if the same were never executed), and the Lease shall continue in full force and effect unmodified by this Agreement.</w:t>
      </w:r>
    </w:p>
    <w:p>
      <w:pPr>
        <w:spacing w:after="0" w:line="188" w:lineRule="exact"/>
        <w:rPr>
          <w:rFonts w:ascii="Times New Roman" w:cs="Times New Roman" w:eastAsia="Times New Roman" w:hAnsi="Times New Roman"/>
          <w:sz w:val="18"/>
          <w:szCs w:val="18"/>
          <w:color w:val="3A3A3A"/>
        </w:rPr>
      </w:pPr>
    </w:p>
    <w:p>
      <w:pPr>
        <w:ind w:firstLine="727"/>
        <w:spacing w:after="0" w:line="282" w:lineRule="auto"/>
        <w:tabs>
          <w:tab w:leader="none" w:pos="1063" w:val="left"/>
        </w:tabs>
        <w:numPr>
          <w:ilvl w:val="1"/>
          <w:numId w:val="7"/>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63636"/>
        </w:rPr>
        <w:t>Reservation of Rights</w:t>
      </w:r>
      <w:r>
        <w:rPr>
          <w:rFonts w:ascii="Times New Roman" w:cs="Times New Roman" w:eastAsia="Times New Roman" w:hAnsi="Times New Roman"/>
          <w:sz w:val="18"/>
          <w:szCs w:val="18"/>
          <w:color w:val="363636"/>
        </w:rPr>
        <w:t>. Notwithstanding any Lease Termination, Landlord does not waive, and hereby reserves, any rights and/or remedies that Landlord may have under the Lease or at law or in equity arising from any default of Tenant under the Lease arising prior to the Lease Termination.</w:t>
      </w:r>
    </w:p>
    <w:p>
      <w:pPr>
        <w:spacing w:after="0" w:line="161" w:lineRule="exact"/>
        <w:rPr>
          <w:rFonts w:ascii="Times New Roman" w:cs="Times New Roman" w:eastAsia="Times New Roman" w:hAnsi="Times New Roman"/>
          <w:sz w:val="18"/>
          <w:szCs w:val="18"/>
          <w:color w:val="3A3A3A"/>
        </w:rPr>
      </w:pPr>
    </w:p>
    <w:p>
      <w:pPr>
        <w:ind w:firstLine="727"/>
        <w:spacing w:after="0" w:line="282" w:lineRule="auto"/>
        <w:tabs>
          <w:tab w:leader="none" w:pos="1077" w:val="left"/>
        </w:tabs>
        <w:numPr>
          <w:ilvl w:val="1"/>
          <w:numId w:val="7"/>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63636"/>
        </w:rPr>
        <w:t>Release of Rights</w:t>
      </w:r>
      <w:r>
        <w:rPr>
          <w:rFonts w:ascii="Times New Roman" w:cs="Times New Roman" w:eastAsia="Times New Roman" w:hAnsi="Times New Roman"/>
          <w:sz w:val="18"/>
          <w:szCs w:val="18"/>
          <w:color w:val="363636"/>
        </w:rPr>
        <w:t>. As of Lease Termination, Tenant fully and unconditionally releases, cancels, annuls, rescinds, discharges, disclaims, waives and releases any and all rights and benefits Tenant may have under the Lease arising from and after Lease Termination.</w:t>
      </w:r>
    </w:p>
    <w:p>
      <w:pPr>
        <w:spacing w:after="0" w:line="161" w:lineRule="exact"/>
        <w:rPr>
          <w:rFonts w:ascii="Times New Roman" w:cs="Times New Roman" w:eastAsia="Times New Roman" w:hAnsi="Times New Roman"/>
          <w:sz w:val="18"/>
          <w:szCs w:val="18"/>
          <w:color w:val="3A3A3A"/>
        </w:rPr>
      </w:pPr>
    </w:p>
    <w:p>
      <w:pPr>
        <w:jc w:val="both"/>
        <w:ind w:firstLine="727"/>
        <w:spacing w:after="0" w:line="266" w:lineRule="auto"/>
        <w:tabs>
          <w:tab w:leader="none" w:pos="1077" w:val="left"/>
        </w:tabs>
        <w:numPr>
          <w:ilvl w:val="1"/>
          <w:numId w:val="7"/>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63636"/>
        </w:rPr>
        <w:t>Quitclaim</w:t>
      </w:r>
      <w:r>
        <w:rPr>
          <w:rFonts w:ascii="Times New Roman" w:cs="Times New Roman" w:eastAsia="Times New Roman" w:hAnsi="Times New Roman"/>
          <w:sz w:val="18"/>
          <w:szCs w:val="18"/>
          <w:color w:val="363636"/>
        </w:rPr>
        <w:t>. To the extent, if any, that the Lease gives Tenant any right, title or interest in or to the Premises, Tenant does hereby remise, release and quitclaim to Landlord such right, title or interest in or to the Premises as of the Lease Termination and shall execute and deliver to Landlord any documentation reasonably requested by Landlord to effect or document such remise, release and quitclaim.</w:t>
      </w:r>
    </w:p>
    <w:p>
      <w:pPr>
        <w:spacing w:after="0" w:line="175" w:lineRule="exact"/>
        <w:rPr>
          <w:rFonts w:ascii="Times New Roman" w:cs="Times New Roman" w:eastAsia="Times New Roman" w:hAnsi="Times New Roman"/>
          <w:sz w:val="18"/>
          <w:szCs w:val="18"/>
          <w:color w:val="3A3A3A"/>
        </w:rPr>
      </w:pPr>
    </w:p>
    <w:p>
      <w:pPr>
        <w:jc w:val="both"/>
        <w:ind w:firstLine="727"/>
        <w:spacing w:after="0" w:line="266" w:lineRule="auto"/>
        <w:tabs>
          <w:tab w:leader="none" w:pos="1090" w:val="left"/>
        </w:tabs>
        <w:numPr>
          <w:ilvl w:val="1"/>
          <w:numId w:val="7"/>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63636"/>
        </w:rPr>
        <w:t>Representation of Parties</w:t>
      </w:r>
      <w:r>
        <w:rPr>
          <w:rFonts w:ascii="Times New Roman" w:cs="Times New Roman" w:eastAsia="Times New Roman" w:hAnsi="Times New Roman"/>
          <w:sz w:val="18"/>
          <w:szCs w:val="18"/>
          <w:color w:val="363636"/>
        </w:rPr>
        <w:t>. Each party represents that, other than by Landlord in connection with the Transaction, it has not made any assignment, sublease, transfer, conveyance or other disposition of the Lease or any interest therein, nor made or entered into any agreement that would result in any mechanic's lien or other claim, demand, obligation, liability, action or cause of action arising from or with respect to the Lease or the Premises.</w:t>
      </w:r>
    </w:p>
    <w:p>
      <w:pPr>
        <w:spacing w:after="0" w:line="175" w:lineRule="exact"/>
        <w:rPr>
          <w:rFonts w:ascii="Times New Roman" w:cs="Times New Roman" w:eastAsia="Times New Roman" w:hAnsi="Times New Roman"/>
          <w:sz w:val="18"/>
          <w:szCs w:val="18"/>
          <w:color w:val="3A3A3A"/>
        </w:rPr>
      </w:pPr>
    </w:p>
    <w:p>
      <w:pPr>
        <w:jc w:val="both"/>
        <w:ind w:firstLine="727"/>
        <w:spacing w:after="0" w:line="256" w:lineRule="auto"/>
        <w:tabs>
          <w:tab w:leader="none" w:pos="1077" w:val="left"/>
        </w:tabs>
        <w:numPr>
          <w:ilvl w:val="1"/>
          <w:numId w:val="7"/>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63636"/>
        </w:rPr>
        <w:t>Attorneys' Fees</w:t>
      </w:r>
      <w:r>
        <w:rPr>
          <w:rFonts w:ascii="Times New Roman" w:cs="Times New Roman" w:eastAsia="Times New Roman" w:hAnsi="Times New Roman"/>
          <w:sz w:val="18"/>
          <w:szCs w:val="18"/>
          <w:color w:val="363636"/>
        </w:rPr>
        <w:t xml:space="preserve">. Except as otherwise expressly set forth in this Agreement, each party shall pay its own costs and expenses incurred in connection with this Agreement and such party's performance under this Agreement, </w:t>
      </w:r>
      <w:r>
        <w:rPr>
          <w:rFonts w:ascii="Times New Roman" w:cs="Times New Roman" w:eastAsia="Times New Roman" w:hAnsi="Times New Roman"/>
          <w:sz w:val="18"/>
          <w:szCs w:val="18"/>
          <w:u w:val="single" w:color="auto"/>
          <w:color w:val="363636"/>
        </w:rPr>
        <w:t>provided,</w:t>
      </w:r>
      <w:r>
        <w:rPr>
          <w:rFonts w:ascii="Times New Roman" w:cs="Times New Roman" w:eastAsia="Times New Roman" w:hAnsi="Times New Roman"/>
          <w:sz w:val="18"/>
          <w:szCs w:val="18"/>
          <w:color w:val="363636"/>
        </w:rPr>
        <w:t xml:space="preserve"> that if either party commences an action, proceeding, demand, claim, action, cause of action or suit against the other party arising out of or in connection with this Agreement, then the substantially prevailing party shall be reimbursed by the other party for all reasonable costs and expenses, including reasonable attorneys' fees and expenses, incurred by the substantially prevailing party in such action, proceeding, demand, claim, action, cause of action or suit, and in any appeal in connection therewith (regardless of whether the applicable action, proceeding, demand, claim, action, cause of action, suit or appeal is voluntarily withdrawn or dismissed).</w:t>
      </w:r>
    </w:p>
    <w:p>
      <w:pPr>
        <w:spacing w:after="0" w:line="187" w:lineRule="exact"/>
        <w:rPr>
          <w:rFonts w:ascii="Times New Roman" w:cs="Times New Roman" w:eastAsia="Times New Roman" w:hAnsi="Times New Roman"/>
          <w:sz w:val="18"/>
          <w:szCs w:val="18"/>
          <w:color w:val="3A3A3A"/>
        </w:rPr>
      </w:pPr>
    </w:p>
    <w:p>
      <w:pPr>
        <w:ind w:left="1080" w:hanging="353"/>
        <w:spacing w:after="0"/>
        <w:tabs>
          <w:tab w:leader="none" w:pos="1080" w:val="left"/>
        </w:tabs>
        <w:numPr>
          <w:ilvl w:val="1"/>
          <w:numId w:val="7"/>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63636"/>
        </w:rPr>
        <w:t>Integration</w:t>
      </w:r>
      <w:r>
        <w:rPr>
          <w:rFonts w:ascii="Times New Roman" w:cs="Times New Roman" w:eastAsia="Times New Roman" w:hAnsi="Times New Roman"/>
          <w:sz w:val="18"/>
          <w:szCs w:val="18"/>
          <w:color w:val="363636"/>
        </w:rPr>
        <w:t>. The terms of this Agreement are intended by the parties as a final, complete and exclusive expression of</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ACTIVE 699509317v5</w:t>
            </w:r>
          </w:p>
        </w:tc>
        <w:tc>
          <w:tcPr>
            <w:tcW w:w="7640" w:type="dxa"/>
            <w:vAlign w:val="bottom"/>
          </w:tcPr>
          <w:p>
            <w:pPr>
              <w:jc w:val="right"/>
              <w:ind w:right="5479"/>
              <w:spacing w:after="0"/>
              <w:rPr>
                <w:sz w:val="20"/>
                <w:szCs w:val="20"/>
                <w:color w:val="auto"/>
              </w:rPr>
            </w:pPr>
            <w:r>
              <w:rPr>
                <w:rFonts w:ascii="Arial" w:cs="Arial" w:eastAsia="Arial" w:hAnsi="Arial"/>
                <w:sz w:val="16"/>
                <w:szCs w:val="16"/>
                <w:color w:val="auto"/>
              </w:rPr>
              <w:t>2</w:t>
            </w:r>
          </w:p>
        </w:tc>
      </w:tr>
      <w:tr>
        <w:trPr>
          <w:trHeight w:val="967"/>
        </w:trPr>
        <w:tc>
          <w:tcPr>
            <w:tcW w:w="360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363636"/>
        </w:rPr>
        <w:t>their agreement with respect to the terms that are included in this Agreement, and may not be contradicted or supplemented by evidence of any other prior or contemporaneous agreement.</w:t>
      </w:r>
    </w:p>
    <w:p>
      <w:pPr>
        <w:spacing w:after="0" w:line="162" w:lineRule="exact"/>
        <w:rPr>
          <w:sz w:val="20"/>
          <w:szCs w:val="20"/>
          <w:color w:val="auto"/>
        </w:rPr>
      </w:pPr>
    </w:p>
    <w:p>
      <w:pPr>
        <w:jc w:val="both"/>
        <w:ind w:firstLine="727"/>
        <w:spacing w:after="0" w:line="266" w:lineRule="auto"/>
        <w:tabs>
          <w:tab w:leader="none" w:pos="1063" w:val="left"/>
        </w:tabs>
        <w:numPr>
          <w:ilvl w:val="0"/>
          <w:numId w:val="8"/>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63636"/>
        </w:rPr>
        <w:t>Successors and Assigns</w:t>
      </w:r>
      <w:r>
        <w:rPr>
          <w:rFonts w:ascii="Times New Roman" w:cs="Times New Roman" w:eastAsia="Times New Roman" w:hAnsi="Times New Roman"/>
          <w:sz w:val="18"/>
          <w:szCs w:val="18"/>
          <w:color w:val="363636"/>
        </w:rPr>
        <w:t>. Each of the covenants, conditions and agreements contained in this Agreement shall inure to the benefit of and shall apply to and be binding upon the parties hereto and their respective heirs, legatees, devisees, executors, administrators and permitted successors, assigns and sublessees. Nothing in this section shall in any way alter the provisions of the Lease restricting assignment and subletting.</w:t>
      </w:r>
    </w:p>
    <w:p>
      <w:pPr>
        <w:spacing w:after="0" w:line="175" w:lineRule="exact"/>
        <w:rPr>
          <w:rFonts w:ascii="Times New Roman" w:cs="Times New Roman" w:eastAsia="Times New Roman" w:hAnsi="Times New Roman"/>
          <w:sz w:val="18"/>
          <w:szCs w:val="18"/>
          <w:color w:val="3A3A3A"/>
        </w:rPr>
      </w:pPr>
    </w:p>
    <w:p>
      <w:pPr>
        <w:ind w:firstLine="727"/>
        <w:spacing w:after="0" w:line="282" w:lineRule="auto"/>
        <w:tabs>
          <w:tab w:leader="none" w:pos="1077" w:val="left"/>
        </w:tabs>
        <w:numPr>
          <w:ilvl w:val="0"/>
          <w:numId w:val="8"/>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63636"/>
        </w:rPr>
        <w:t>Governing Law</w:t>
      </w:r>
      <w:r>
        <w:rPr>
          <w:rFonts w:ascii="Times New Roman" w:cs="Times New Roman" w:eastAsia="Times New Roman" w:hAnsi="Times New Roman"/>
          <w:sz w:val="18"/>
          <w:szCs w:val="18"/>
          <w:color w:val="363636"/>
        </w:rPr>
        <w:t>. This Agreement shall be governed by and construed and enforced in accordance with the laws of the state in which the Premises are located, without regard to such state's conflict of law principles.</w:t>
      </w:r>
    </w:p>
    <w:p>
      <w:pPr>
        <w:spacing w:after="0" w:line="161" w:lineRule="exact"/>
        <w:rPr>
          <w:rFonts w:ascii="Times New Roman" w:cs="Times New Roman" w:eastAsia="Times New Roman" w:hAnsi="Times New Roman"/>
          <w:sz w:val="18"/>
          <w:szCs w:val="18"/>
          <w:color w:val="3A3A3A"/>
        </w:rPr>
      </w:pPr>
    </w:p>
    <w:p>
      <w:pPr>
        <w:jc w:val="both"/>
        <w:ind w:firstLine="727"/>
        <w:spacing w:after="0" w:line="261" w:lineRule="auto"/>
        <w:tabs>
          <w:tab w:leader="none" w:pos="1104" w:val="left"/>
        </w:tabs>
        <w:numPr>
          <w:ilvl w:val="0"/>
          <w:numId w:val="8"/>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63636"/>
        </w:rPr>
        <w:t>Authority</w:t>
      </w:r>
      <w:r>
        <w:rPr>
          <w:rFonts w:ascii="Times New Roman" w:cs="Times New Roman" w:eastAsia="Times New Roman" w:hAnsi="Times New Roman"/>
          <w:sz w:val="18"/>
          <w:szCs w:val="18"/>
          <w:color w:val="363636"/>
        </w:rPr>
        <w:t>. Each party guarantees, warrants and represents that the execution and consummation of this Agreement have been duly authorized by all appropriate company action, and the individual or individuals signing this Agreement have the power, authority and legal capacity to sign this Agreement on behalf of and to bind all entities, corporations, partnerships, limited liability companies, joint venturers or other organizations and entities on whose behalf such individual or individuals have signed.</w:t>
      </w:r>
    </w:p>
    <w:p>
      <w:pPr>
        <w:spacing w:after="0" w:line="179" w:lineRule="exact"/>
        <w:rPr>
          <w:rFonts w:ascii="Times New Roman" w:cs="Times New Roman" w:eastAsia="Times New Roman" w:hAnsi="Times New Roman"/>
          <w:sz w:val="18"/>
          <w:szCs w:val="18"/>
          <w:color w:val="3A3A3A"/>
        </w:rPr>
      </w:pPr>
    </w:p>
    <w:p>
      <w:pPr>
        <w:ind w:firstLine="727"/>
        <w:spacing w:after="0" w:line="282" w:lineRule="auto"/>
        <w:tabs>
          <w:tab w:leader="none" w:pos="1063" w:val="left"/>
        </w:tabs>
        <w:numPr>
          <w:ilvl w:val="0"/>
          <w:numId w:val="8"/>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63636"/>
        </w:rPr>
        <w:t>Counterparts</w:t>
      </w:r>
      <w:r>
        <w:rPr>
          <w:rFonts w:ascii="Times New Roman" w:cs="Times New Roman" w:eastAsia="Times New Roman" w:hAnsi="Times New Roman"/>
          <w:sz w:val="18"/>
          <w:szCs w:val="18"/>
          <w:color w:val="363636"/>
        </w:rPr>
        <w:t>. This Agreement may be executed in one or more counterparts, each of which, when taken together, shall constitute one and the same document.</w:t>
      </w:r>
    </w:p>
    <w:p>
      <w:pPr>
        <w:spacing w:after="0" w:line="161" w:lineRule="exact"/>
        <w:rPr>
          <w:rFonts w:ascii="Times New Roman" w:cs="Times New Roman" w:eastAsia="Times New Roman" w:hAnsi="Times New Roman"/>
          <w:sz w:val="18"/>
          <w:szCs w:val="18"/>
          <w:color w:val="3A3A3A"/>
        </w:rPr>
      </w:pPr>
    </w:p>
    <w:p>
      <w:pPr>
        <w:ind w:firstLine="727"/>
        <w:spacing w:after="0" w:line="282" w:lineRule="auto"/>
        <w:tabs>
          <w:tab w:leader="none" w:pos="1077" w:val="left"/>
        </w:tabs>
        <w:numPr>
          <w:ilvl w:val="0"/>
          <w:numId w:val="8"/>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63636"/>
        </w:rPr>
        <w:t>Amendment</w:t>
      </w:r>
      <w:r>
        <w:rPr>
          <w:rFonts w:ascii="Times New Roman" w:cs="Times New Roman" w:eastAsia="Times New Roman" w:hAnsi="Times New Roman"/>
          <w:sz w:val="18"/>
          <w:szCs w:val="18"/>
          <w:color w:val="363636"/>
        </w:rPr>
        <w:t>. No provision of this Agreement may be modified, amended or supplemented except by an agreement in writing signed by Landlord and Tenant.</w:t>
      </w:r>
    </w:p>
    <w:p>
      <w:pPr>
        <w:spacing w:after="0" w:line="161" w:lineRule="exact"/>
        <w:rPr>
          <w:rFonts w:ascii="Times New Roman" w:cs="Times New Roman" w:eastAsia="Times New Roman" w:hAnsi="Times New Roman"/>
          <w:sz w:val="18"/>
          <w:szCs w:val="18"/>
          <w:color w:val="3A3A3A"/>
        </w:rPr>
      </w:pPr>
    </w:p>
    <w:p>
      <w:pPr>
        <w:jc w:val="both"/>
        <w:ind w:firstLine="727"/>
        <w:spacing w:after="0" w:line="266" w:lineRule="auto"/>
        <w:tabs>
          <w:tab w:leader="none" w:pos="1077" w:val="left"/>
        </w:tabs>
        <w:numPr>
          <w:ilvl w:val="0"/>
          <w:numId w:val="8"/>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63636"/>
        </w:rPr>
        <w:t>Waiver of Jury Trial</w:t>
      </w:r>
      <w:r>
        <w:rPr>
          <w:rFonts w:ascii="Times New Roman" w:cs="Times New Roman" w:eastAsia="Times New Roman" w:hAnsi="Times New Roman"/>
          <w:sz w:val="18"/>
          <w:szCs w:val="18"/>
          <w:color w:val="363636"/>
        </w:rPr>
        <w:t>. To the extent permitted by applicable laws, the parties waive trial by jury in any action, proceeding or counterclaim brought by the other party hereto related to matters arising out of or in any way connected with this Agreement, Tenant's use or occupancy of the Premises or any claim of injury or damage related to this Agreement or the Premises.</w:t>
      </w:r>
    </w:p>
    <w:p>
      <w:pPr>
        <w:spacing w:after="0" w:line="175" w:lineRule="exact"/>
        <w:rPr>
          <w:rFonts w:ascii="Times New Roman" w:cs="Times New Roman" w:eastAsia="Times New Roman" w:hAnsi="Times New Roman"/>
          <w:sz w:val="18"/>
          <w:szCs w:val="18"/>
          <w:color w:val="3A3A3A"/>
        </w:rPr>
      </w:pPr>
    </w:p>
    <w:p>
      <w:pPr>
        <w:ind w:right="20" w:firstLine="727"/>
        <w:spacing w:after="0" w:line="282" w:lineRule="auto"/>
        <w:tabs>
          <w:tab w:leader="none" w:pos="1063" w:val="left"/>
        </w:tabs>
        <w:numPr>
          <w:ilvl w:val="0"/>
          <w:numId w:val="8"/>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63636"/>
        </w:rPr>
        <w:t>Facsimile and PDF Signatures</w:t>
      </w:r>
      <w:r>
        <w:rPr>
          <w:rFonts w:ascii="Times New Roman" w:cs="Times New Roman" w:eastAsia="Times New Roman" w:hAnsi="Times New Roman"/>
          <w:sz w:val="18"/>
          <w:szCs w:val="18"/>
          <w:color w:val="363636"/>
        </w:rPr>
        <w:t>. A facsimile or portable document format (PDF) signature on this Agreement shall be equivalent to, and have the same force and effect as, an original signature.</w:t>
      </w:r>
    </w:p>
    <w:p>
      <w:pPr>
        <w:spacing w:after="0" w:line="161" w:lineRule="exact"/>
        <w:rPr>
          <w:rFonts w:ascii="Times New Roman" w:cs="Times New Roman" w:eastAsia="Times New Roman" w:hAnsi="Times New Roman"/>
          <w:sz w:val="18"/>
          <w:szCs w:val="18"/>
          <w:color w:val="3A3A3A"/>
        </w:rPr>
      </w:pPr>
    </w:p>
    <w:p>
      <w:pPr>
        <w:ind w:right="20" w:firstLine="727"/>
        <w:spacing w:after="0" w:line="282" w:lineRule="auto"/>
        <w:tabs>
          <w:tab w:leader="none" w:pos="1063" w:val="left"/>
        </w:tabs>
        <w:numPr>
          <w:ilvl w:val="0"/>
          <w:numId w:val="8"/>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63636"/>
        </w:rPr>
        <w:t>Voluntary Agreement</w:t>
      </w:r>
      <w:r>
        <w:rPr>
          <w:rFonts w:ascii="Times New Roman" w:cs="Times New Roman" w:eastAsia="Times New Roman" w:hAnsi="Times New Roman"/>
          <w:sz w:val="18"/>
          <w:szCs w:val="18"/>
          <w:color w:val="363636"/>
        </w:rPr>
        <w:t>. The parties have read this Agreement and the mutual releases contained in it, and have freely and voluntarily entered into this Agreement.</w:t>
      </w:r>
    </w:p>
    <w:p>
      <w:pPr>
        <w:spacing w:after="0" w:line="161" w:lineRule="exact"/>
        <w:rPr>
          <w:rFonts w:ascii="Times New Roman" w:cs="Times New Roman" w:eastAsia="Times New Roman" w:hAnsi="Times New Roman"/>
          <w:sz w:val="18"/>
          <w:szCs w:val="18"/>
          <w:color w:val="3A3A3A"/>
        </w:rPr>
      </w:pPr>
    </w:p>
    <w:p>
      <w:pPr>
        <w:ind w:left="1080" w:hanging="353"/>
        <w:spacing w:after="0"/>
        <w:tabs>
          <w:tab w:leader="none" w:pos="1080" w:val="left"/>
        </w:tabs>
        <w:numPr>
          <w:ilvl w:val="0"/>
          <w:numId w:val="8"/>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u w:val="single" w:color="auto"/>
          <w:color w:val="363636"/>
        </w:rPr>
        <w:t>Defined Terms</w:t>
      </w:r>
      <w:r>
        <w:rPr>
          <w:rFonts w:ascii="Times New Roman" w:cs="Times New Roman" w:eastAsia="Times New Roman" w:hAnsi="Times New Roman"/>
          <w:sz w:val="18"/>
          <w:szCs w:val="18"/>
          <w:color w:val="363636"/>
        </w:rPr>
        <w:t>. Capitalized terms not otherwise defined herein shall have the meanings given them in the 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63636"/>
        </w:rPr>
        <w:t>[REMAINDER OF THIS PAGE INTENTIONALLY LEFT BLANK]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ACTIVE 699509317v5</w:t>
            </w:r>
          </w:p>
        </w:tc>
        <w:tc>
          <w:tcPr>
            <w:tcW w:w="7640" w:type="dxa"/>
            <w:vAlign w:val="bottom"/>
          </w:tcPr>
          <w:p>
            <w:pPr>
              <w:jc w:val="right"/>
              <w:ind w:right="5479"/>
              <w:spacing w:after="0"/>
              <w:rPr>
                <w:sz w:val="20"/>
                <w:szCs w:val="20"/>
                <w:color w:val="auto"/>
              </w:rPr>
            </w:pPr>
            <w:r>
              <w:rPr>
                <w:rFonts w:ascii="Arial" w:cs="Arial" w:eastAsia="Arial" w:hAnsi="Arial"/>
                <w:sz w:val="16"/>
                <w:szCs w:val="16"/>
                <w:color w:val="auto"/>
              </w:rPr>
              <w:t>3</w:t>
            </w:r>
          </w:p>
        </w:tc>
      </w:tr>
      <w:tr>
        <w:trPr>
          <w:trHeight w:val="968"/>
        </w:trPr>
        <w:tc>
          <w:tcPr>
            <w:tcW w:w="360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color w:val="3D3D3D"/>
        </w:rPr>
        <w:t>IN WITNESS WHEREOF, the parties have executed this Agreement as of the day hereinabove first written.</w:t>
      </w:r>
    </w:p>
    <w:p>
      <w:pPr>
        <w:spacing w:after="0" w:line="3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3D3D3D"/>
        </w:rPr>
        <w:t>LANDLORD</w:t>
      </w:r>
      <w:r>
        <w:rPr>
          <w:rFonts w:ascii="Times New Roman" w:cs="Times New Roman" w:eastAsia="Times New Roman" w:hAnsi="Times New Roman"/>
          <w:sz w:val="20"/>
          <w:szCs w:val="20"/>
          <w:color w:val="3D3D3D"/>
        </w:rPr>
        <w:t>:</w:t>
      </w:r>
    </w:p>
    <w:p>
      <w:pPr>
        <w:spacing w:after="0" w:line="28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3D3D3D"/>
        </w:rPr>
        <w:t>BMR-ONE RESEARCH WAY LLC,</w:t>
      </w:r>
    </w:p>
    <w:p>
      <w:pPr>
        <w:spacing w:after="0" w:line="2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3D3D3D"/>
        </w:rPr>
        <w:t>a Delaware limited liability company</w:t>
      </w:r>
    </w:p>
    <w:p>
      <w:pPr>
        <w:spacing w:after="0" w:line="200" w:lineRule="exact"/>
        <w:rPr>
          <w:sz w:val="20"/>
          <w:szCs w:val="20"/>
          <w:color w:val="auto"/>
        </w:rPr>
      </w:pPr>
    </w:p>
    <w:p>
      <w:pPr>
        <w:spacing w:after="0" w:line="338" w:lineRule="exact"/>
        <w:rPr>
          <w:sz w:val="20"/>
          <w:szCs w:val="20"/>
          <w:color w:val="auto"/>
        </w:rPr>
      </w:pPr>
    </w:p>
    <w:tbl>
      <w:tblPr>
        <w:tblLayout w:type="fixed"/>
        <w:tblInd w:w="1040" w:type="dxa"/>
        <w:tblCellMar>
          <w:top w:w="0" w:type="dxa"/>
          <w:left w:w="0" w:type="dxa"/>
          <w:bottom w:w="0" w:type="dxa"/>
          <w:right w:w="0" w:type="dxa"/>
        </w:tblCellMar>
      </w:tblPr>
      <w:tr>
        <w:trPr>
          <w:trHeight w:val="259"/>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3D3D3D"/>
              </w:rPr>
              <w:t>By:</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Colleen OConnor</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3D3D3D"/>
              </w:rPr>
              <w:t>Name:</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Colleen OConnor</w:t>
            </w:r>
          </w:p>
        </w:tc>
      </w:tr>
      <w:tr>
        <w:trPr>
          <w:trHeight w:val="250"/>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3D3D3D"/>
              </w:rPr>
              <w:t>Its:</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070707"/>
              </w:rPr>
              <w:t>EVP, Market Lead, East coast and U.K. Markets</w:t>
            </w:r>
          </w:p>
        </w:tc>
      </w:tr>
    </w:tbl>
    <w:p>
      <w:pPr>
        <w:spacing w:after="0" w:line="200" w:lineRule="exact"/>
        <w:rPr>
          <w:sz w:val="20"/>
          <w:szCs w:val="20"/>
          <w:color w:val="auto"/>
        </w:rPr>
      </w:pPr>
    </w:p>
    <w:p>
      <w:pPr>
        <w:spacing w:after="0" w:line="3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u w:val="single" w:color="auto"/>
          <w:color w:val="3D3D3D"/>
        </w:rPr>
        <w:t>TENANT</w:t>
      </w:r>
      <w:r>
        <w:rPr>
          <w:rFonts w:ascii="Times New Roman" w:cs="Times New Roman" w:eastAsia="Times New Roman" w:hAnsi="Times New Roman"/>
          <w:sz w:val="20"/>
          <w:szCs w:val="20"/>
          <w:color w:val="3D3D3D"/>
        </w:rPr>
        <w:t>:</w:t>
      </w:r>
    </w:p>
    <w:p>
      <w:pPr>
        <w:spacing w:after="0" w:line="28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3D3D3D"/>
        </w:rPr>
        <w:t>PMV PHARMACEUTICALS, INC.,</w:t>
      </w:r>
    </w:p>
    <w:p>
      <w:pPr>
        <w:spacing w:after="0" w:line="2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3D3D3D"/>
        </w:rPr>
        <w:t>a Delaware corporation</w:t>
      </w:r>
    </w:p>
    <w:p>
      <w:pPr>
        <w:spacing w:after="0" w:line="200" w:lineRule="exact"/>
        <w:rPr>
          <w:sz w:val="20"/>
          <w:szCs w:val="20"/>
          <w:color w:val="auto"/>
        </w:rPr>
      </w:pPr>
    </w:p>
    <w:p>
      <w:pPr>
        <w:spacing w:after="0" w:line="338" w:lineRule="exact"/>
        <w:rPr>
          <w:sz w:val="20"/>
          <w:szCs w:val="20"/>
          <w:color w:val="auto"/>
        </w:rPr>
      </w:pPr>
    </w:p>
    <w:tbl>
      <w:tblPr>
        <w:tblLayout w:type="fixed"/>
        <w:tblInd w:w="1040" w:type="dxa"/>
        <w:tblCellMar>
          <w:top w:w="0" w:type="dxa"/>
          <w:left w:w="0" w:type="dxa"/>
          <w:bottom w:w="0" w:type="dxa"/>
          <w:right w:w="0" w:type="dxa"/>
        </w:tblCellMar>
      </w:tblPr>
      <w:tr>
        <w:trPr>
          <w:trHeight w:val="259"/>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3D3D3D"/>
              </w:rPr>
              <w:t>By:</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color w:val="3D3D3D"/>
              </w:rPr>
              <w:t>David Mack, Ph.D.</w:t>
            </w:r>
          </w:p>
        </w:tc>
      </w:tr>
      <w:tr>
        <w:trPr>
          <w:trHeight w:val="247"/>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3D3D3D"/>
              </w:rPr>
              <w:t>Name:</w:t>
            </w:r>
          </w:p>
        </w:tc>
        <w:tc>
          <w:tcPr>
            <w:tcW w:w="4920" w:type="dxa"/>
            <w:vAlign w:val="bottom"/>
          </w:tcPr>
          <w:p>
            <w:pPr>
              <w:ind w:left="20"/>
              <w:spacing w:after="0"/>
              <w:rPr>
                <w:sz w:val="20"/>
                <w:szCs w:val="20"/>
                <w:color w:val="auto"/>
              </w:rPr>
            </w:pPr>
            <w:r>
              <w:rPr>
                <w:rFonts w:ascii="Times New Roman" w:cs="Times New Roman" w:eastAsia="Times New Roman" w:hAnsi="Times New Roman"/>
                <w:sz w:val="20"/>
                <w:szCs w:val="20"/>
                <w:color w:val="3D3D3D"/>
              </w:rPr>
              <w:t>David Mack, Ph.D.</w:t>
            </w:r>
          </w:p>
        </w:tc>
      </w:tr>
      <w:tr>
        <w:trPr>
          <w:trHeight w:val="258"/>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3D3D3D"/>
              </w:rPr>
              <w:t>Its:</w:t>
            </w:r>
          </w:p>
        </w:tc>
        <w:tc>
          <w:tcPr>
            <w:tcW w:w="4920" w:type="dxa"/>
            <w:vAlign w:val="bottom"/>
          </w:tcPr>
          <w:p>
            <w:pPr>
              <w:ind w:left="20"/>
              <w:spacing w:after="0"/>
              <w:rPr>
                <w:sz w:val="20"/>
                <w:szCs w:val="20"/>
                <w:color w:val="auto"/>
              </w:rPr>
            </w:pPr>
            <w:r>
              <w:rPr>
                <w:rFonts w:ascii="Times New Roman" w:cs="Times New Roman" w:eastAsia="Times New Roman" w:hAnsi="Times New Roman"/>
                <w:sz w:val="20"/>
                <w:szCs w:val="20"/>
                <w:color w:val="3D3D3D"/>
              </w:rPr>
              <w:t>President &amp;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ACTIVE 699509317v5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616585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40" w:top="1048" w:right="1259" w:bottom="1440" w:gutter="0" w:footer="0" w:header="0"/>
        </w:sectPr>
      </w:pPr>
    </w:p>
    <w:bookmarkStart w:id="7" w:name="page8"/>
    <w:bookmarkEnd w:id="7"/>
    <w:p>
      <w:pPr>
        <w:ind w:left="20"/>
        <w:spacing w:after="0"/>
        <w:rPr>
          <w:sz w:val="20"/>
          <w:szCs w:val="20"/>
          <w:color w:val="auto"/>
        </w:rPr>
      </w:pPr>
      <w:r>
        <w:rPr>
          <w:rFonts w:ascii="Arial" w:cs="Arial" w:eastAsia="Arial" w:hAnsi="Arial"/>
          <w:sz w:val="40"/>
          <w:szCs w:val="40"/>
          <w:b w:val="1"/>
          <w:bCs w:val="1"/>
          <w:color w:val="08669C"/>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727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727950"/>
                    </a:xfrm>
                    <a:prstGeom prst="rect">
                      <a:avLst/>
                    </a:prstGeom>
                    <a:noFill/>
                  </pic:spPr>
                </pic:pic>
              </a:graphicData>
            </a:graphic>
          </wp:anchor>
        </w:drawing>
        <w:t>1RW Lease Termination Agr</w:t>
      </w:r>
    </w:p>
    <w:p>
      <w:pPr>
        <w:spacing w:after="0" w:line="156" w:lineRule="exact"/>
        <w:rPr>
          <w:sz w:val="20"/>
          <w:szCs w:val="20"/>
          <w:color w:val="auto"/>
        </w:rPr>
      </w:pPr>
    </w:p>
    <w:tbl>
      <w:tblPr>
        <w:tblLayout w:type="fixed"/>
        <w:tblInd w:w="30" w:type="dxa"/>
        <w:tblCellMar>
          <w:top w:w="0" w:type="dxa"/>
          <w:left w:w="0" w:type="dxa"/>
          <w:bottom w:w="0" w:type="dxa"/>
          <w:right w:w="0" w:type="dxa"/>
        </w:tblCellMar>
      </w:tblPr>
      <w:tr>
        <w:trPr>
          <w:trHeight w:val="225"/>
        </w:trPr>
        <w:tc>
          <w:tcPr>
            <w:tcW w:w="1580" w:type="dxa"/>
            <w:vAlign w:val="bottom"/>
          </w:tcPr>
          <w:p>
            <w:pPr>
              <w:ind w:left="20"/>
              <w:spacing w:after="0"/>
              <w:rPr>
                <w:sz w:val="20"/>
                <w:szCs w:val="20"/>
                <w:color w:val="auto"/>
              </w:rPr>
            </w:pPr>
            <w:r>
              <w:rPr>
                <w:rFonts w:ascii="Arial" w:cs="Arial" w:eastAsia="Arial" w:hAnsi="Arial"/>
                <w:sz w:val="17"/>
                <w:szCs w:val="17"/>
                <w:color w:val="3F3F3F"/>
              </w:rPr>
              <w:t>Final Audit Report</w:t>
            </w:r>
          </w:p>
        </w:tc>
        <w:tc>
          <w:tcPr>
            <w:tcW w:w="8380" w:type="dxa"/>
            <w:vAlign w:val="bottom"/>
          </w:tcPr>
          <w:p>
            <w:pPr>
              <w:ind w:left="4860"/>
              <w:spacing w:after="0"/>
              <w:rPr>
                <w:sz w:val="20"/>
                <w:szCs w:val="20"/>
                <w:color w:val="auto"/>
              </w:rPr>
            </w:pPr>
            <w:r>
              <w:rPr>
                <w:rFonts w:ascii="Arial" w:cs="Arial" w:eastAsia="Arial" w:hAnsi="Arial"/>
                <w:sz w:val="17"/>
                <w:szCs w:val="17"/>
                <w:color w:val="3F3F3F"/>
              </w:rPr>
              <w:t>2024-08-01</w:t>
            </w:r>
          </w:p>
        </w:tc>
      </w:tr>
      <w:tr>
        <w:trPr>
          <w:trHeight w:val="122"/>
        </w:trPr>
        <w:tc>
          <w:tcPr>
            <w:tcW w:w="1580" w:type="dxa"/>
            <w:vAlign w:val="bottom"/>
            <w:tcBorders>
              <w:bottom w:val="single" w:sz="8" w:color="auto"/>
            </w:tcBorders>
          </w:tcPr>
          <w:p>
            <w:pPr>
              <w:spacing w:after="0"/>
              <w:rPr>
                <w:sz w:val="10"/>
                <w:szCs w:val="10"/>
                <w:color w:val="auto"/>
              </w:rPr>
            </w:pPr>
          </w:p>
        </w:tc>
        <w:tc>
          <w:tcPr>
            <w:tcW w:w="8380" w:type="dxa"/>
            <w:vAlign w:val="bottom"/>
            <w:tcBorders>
              <w:bottom w:val="single" w:sz="8" w:color="auto"/>
            </w:tcBorders>
          </w:tcPr>
          <w:p>
            <w:pPr>
              <w:spacing w:after="0"/>
              <w:rPr>
                <w:sz w:val="10"/>
                <w:szCs w:val="10"/>
                <w:color w:val="auto"/>
              </w:rPr>
            </w:pPr>
          </w:p>
        </w:tc>
      </w:tr>
      <w:tr>
        <w:trPr>
          <w:trHeight w:val="346"/>
        </w:trPr>
        <w:tc>
          <w:tcPr>
            <w:tcW w:w="1580" w:type="dxa"/>
            <w:vAlign w:val="bottom"/>
            <w:tcBorders>
              <w:left w:val="single" w:sz="8" w:color="auto"/>
            </w:tcBorders>
          </w:tcPr>
          <w:p>
            <w:pPr>
              <w:ind w:left="300"/>
              <w:spacing w:after="0"/>
              <w:rPr>
                <w:sz w:val="20"/>
                <w:szCs w:val="20"/>
                <w:color w:val="auto"/>
              </w:rPr>
            </w:pPr>
            <w:r>
              <w:rPr>
                <w:rFonts w:ascii="Arial" w:cs="Arial" w:eastAsia="Arial" w:hAnsi="Arial"/>
                <w:sz w:val="13"/>
                <w:szCs w:val="13"/>
                <w:color w:val="3F3F3F"/>
              </w:rPr>
              <w:t>Created:</w:t>
            </w:r>
          </w:p>
        </w:tc>
        <w:tc>
          <w:tcPr>
            <w:tcW w:w="838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3F3F3F"/>
              </w:rPr>
              <w:t>2024-08-01</w:t>
            </w:r>
          </w:p>
        </w:tc>
      </w:tr>
      <w:tr>
        <w:trPr>
          <w:trHeight w:val="342"/>
        </w:trPr>
        <w:tc>
          <w:tcPr>
            <w:tcW w:w="1580" w:type="dxa"/>
            <w:vAlign w:val="bottom"/>
            <w:tcBorders>
              <w:left w:val="single" w:sz="8" w:color="auto"/>
            </w:tcBorders>
          </w:tcPr>
          <w:p>
            <w:pPr>
              <w:ind w:left="300"/>
              <w:spacing w:after="0"/>
              <w:rPr>
                <w:sz w:val="20"/>
                <w:szCs w:val="20"/>
                <w:color w:val="auto"/>
              </w:rPr>
            </w:pPr>
            <w:r>
              <w:rPr>
                <w:rFonts w:ascii="Arial" w:cs="Arial" w:eastAsia="Arial" w:hAnsi="Arial"/>
                <w:sz w:val="14"/>
                <w:szCs w:val="14"/>
                <w:color w:val="3F3F3F"/>
              </w:rPr>
              <w:t>By:</w:t>
            </w:r>
          </w:p>
        </w:tc>
        <w:tc>
          <w:tcPr>
            <w:tcW w:w="838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3F3F3F"/>
              </w:rPr>
              <w:t xml:space="preserve">Robert Ticktin </w:t>
            </w:r>
            <w:r>
              <w:rPr>
                <w:rFonts w:ascii="Arial" w:cs="Arial" w:eastAsia="Arial" w:hAnsi="Arial"/>
                <w:sz w:val="13"/>
                <w:szCs w:val="13"/>
                <w:color w:val="000000"/>
              </w:rPr>
              <w:t>(rticktin@pmvpharma.com)</w:t>
            </w:r>
          </w:p>
        </w:tc>
      </w:tr>
      <w:tr>
        <w:trPr>
          <w:trHeight w:val="320"/>
        </w:trPr>
        <w:tc>
          <w:tcPr>
            <w:tcW w:w="1580" w:type="dxa"/>
            <w:vAlign w:val="bottom"/>
            <w:tcBorders>
              <w:left w:val="single" w:sz="8" w:color="auto"/>
            </w:tcBorders>
          </w:tcPr>
          <w:p>
            <w:pPr>
              <w:ind w:left="300"/>
              <w:spacing w:after="0"/>
              <w:rPr>
                <w:sz w:val="20"/>
                <w:szCs w:val="20"/>
                <w:color w:val="auto"/>
              </w:rPr>
            </w:pPr>
            <w:r>
              <w:rPr>
                <w:rFonts w:ascii="Arial" w:cs="Arial" w:eastAsia="Arial" w:hAnsi="Arial"/>
                <w:sz w:val="13"/>
                <w:szCs w:val="13"/>
                <w:color w:val="3F3F3F"/>
              </w:rPr>
              <w:t>Status:</w:t>
            </w:r>
          </w:p>
        </w:tc>
        <w:tc>
          <w:tcPr>
            <w:tcW w:w="838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3F3F3F"/>
              </w:rPr>
              <w:t>Signed</w:t>
            </w:r>
          </w:p>
        </w:tc>
      </w:tr>
      <w:tr>
        <w:trPr>
          <w:trHeight w:val="324"/>
        </w:trPr>
        <w:tc>
          <w:tcPr>
            <w:tcW w:w="1580" w:type="dxa"/>
            <w:vAlign w:val="bottom"/>
            <w:tcBorders>
              <w:left w:val="single" w:sz="8" w:color="auto"/>
            </w:tcBorders>
          </w:tcPr>
          <w:p>
            <w:pPr>
              <w:ind w:left="300"/>
              <w:spacing w:after="0"/>
              <w:rPr>
                <w:sz w:val="20"/>
                <w:szCs w:val="20"/>
                <w:color w:val="auto"/>
              </w:rPr>
            </w:pPr>
            <w:r>
              <w:rPr>
                <w:rFonts w:ascii="Arial" w:cs="Arial" w:eastAsia="Arial" w:hAnsi="Arial"/>
                <w:sz w:val="13"/>
                <w:szCs w:val="13"/>
                <w:color w:val="3F3F3F"/>
              </w:rPr>
              <w:t>Transaction ID:</w:t>
            </w:r>
          </w:p>
        </w:tc>
        <w:tc>
          <w:tcPr>
            <w:tcW w:w="838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3F3F3F"/>
              </w:rPr>
              <w:t>CBJCHBCAABAA7uu9RFk5TVdpRl_awWvqfM-slohp8pF2</w:t>
            </w:r>
          </w:p>
        </w:tc>
      </w:tr>
      <w:tr>
        <w:trPr>
          <w:trHeight w:val="147"/>
        </w:trPr>
        <w:tc>
          <w:tcPr>
            <w:tcW w:w="1580" w:type="dxa"/>
            <w:vAlign w:val="bottom"/>
            <w:tcBorders>
              <w:left w:val="single" w:sz="8" w:color="auto"/>
              <w:bottom w:val="single" w:sz="8" w:color="auto"/>
            </w:tcBorders>
          </w:tcPr>
          <w:p>
            <w:pPr>
              <w:spacing w:after="0"/>
              <w:rPr>
                <w:sz w:val="12"/>
                <w:szCs w:val="12"/>
                <w:color w:val="auto"/>
              </w:rPr>
            </w:pPr>
          </w:p>
        </w:tc>
        <w:tc>
          <w:tcPr>
            <w:tcW w:w="838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31"/>
          <w:szCs w:val="31"/>
          <w:b w:val="1"/>
          <w:bCs w:val="1"/>
          <w:color w:val="3F3F3F"/>
        </w:rPr>
        <w:t>"1RW Lease Termination Agr" History</w:t>
      </w:r>
    </w:p>
    <w:p>
      <w:pPr>
        <w:spacing w:after="0" w:line="262" w:lineRule="exact"/>
        <w:rPr>
          <w:sz w:val="20"/>
          <w:szCs w:val="20"/>
          <w:color w:val="auto"/>
        </w:rPr>
      </w:pPr>
    </w:p>
    <w:p>
      <w:pPr>
        <w:ind w:left="360"/>
        <w:spacing w:after="0"/>
        <w:rPr>
          <w:sz w:val="20"/>
          <w:szCs w:val="20"/>
          <w:color w:val="auto"/>
        </w:rPr>
      </w:pPr>
      <w:r>
        <w:rPr>
          <w:rFonts w:ascii="Arial" w:cs="Arial" w:eastAsia="Arial" w:hAnsi="Arial"/>
          <w:sz w:val="17"/>
          <w:szCs w:val="17"/>
          <w:color w:val="3F3F3F"/>
        </w:rPr>
        <w:t xml:space="preserve">Document created by Robert Ticktin </w:t>
      </w:r>
      <w:r>
        <w:rPr>
          <w:rFonts w:ascii="Arial" w:cs="Arial" w:eastAsia="Arial" w:hAnsi="Arial"/>
          <w:sz w:val="17"/>
          <w:szCs w:val="17"/>
          <w:color w:val="000000"/>
        </w:rPr>
        <w:t>(rticktin@pmvpharma.com)</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3"/>
          <w:szCs w:val="13"/>
          <w:color w:val="3F3F3F"/>
        </w:rPr>
        <w:t>2024-08-01 - 9:20:10 PM GMT</w:t>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17"/>
          <w:szCs w:val="17"/>
          <w:color w:val="3F3F3F"/>
        </w:rPr>
        <w:t xml:space="preserve">Document emailed to David Mack </w:t>
      </w:r>
      <w:r>
        <w:rPr>
          <w:rFonts w:ascii="Arial" w:cs="Arial" w:eastAsia="Arial" w:hAnsi="Arial"/>
          <w:sz w:val="17"/>
          <w:szCs w:val="17"/>
          <w:color w:val="000000"/>
        </w:rPr>
        <w:t>(dmack@pmvpharma.com)</w:t>
      </w:r>
      <w:r>
        <w:rPr>
          <w:rFonts w:ascii="Arial" w:cs="Arial" w:eastAsia="Arial" w:hAnsi="Arial"/>
          <w:sz w:val="17"/>
          <w:szCs w:val="17"/>
          <w:color w:val="3F3F3F"/>
        </w:rPr>
        <w:t xml:space="preserve"> for signature</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3"/>
          <w:szCs w:val="13"/>
          <w:color w:val="3F3F3F"/>
        </w:rPr>
        <w:t>2024-08-01 - 9:20:47 PM GMT</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7"/>
          <w:szCs w:val="17"/>
          <w:color w:val="3F3F3F"/>
        </w:rPr>
        <w:t xml:space="preserve">Email viewed by David Mack </w:t>
      </w:r>
      <w:r>
        <w:rPr>
          <w:rFonts w:ascii="Arial" w:cs="Arial" w:eastAsia="Arial" w:hAnsi="Arial"/>
          <w:sz w:val="17"/>
          <w:szCs w:val="17"/>
          <w:color w:val="000000"/>
        </w:rPr>
        <w:t>(dmack@pmvpharma.com)</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3"/>
          <w:szCs w:val="13"/>
          <w:color w:val="3F3F3F"/>
        </w:rPr>
        <w:t>2024-08-01 - 9:26:33 PM GMT</w:t>
      </w:r>
    </w:p>
    <w:p>
      <w:pPr>
        <w:spacing w:after="0" w:line="246" w:lineRule="exact"/>
        <w:rPr>
          <w:sz w:val="20"/>
          <w:szCs w:val="20"/>
          <w:color w:val="auto"/>
        </w:rPr>
      </w:pPr>
    </w:p>
    <w:p>
      <w:pPr>
        <w:ind w:left="360"/>
        <w:spacing w:after="0"/>
        <w:rPr>
          <w:sz w:val="20"/>
          <w:szCs w:val="20"/>
          <w:color w:val="auto"/>
        </w:rPr>
      </w:pPr>
      <w:r>
        <w:rPr>
          <w:rFonts w:ascii="Arial" w:cs="Arial" w:eastAsia="Arial" w:hAnsi="Arial"/>
          <w:sz w:val="17"/>
          <w:szCs w:val="17"/>
          <w:color w:val="3F3F3F"/>
        </w:rPr>
        <w:t xml:space="preserve">Document e-signed by David Mack </w:t>
      </w:r>
      <w:r>
        <w:rPr>
          <w:rFonts w:ascii="Arial" w:cs="Arial" w:eastAsia="Arial" w:hAnsi="Arial"/>
          <w:sz w:val="17"/>
          <w:szCs w:val="17"/>
          <w:color w:val="000000"/>
        </w:rPr>
        <w:t>(dmack@pmvpharma.com}</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3"/>
          <w:szCs w:val="13"/>
          <w:color w:val="3F3F3F"/>
        </w:rPr>
        <w:t>Signature Date: 2024-08-01 - 9:26:57 PM GMT - Time Source: server</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7"/>
          <w:szCs w:val="17"/>
          <w:color w:val="3F3F3F"/>
        </w:rPr>
        <w:t>Agreement completed.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3"/>
          <w:szCs w:val="13"/>
          <w:color w:val="3F3F3F"/>
        </w:rPr>
        <w:t>2024-08-01 - 9</w:t>
      </w:r>
      <w:r>
        <w:rPr>
          <w:rFonts w:ascii="Arial" w:cs="Arial" w:eastAsia="Arial" w:hAnsi="Arial"/>
          <w:sz w:val="13"/>
          <w:szCs w:val="13"/>
          <w:color w:val="A1A1A1"/>
        </w:rPr>
        <w:t>:</w:t>
      </w:r>
      <w:r>
        <w:rPr>
          <w:rFonts w:ascii="Arial" w:cs="Arial" w:eastAsia="Arial" w:hAnsi="Arial"/>
          <w:sz w:val="13"/>
          <w:szCs w:val="13"/>
          <w:color w:val="3F3F3F"/>
        </w:rPr>
        <w:t>26:57 PM 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3946525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880" w:top="1081" w:right="103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b w:val="1"/>
          <w:bCs w:val="1"/>
          <w:color w:val="auto"/>
        </w:rPr>
        <w:t>Signature:</w:t>
      </w:r>
    </w:p>
    <w:p>
      <w:pPr>
        <w:spacing w:after="0" w:line="104" w:lineRule="exact"/>
        <w:rPr>
          <w:sz w:val="20"/>
          <w:szCs w:val="20"/>
          <w:color w:val="auto"/>
        </w:rPr>
      </w:pPr>
    </w:p>
    <w:p>
      <w:pPr>
        <w:jc w:val="right"/>
        <w:ind w:right="6519"/>
        <w:spacing w:after="0"/>
        <w:rPr>
          <w:sz w:val="20"/>
          <w:szCs w:val="20"/>
          <w:color w:val="auto"/>
        </w:rPr>
      </w:pPr>
      <w:r>
        <w:rPr>
          <w:rFonts w:ascii="Calibri" w:cs="Calibri" w:eastAsia="Calibri" w:hAnsi="Calibri"/>
          <w:sz w:val="18"/>
          <w:szCs w:val="18"/>
          <w:b w:val="1"/>
          <w:bCs w:val="1"/>
          <w:color w:val="auto"/>
        </w:rPr>
        <w:t xml:space="preserve">Email:  </w:t>
      </w:r>
      <w:r>
        <w:rPr>
          <w:rFonts w:ascii="Calibri" w:cs="Calibri" w:eastAsia="Calibri" w:hAnsi="Calibri"/>
          <w:sz w:val="18"/>
          <w:szCs w:val="18"/>
          <w:color w:val="auto"/>
        </w:rPr>
        <w:t>colleen.oconnor@biomedrealty.com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619760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976"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5" w:lineRule="exact"/>
        <w:rPr>
          <w:sz w:val="20"/>
          <w:szCs w:val="20"/>
          <w:color w:val="auto"/>
        </w:rPr>
      </w:pPr>
    </w:p>
    <w:p>
      <w:pPr>
        <w:jc w:val="center"/>
        <w:ind w:right="40"/>
        <w:spacing w:after="0" w:line="272" w:lineRule="auto"/>
        <w:rPr>
          <w:sz w:val="20"/>
          <w:szCs w:val="20"/>
          <w:color w:val="auto"/>
        </w:rPr>
      </w:pPr>
      <w:r>
        <w:rPr>
          <w:rFonts w:ascii="Arial" w:cs="Arial" w:eastAsia="Arial" w:hAnsi="Arial"/>
          <w:sz w:val="22"/>
          <w:szCs w:val="22"/>
          <w:b w:val="1"/>
          <w:bCs w:val="1"/>
          <w:color w:val="auto"/>
        </w:rPr>
        <w:t>PMV Pharmaceuticals Reports Second Quarter 2024 Financial Results and Provides a Progress Update on PYNNACLE Clinical Trial</w:t>
      </w:r>
    </w:p>
    <w:p>
      <w:pPr>
        <w:spacing w:after="0" w:line="167" w:lineRule="exact"/>
        <w:rPr>
          <w:sz w:val="20"/>
          <w:szCs w:val="20"/>
          <w:color w:val="auto"/>
        </w:rPr>
      </w:pPr>
    </w:p>
    <w:p>
      <w:pPr>
        <w:jc w:val="both"/>
        <w:ind w:left="520" w:hanging="512"/>
        <w:spacing w:after="0" w:line="251" w:lineRule="auto"/>
        <w:tabs>
          <w:tab w:leader="none" w:pos="5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Enrollment on track in Phase 2 portion of PYNNACLE clinical trial evaluating rezatapopt as monotherapy in patients with TP53 Y220C and KRAS wild-type advanced solid tumors; more than 60% of sites activated across the U.S., Europe, and Asia-Pacific; interim analysis from Phase 2 monotherapy expected by mid-2025</w:t>
      </w:r>
    </w:p>
    <w:p>
      <w:pPr>
        <w:spacing w:after="0" w:line="200" w:lineRule="exact"/>
        <w:rPr>
          <w:rFonts w:ascii="Times New Roman" w:cs="Times New Roman" w:eastAsia="Times New Roman" w:hAnsi="Times New Roman"/>
          <w:sz w:val="18"/>
          <w:szCs w:val="18"/>
          <w:color w:val="auto"/>
        </w:rPr>
      </w:pPr>
    </w:p>
    <w:p>
      <w:pPr>
        <w:ind w:left="520" w:hanging="512"/>
        <w:spacing w:after="0" w:line="268" w:lineRule="auto"/>
        <w:tabs>
          <w:tab w:leader="none" w:pos="5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Eligibility criteria in ongoing Phase 1b rezatapopt and pembrolizumab combination arm of PYNNACLE trial adjusted to align with Phase 2 TP53 Y220C and KRAS wild-type patient population</w:t>
      </w:r>
    </w:p>
    <w:p>
      <w:pPr>
        <w:spacing w:after="0" w:line="144" w:lineRule="exact"/>
        <w:rPr>
          <w:rFonts w:ascii="Times New Roman" w:cs="Times New Roman" w:eastAsia="Times New Roman" w:hAnsi="Times New Roman"/>
          <w:sz w:val="18"/>
          <w:szCs w:val="18"/>
          <w:color w:val="auto"/>
        </w:rPr>
      </w:pPr>
    </w:p>
    <w:p>
      <w:pPr>
        <w:ind w:left="520" w:hanging="512"/>
        <w:spacing w:after="0" w:line="268" w:lineRule="auto"/>
        <w:tabs>
          <w:tab w:leader="none" w:pos="5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Cash, cash equivalents, and marketable securities of $212.9 million as of June 30, 2024, providing expected cash runway to end of 2026</w:t>
      </w:r>
    </w:p>
    <w:p>
      <w:pPr>
        <w:spacing w:after="0" w:line="26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August 8, 2024 (GLOBE NEWSWIRE) - PMV Pharmaceuticals, Inc. (Nasdaq: PMVP), a precision oncology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pioneering the discovery and development of small molecule, tumor-agnostic therapies targeting p53, today reported financial results for the second quarter ended June 30, 2024, and provided an update on the Phase 2 monotherapy and Phase 1b combination portions of the PYNNACLE clinical trial.</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encouraged by the pace of site activation and patient enrollment in the Phase 2 PYNNACLE trial,” said David Mack, Ph.D., President and Chief Executive Officer of PMV Pharma. “I would like to thank our team for their continued execution, and we look forward to providing an update on the PYNNACLE clinical trial next year.”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PYNNACLE Phase 2 Monotherapy Update</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Enrollment is on track in the Phase 2 monotherapy portion of the PYNNACLE clinical trial. The multicenter, single-arm, registrational, tumor-agnostic Phase 2 trial will assess rezatapopt as monotherapy at a dose of 2000 mg once-daily in patients with </w:t>
      </w:r>
      <w:r>
        <w:rPr>
          <w:rFonts w:ascii="Arial" w:cs="Arial" w:eastAsia="Arial" w:hAnsi="Arial"/>
          <w:sz w:val="18"/>
          <w:szCs w:val="18"/>
          <w:i w:val="1"/>
          <w:iCs w:val="1"/>
          <w:color w:val="auto"/>
        </w:rPr>
        <w:t>TP53</w:t>
      </w:r>
      <w:r>
        <w:rPr>
          <w:rFonts w:ascii="Arial" w:cs="Arial" w:eastAsia="Arial" w:hAnsi="Arial"/>
          <w:sz w:val="18"/>
          <w:szCs w:val="18"/>
          <w:color w:val="auto"/>
        </w:rPr>
        <w:t xml:space="preserve"> Y220C and </w:t>
      </w:r>
      <w:r>
        <w:rPr>
          <w:rFonts w:ascii="Arial" w:cs="Arial" w:eastAsia="Arial" w:hAnsi="Arial"/>
          <w:sz w:val="18"/>
          <w:szCs w:val="18"/>
          <w:i w:val="1"/>
          <w:iCs w:val="1"/>
          <w:color w:val="auto"/>
        </w:rPr>
        <w:t>KRAS</w:t>
      </w:r>
      <w:r>
        <w:rPr>
          <w:rFonts w:ascii="Arial" w:cs="Arial" w:eastAsia="Arial" w:hAnsi="Arial"/>
          <w:sz w:val="18"/>
          <w:szCs w:val="18"/>
          <w:color w:val="auto"/>
        </w:rPr>
        <w:t xml:space="preserve"> wild-type advanced solid tumors. The primary endpoint of the trial is overall response rate per blinded independent central review. The trial is designed to enroll 114 patients across five cohorts at approximately 60 sites.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Site activation is progressing well, with more than 60% of sites activated across the U.S., Europe, and Asia-Pacific. PMV plans to provide data from the interim analysis of the Phase 2 monotherapy portion of the PYNNACLE trial by mid-2025, and anticipates a New Drug Application (NDA) filing by the end of 2026.</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PYNNACLE Phase 1b Rezatapopt/Pembrolizumab Combination Update</w:t>
      </w:r>
    </w:p>
    <w:p>
      <w:pPr>
        <w:spacing w:after="0" w:line="10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 xml:space="preserve">Enrollment continues in the Phase 1b combination arm of the PYNNACLE trial evaluating rezatapopt in combination with pembrolizumab (200 mg every 3 weeks) in patients with advanced solid tumors harboring a </w:t>
      </w:r>
      <w:r>
        <w:rPr>
          <w:rFonts w:ascii="Arial" w:cs="Arial" w:eastAsia="Arial" w:hAnsi="Arial"/>
          <w:sz w:val="18"/>
          <w:szCs w:val="18"/>
          <w:i w:val="1"/>
          <w:iCs w:val="1"/>
          <w:color w:val="auto"/>
        </w:rPr>
        <w:t>TP53</w:t>
      </w:r>
      <w:r>
        <w:rPr>
          <w:rFonts w:ascii="Arial" w:cs="Arial" w:eastAsia="Arial" w:hAnsi="Arial"/>
          <w:sz w:val="18"/>
          <w:szCs w:val="18"/>
          <w:color w:val="auto"/>
        </w:rPr>
        <w:t xml:space="preserve"> Y220C mutation.</w:t>
      </w:r>
    </w:p>
    <w:p>
      <w:pPr>
        <w:spacing w:after="0" w:line="46" w:lineRule="exact"/>
        <w:rPr>
          <w:sz w:val="20"/>
          <w:szCs w:val="20"/>
          <w:color w:val="auto"/>
        </w:rPr>
      </w:pPr>
    </w:p>
    <w:p>
      <w:pPr>
        <w:jc w:val="both"/>
        <w:ind w:left="380" w:hanging="372"/>
        <w:spacing w:after="0" w:line="242"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Eight patients were initially enrolled at a dose of 1000 mg once-daily of rezatapopt and pembrolizumab. Three patients experienced a dose-limiting toxicity (DLT). Subsequently, per protocol, eight patients were enrolled at 500 mg once-daily rezatapopt and pembrolizumab. As no DLTs were observed at this dose level, the Safety Review Committee escalated the rezatapopt dose to 1000 mg once-daily. Enrollment is currently ongoing at this dose level for rezatapopt. The pembrolizumab dose has remained at 200 mg every three weeks throughout the course of the Phase 1b combination clinical trial. Further characterization to identify the optimal combination dose is in progress.</w:t>
      </w:r>
    </w:p>
    <w:p>
      <w:pPr>
        <w:spacing w:after="0" w:line="6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profile of the rezatapopt and pembrolizumab combination has been consistent with either agent as monotherapy.</w:t>
      </w:r>
    </w:p>
    <w:p>
      <w:pPr>
        <w:spacing w:after="0" w:line="116"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Based on a preliminary review of the Phase 1b combination data, </w:t>
      </w:r>
      <w:r>
        <w:rPr>
          <w:rFonts w:ascii="Arial" w:cs="Arial" w:eastAsia="Arial" w:hAnsi="Arial"/>
          <w:sz w:val="18"/>
          <w:szCs w:val="18"/>
          <w:i w:val="1"/>
          <w:iCs w:val="1"/>
          <w:color w:val="auto"/>
        </w:rPr>
        <w:t>KRAS</w:t>
      </w:r>
      <w:r>
        <w:rPr>
          <w:rFonts w:ascii="Arial" w:cs="Arial" w:eastAsia="Arial" w:hAnsi="Arial"/>
          <w:sz w:val="18"/>
          <w:szCs w:val="18"/>
          <w:color w:val="auto"/>
        </w:rPr>
        <w:t xml:space="preserve"> wild-type patients experienced more of a clinical benefit compared to patients with a </w:t>
      </w:r>
      <w:r>
        <w:rPr>
          <w:rFonts w:ascii="Arial" w:cs="Arial" w:eastAsia="Arial" w:hAnsi="Arial"/>
          <w:sz w:val="18"/>
          <w:szCs w:val="18"/>
          <w:i w:val="1"/>
          <w:iCs w:val="1"/>
          <w:color w:val="auto"/>
        </w:rPr>
        <w:t>KRAS</w:t>
      </w:r>
      <w:r>
        <w:rPr>
          <w:rFonts w:ascii="Arial" w:cs="Arial" w:eastAsia="Arial" w:hAnsi="Arial"/>
          <w:sz w:val="18"/>
          <w:szCs w:val="18"/>
          <w:color w:val="auto"/>
        </w:rPr>
        <w:t xml:space="preserve"> single-nucleotide variant (SNV). As a result, PMV has decided to exclude patients with a </w:t>
      </w:r>
      <w:r>
        <w:rPr>
          <w:rFonts w:ascii="Arial" w:cs="Arial" w:eastAsia="Arial" w:hAnsi="Arial"/>
          <w:sz w:val="18"/>
          <w:szCs w:val="18"/>
          <w:i w:val="1"/>
          <w:iCs w:val="1"/>
          <w:color w:val="auto"/>
        </w:rPr>
        <w:t>KRAS</w:t>
      </w:r>
      <w:r>
        <w:rPr>
          <w:rFonts w:ascii="Arial" w:cs="Arial" w:eastAsia="Arial" w:hAnsi="Arial"/>
          <w:sz w:val="18"/>
          <w:szCs w:val="18"/>
          <w:color w:val="auto"/>
        </w:rPr>
        <w:t xml:space="preserve"> SNV from the Phase 1b combination arm in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line="85" w:lineRule="exact"/>
        <w:rPr>
          <w:sz w:val="20"/>
          <w:szCs w:val="20"/>
          <w:color w:val="auto"/>
        </w:rPr>
      </w:pPr>
    </w:p>
    <w:p>
      <w:pPr>
        <w:ind w:left="380"/>
        <w:spacing w:after="0" w:line="271" w:lineRule="auto"/>
        <w:rPr>
          <w:sz w:val="20"/>
          <w:szCs w:val="20"/>
          <w:color w:val="auto"/>
        </w:rPr>
      </w:pPr>
      <w:r>
        <w:rPr>
          <w:rFonts w:ascii="Arial" w:cs="Arial" w:eastAsia="Arial" w:hAnsi="Arial"/>
          <w:sz w:val="18"/>
          <w:szCs w:val="18"/>
          <w:color w:val="auto"/>
        </w:rPr>
        <w:t>to maximize the opportunity for patients to benefit from rezatapopt in combination with pembrolizumab. This exclusion criterion is aligned with the Phase 2 monotherapy portion of the PYNNACLE clinical trial.</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2024 Financial Results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PMV Pharma ended the second quarter with $212.9 million in cash, cash equivalents, and marketable securities, compared to $213.1 million as of March 31, 2024. Net cash used in operations was $17.8 million for the six months ended June 30, 2024, compared to $27.9 million for the six months ended June 30, 2023.</w:t>
      </w:r>
    </w:p>
    <w:p>
      <w:pPr>
        <w:spacing w:after="0" w:line="61" w:lineRule="exact"/>
        <w:rPr>
          <w:sz w:val="20"/>
          <w:szCs w:val="20"/>
          <w:color w:val="auto"/>
        </w:rPr>
      </w:pPr>
    </w:p>
    <w:p>
      <w:pPr>
        <w:jc w:val="both"/>
        <w:ind w:left="520" w:hanging="512"/>
        <w:spacing w:after="0" w:line="252" w:lineRule="auto"/>
        <w:tabs>
          <w:tab w:leader="none" w:pos="5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Net loss for the quarter ended June 30, 2024, was $1.2 million compared to $17.4 million for the quarter ended June 30, 2023. The net loss reduction was a result of the company’s sale of its New Jersey accumulated net operating losses, with a corresponding $16.2 million income tax benefit.</w:t>
      </w:r>
    </w:p>
    <w:p>
      <w:pPr>
        <w:spacing w:after="0" w:line="62" w:lineRule="exact"/>
        <w:rPr>
          <w:rFonts w:ascii="Times New Roman" w:cs="Times New Roman" w:eastAsia="Times New Roman" w:hAnsi="Times New Roman"/>
          <w:sz w:val="18"/>
          <w:szCs w:val="18"/>
          <w:color w:val="auto"/>
        </w:rPr>
      </w:pPr>
    </w:p>
    <w:p>
      <w:pPr>
        <w:jc w:val="both"/>
        <w:ind w:left="520" w:right="20" w:hanging="512"/>
        <w:spacing w:after="0" w:line="252" w:lineRule="auto"/>
        <w:tabs>
          <w:tab w:leader="none" w:pos="5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$14.6 million for the quarter ended June 30, 2024, compared to $13.8 million for the quarter ended June 30, 2023. The increase in R&amp;D expenses was primarily related to increased contractual research organization costs.</w:t>
      </w:r>
    </w:p>
    <w:p>
      <w:pPr>
        <w:spacing w:after="0" w:line="62" w:lineRule="exact"/>
        <w:rPr>
          <w:rFonts w:ascii="Times New Roman" w:cs="Times New Roman" w:eastAsia="Times New Roman" w:hAnsi="Times New Roman"/>
          <w:sz w:val="18"/>
          <w:szCs w:val="18"/>
          <w:color w:val="auto"/>
        </w:rPr>
      </w:pPr>
    </w:p>
    <w:p>
      <w:pPr>
        <w:jc w:val="both"/>
        <w:ind w:left="520" w:hanging="512"/>
        <w:spacing w:after="0" w:line="252" w:lineRule="auto"/>
        <w:tabs>
          <w:tab w:leader="none" w:pos="5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General and administrative (G&amp;A) expenses were $5.5 million for the quarter ended June 30, 2024, compared to $6.3 million for the quarter ended June 30, 2023. The decrease in G&amp;A expenses was primarily due to reduced spend for facility and operational expenses.</w:t>
      </w:r>
    </w:p>
    <w:p>
      <w:pPr>
        <w:spacing w:after="0" w:line="27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KEYTRUDA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(pembrolizumab) is a registered trademark of Merck Sharp &amp; Dohme LLC., a subsidiary of Merck &amp; Co., Inc., Rahway, NJ, USA.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Rezatapopt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Rezatapopt (PC14586) is a first-in-class, small molecule, p53 reactivator designed to selectively bind to the pocket in the p53 Y220C mutant protein, restoring the wild-type tumor-suppressor function. The U.S. Food and Drug Administration (FDA) granted Fast Track designation to rezatapopt for the treatment of patients with locally advanced or metastatic solid tumors with a TP53 Y220C mutation.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PYNNACLE Clinical Trial</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ongoing Phase 1/2 PYNNACLE clinical trial is evaluating rezatapopt in patients with advanced solid tumors harboring a TP53 Y220C mutation. The primary objective of the Phase 1 portion of the trial was to determine the maximum tolerated dose and recommended Phase 2 dose (RP2D) of rezatapopt when administered orally to patients. Safety, tolerability, pharmacokinetics, and effects on biomarkers were also assessed. In Phase 1, an overall response rate of 38% (6/16 evaluable patients) was achieved at the RP2D of 2000 mg daily reflective of the Phase 2 patient population (TP53 Y220C and KRAS wild-type). The median duration of response was seven months. The Phase 2 monotherapy portion is a registrational, single-arm, expansion basket clinical trial comprising five cohorts (ovarian, lung, breast, and endometrial cancers, and other solid tumors) with the primary objective of evaluating the efficacy of rezatapopt at the RP2D in patients with TP53 Y220C and KRAS wild-type advanced solid tumors.</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rezatapopt in combination with pembrolizumab is being evaluated in the Phase 1b portion of the Phase 1/2 PYNNACLE trial. The primary objective of the Phase 1b portion of the trial is to determine the maximum tolerated dose and RP2D of rezatapopt when administered with pembrolizumab.</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the Phase 1/2 PYNNACLE clinical trial, refer to www.clinicaltrials.gov (NCT trial identifier NCT04585750).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PMV Pharma</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PMV Pharma is a precision oncology company pioneering the discovery and development of small molecule, tumor-agnostic therapies targeting p53. TP53 mutations are found in approximately half of all cancers. Our co-founder, Dr. Arnold Levine, established the field of p53 biology when he discovered the p53 protein in 1979. Bringing together leaders in the field to utilize over four decades of p53 biology, PMV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Pharma combines unique biological understanding with a pharmaceutical development focus. PMV Pharma is headquartered in Princeton, New Jersey. For more information, please visit www.pmvpharma.com.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 -looking statements. Such statements include, but are not limited to, statements regarding the Company’s future plans or expectations for rezatapopt, including our ability to obtain approval as a treatment option on a tumor-agnostic basis and as a monotherapy and in combination with pembrolizumab, expectations regarding timing for interim data readouts and success of the Phase 1b and Phase 2 portions of the PYNNACLE trial, our expectation and timing of NDA filing(s) with the FDA for the current clinical trial for rezatapopt, expectations regarding eligibility criteria of our clinical trials, the current and future enrollment of patients in our clinical trials, the timing, progress and activation of sites for our clinical trials, the results and preliminary data of our clinical trials the timing and expectations with respect to our projected cash runway.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 clinical stage company, the potential for clinical trials of rezatapopt or any future clinical trials of other product candidates to differ from preclinical, preliminary or expected results, the Company’s ability to fund operations, and the impact that a global pandemic, other public health emergencies or geopolitical tensions or conflicts may have on the Company’s clinical trials, supply chain, and operations, as well as those risks and uncertainties set forth in the section entitled “Risk Factors” in the Company’s Annual Report on Form 10-K, filed with the Securities and Exchange Commission (the “SEC”) on February 29, 2024, and the Company’s Quarterly Report on Form 10-Q for the three months ended March 31, 2024, filed with the SEC on May 9, 2024,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3482975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2200" w:type="dxa"/>
            <w:vAlign w:val="bottom"/>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4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Pr>
          <w:p>
            <w:pPr>
              <w:spacing w:after="0"/>
              <w:rPr>
                <w:sz w:val="16"/>
                <w:szCs w:val="16"/>
                <w:color w:val="auto"/>
              </w:rPr>
            </w:pPr>
          </w:p>
        </w:tc>
      </w:tr>
      <w:tr>
        <w:trPr>
          <w:trHeight w:val="243"/>
        </w:trPr>
        <w:tc>
          <w:tcPr>
            <w:tcW w:w="69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top w:val="single" w:sz="8" w:color="auto"/>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CFF0FC"/>
            </w:tcBorders>
            <w:shd w:val="clear" w:color="auto" w:fill="CFF0FC"/>
          </w:tcPr>
          <w:p>
            <w:pPr>
              <w:spacing w:after="0"/>
              <w:rPr>
                <w:sz w:val="21"/>
                <w:szCs w:val="21"/>
                <w:color w:val="auto"/>
              </w:rPr>
            </w:pPr>
          </w:p>
        </w:tc>
      </w:tr>
      <w:tr>
        <w:trPr>
          <w:trHeight w:val="234"/>
        </w:trPr>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6"/>
        </w:trPr>
        <w:tc>
          <w:tcPr>
            <w:tcW w:w="6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70"/>
        </w:trPr>
        <w:tc>
          <w:tcPr>
            <w:tcW w:w="6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48,526</w:t>
            </w:r>
          </w:p>
        </w:tc>
        <w:tc>
          <w:tcPr>
            <w:tcW w:w="164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37,706</w:t>
            </w:r>
          </w:p>
        </w:tc>
      </w:tr>
      <w:tr>
        <w:trPr>
          <w:trHeight w:val="263"/>
        </w:trPr>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66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822</w:t>
            </w: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822</w:t>
            </w:r>
          </w:p>
        </w:tc>
      </w:tr>
      <w:tr>
        <w:trPr>
          <w:trHeight w:val="277"/>
        </w:trPr>
        <w:tc>
          <w:tcPr>
            <w:tcW w:w="6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6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164,393</w:t>
            </w:r>
          </w:p>
        </w:tc>
        <w:tc>
          <w:tcPr>
            <w:tcW w:w="280" w:type="dxa"/>
            <w:vAlign w:val="bottom"/>
            <w:shd w:val="clear" w:color="auto" w:fill="CFF0FC"/>
          </w:tcPr>
          <w:p>
            <w:pPr>
              <w:spacing w:after="0"/>
              <w:rPr>
                <w:sz w:val="24"/>
                <w:szCs w:val="24"/>
                <w:color w:val="auto"/>
              </w:rPr>
            </w:pPr>
          </w:p>
        </w:tc>
        <w:tc>
          <w:tcPr>
            <w:tcW w:w="136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165,351</w:t>
            </w:r>
          </w:p>
        </w:tc>
      </w:tr>
      <w:tr>
        <w:trPr>
          <w:trHeight w:val="263"/>
        </w:trPr>
        <w:tc>
          <w:tcPr>
            <w:tcW w:w="692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5,048</w:t>
            </w:r>
          </w:p>
        </w:tc>
        <w:tc>
          <w:tcPr>
            <w:tcW w:w="280" w:type="dxa"/>
            <w:vAlign w:val="bottom"/>
            <w:tcBorders>
              <w:bottom w:val="single" w:sz="8" w:color="CFF0FC"/>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3,530</w:t>
            </w:r>
          </w:p>
        </w:tc>
      </w:tr>
      <w:tr>
        <w:trPr>
          <w:trHeight w:val="257"/>
        </w:trPr>
        <w:tc>
          <w:tcPr>
            <w:tcW w:w="6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66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218,789</w:t>
            </w:r>
          </w:p>
        </w:tc>
        <w:tc>
          <w:tcPr>
            <w:tcW w:w="28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207,409</w:t>
            </w:r>
          </w:p>
        </w:tc>
      </w:tr>
      <w:tr>
        <w:trPr>
          <w:trHeight w:val="263"/>
        </w:trPr>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6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10,530</w:t>
            </w: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10,666</w:t>
            </w:r>
          </w:p>
        </w:tc>
      </w:tr>
      <w:tr>
        <w:trPr>
          <w:trHeight w:val="277"/>
        </w:trPr>
        <w:tc>
          <w:tcPr>
            <w:tcW w:w="6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6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4"/>
                <w:szCs w:val="24"/>
                <w:color w:val="auto"/>
              </w:rPr>
            </w:pPr>
          </w:p>
        </w:tc>
        <w:tc>
          <w:tcPr>
            <w:tcW w:w="136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25,505</w:t>
            </w:r>
          </w:p>
        </w:tc>
      </w:tr>
      <w:tr>
        <w:trPr>
          <w:trHeight w:val="263"/>
        </w:trPr>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66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8,038</w:t>
            </w: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8,382</w:t>
            </w:r>
          </w:p>
        </w:tc>
      </w:tr>
      <w:tr>
        <w:trPr>
          <w:trHeight w:val="277"/>
        </w:trPr>
        <w:tc>
          <w:tcPr>
            <w:tcW w:w="6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66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190</w:t>
            </w:r>
          </w:p>
        </w:tc>
      </w:tr>
      <w:tr>
        <w:trPr>
          <w:trHeight w:val="232"/>
        </w:trPr>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237,539</w:t>
            </w: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252,152</w:t>
            </w:r>
          </w:p>
        </w:tc>
      </w:tr>
      <w:tr>
        <w:trPr>
          <w:trHeight w:val="20"/>
        </w:trPr>
        <w:tc>
          <w:tcPr>
            <w:tcW w:w="6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5"/>
        </w:trPr>
        <w:tc>
          <w:tcPr>
            <w:tcW w:w="69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r>
      <w:tr>
        <w:trPr>
          <w:trHeight w:val="234"/>
        </w:trPr>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6"/>
        </w:trPr>
        <w:tc>
          <w:tcPr>
            <w:tcW w:w="6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70"/>
        </w:trPr>
        <w:tc>
          <w:tcPr>
            <w:tcW w:w="6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4,533</w:t>
            </w:r>
          </w:p>
        </w:tc>
        <w:tc>
          <w:tcPr>
            <w:tcW w:w="164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3,237</w:t>
            </w:r>
          </w:p>
        </w:tc>
      </w:tr>
      <w:tr>
        <w:trPr>
          <w:trHeight w:val="263"/>
        </w:trPr>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66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5,701</w:t>
            </w: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9,940</w:t>
            </w:r>
          </w:p>
        </w:tc>
      </w:tr>
      <w:tr>
        <w:trPr>
          <w:trHeight w:val="277"/>
        </w:trPr>
        <w:tc>
          <w:tcPr>
            <w:tcW w:w="6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66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1,151</w:t>
            </w:r>
          </w:p>
        </w:tc>
        <w:tc>
          <w:tcPr>
            <w:tcW w:w="280" w:type="dxa"/>
            <w:vAlign w:val="bottom"/>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852</w:t>
            </w:r>
          </w:p>
        </w:tc>
      </w:tr>
      <w:tr>
        <w:trPr>
          <w:trHeight w:val="243"/>
        </w:trPr>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11,385</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14,029</w:t>
            </w:r>
          </w:p>
        </w:tc>
      </w:tr>
      <w:tr>
        <w:trPr>
          <w:trHeight w:val="277"/>
        </w:trPr>
        <w:tc>
          <w:tcPr>
            <w:tcW w:w="6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6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11,839</w:t>
            </w:r>
          </w:p>
        </w:tc>
        <w:tc>
          <w:tcPr>
            <w:tcW w:w="280" w:type="dxa"/>
            <w:vAlign w:val="bottom"/>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12,434</w:t>
            </w:r>
          </w:p>
        </w:tc>
      </w:tr>
      <w:tr>
        <w:trPr>
          <w:trHeight w:val="232"/>
        </w:trPr>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6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23,224</w:t>
            </w:r>
          </w:p>
        </w:tc>
        <w:tc>
          <w:tcPr>
            <w:tcW w:w="2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26,463</w:t>
            </w:r>
          </w:p>
        </w:tc>
      </w:tr>
      <w:tr>
        <w:trPr>
          <w:trHeight w:val="232"/>
        </w:trPr>
        <w:tc>
          <w:tcPr>
            <w:tcW w:w="6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Stockholders’ equity:</w:t>
            </w:r>
          </w:p>
        </w:tc>
        <w:tc>
          <w:tcPr>
            <w:tcW w:w="6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r>
      <w:tr>
        <w:trPr>
          <w:trHeight w:val="36"/>
        </w:trPr>
        <w:tc>
          <w:tcPr>
            <w:tcW w:w="692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118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136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-2588260</wp:posOffset>
            </wp:positionV>
            <wp:extent cx="179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5547360</wp:posOffset>
            </wp:positionH>
            <wp:positionV relativeFrom="paragraph">
              <wp:posOffset>-354965</wp:posOffset>
            </wp:positionV>
            <wp:extent cx="205105"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5105" cy="1968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36" w:lineRule="exact"/>
        <w:rPr>
          <w:sz w:val="20"/>
          <w:szCs w:val="20"/>
          <w:color w:val="auto"/>
        </w:rPr>
      </w:pPr>
    </w:p>
    <w:p>
      <w:pPr>
        <w:ind w:left="100" w:right="2560"/>
        <w:spacing w:after="0" w:line="297" w:lineRule="auto"/>
        <w:rPr>
          <w:sz w:val="20"/>
          <w:szCs w:val="20"/>
          <w:color w:val="auto"/>
        </w:rPr>
      </w:pPr>
      <w:r>
        <w:rPr>
          <w:rFonts w:ascii="Times New Roman" w:cs="Times New Roman" w:eastAsia="Times New Roman" w:hAnsi="Times New Roman"/>
          <w:sz w:val="18"/>
          <w:szCs w:val="18"/>
          <w:color w:val="auto"/>
        </w:rPr>
        <w:t>Accumulated other comprehensive (loss) income Total stockholders’ equity</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540,986</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535,468</w:t>
            </w:r>
          </w:p>
        </w:tc>
      </w:tr>
      <w:tr>
        <w:trPr>
          <w:trHeight w:val="238"/>
        </w:trPr>
        <w:tc>
          <w:tcPr>
            <w:tcW w:w="8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(326,486)</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(310,003)</w:t>
            </w:r>
          </w:p>
        </w:tc>
      </w:tr>
      <w:tr>
        <w:trPr>
          <w:trHeight w:val="250"/>
        </w:trPr>
        <w:tc>
          <w:tcPr>
            <w:tcW w:w="8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224</w:t>
            </w:r>
          </w:p>
        </w:tc>
      </w:tr>
      <w:tr>
        <w:trPr>
          <w:trHeight w:val="239"/>
        </w:trPr>
        <w:tc>
          <w:tcPr>
            <w:tcW w:w="8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214,315</w:t>
            </w:r>
          </w:p>
        </w:tc>
        <w:tc>
          <w:tcPr>
            <w:tcW w:w="28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225,689</w:t>
            </w:r>
          </w:p>
        </w:tc>
      </w:tr>
      <w:tr>
        <w:trPr>
          <w:trHeight w:val="288"/>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237,539</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252,152</w:t>
            </w: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-4388485</wp:posOffset>
            </wp:positionH>
            <wp:positionV relativeFrom="paragraph">
              <wp:posOffset>-693420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-397510</wp:posOffset>
            </wp:positionV>
            <wp:extent cx="7132320"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2713355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200" w:space="720"/>
            <w:col w:w="4320"/>
          </w:cols>
          <w:pgMar w:left="320" w:top="1440"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3320" w:type="dxa"/>
            <w:vAlign w:val="bottom"/>
            <w:tcBorders>
              <w:bottom w:val="single" w:sz="8" w:color="auto"/>
            </w:tcBorders>
            <w:gridSpan w:val="5"/>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3"/>
        </w:trPr>
        <w:tc>
          <w:tcPr>
            <w:tcW w:w="4460" w:type="dxa"/>
            <w:vAlign w:val="bottom"/>
          </w:tcPr>
          <w:p>
            <w:pPr>
              <w:spacing w:after="0"/>
              <w:rPr>
                <w:sz w:val="19"/>
                <w:szCs w:val="19"/>
                <w:color w:val="auto"/>
              </w:rPr>
            </w:pPr>
          </w:p>
        </w:tc>
        <w:tc>
          <w:tcPr>
            <w:tcW w:w="152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80" w:type="dxa"/>
            <w:vAlign w:val="bottom"/>
            <w:gridSpan w:val="3"/>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r>
      <w:tr>
        <w:trPr>
          <w:trHeight w:val="239"/>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$ 14,628</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$ 13,843</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8"/>
              </w:rPr>
              <w:t>$ 27,813</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$ 28,916</w:t>
            </w:r>
          </w:p>
        </w:tc>
      </w:tr>
      <w:tr>
        <w:trPr>
          <w:trHeight w:val="243"/>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5,542</w:t>
            </w:r>
          </w:p>
        </w:tc>
        <w:tc>
          <w:tcPr>
            <w:tcW w:w="300" w:type="dxa"/>
            <w:vAlign w:val="bottom"/>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6,279</w:t>
            </w:r>
          </w:p>
        </w:tc>
        <w:tc>
          <w:tcPr>
            <w:tcW w:w="280" w:type="dxa"/>
            <w:vAlign w:val="bottom"/>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10,578</w:t>
            </w:r>
          </w:p>
        </w:tc>
        <w:tc>
          <w:tcPr>
            <w:tcW w:w="260" w:type="dxa"/>
            <w:vAlign w:val="bottom"/>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12,686</w:t>
            </w:r>
          </w:p>
        </w:tc>
      </w:tr>
      <w:tr>
        <w:trPr>
          <w:trHeight w:val="241"/>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20,170</w:t>
            </w:r>
          </w:p>
        </w:tc>
        <w:tc>
          <w:tcPr>
            <w:tcW w:w="3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20,122</w:t>
            </w:r>
          </w:p>
        </w:tc>
        <w:tc>
          <w:tcPr>
            <w:tcW w:w="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38,391</w:t>
            </w:r>
          </w:p>
        </w:tc>
        <w:tc>
          <w:tcPr>
            <w:tcW w:w="2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41,602</w:t>
            </w:r>
          </w:p>
        </w:tc>
      </w:tr>
      <w:tr>
        <w:trPr>
          <w:trHeight w:val="237"/>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from operations</w:t>
            </w:r>
          </w:p>
        </w:tc>
        <w:tc>
          <w:tcPr>
            <w:tcW w:w="8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(20,170)</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(20,122)</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(38,391)</w:t>
            </w: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(41,602)</w:t>
            </w:r>
          </w:p>
        </w:tc>
      </w:tr>
      <w:tr>
        <w:trPr>
          <w:trHeight w:val="239"/>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7"/>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 net</w:t>
            </w:r>
          </w:p>
        </w:tc>
        <w:tc>
          <w:tcPr>
            <w:tcW w:w="8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2,801</w:t>
            </w: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2,696</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5,753</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5,022</w:t>
            </w:r>
          </w:p>
        </w:tc>
      </w:tr>
      <w:tr>
        <w:trPr>
          <w:trHeight w:val="239"/>
        </w:trPr>
        <w:tc>
          <w:tcPr>
            <w:tcW w:w="446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CFF0FC"/>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r>
      <w:tr>
        <w:trPr>
          <w:trHeight w:val="241"/>
        </w:trPr>
        <w:tc>
          <w:tcPr>
            <w:tcW w:w="44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other income</w:t>
            </w:r>
          </w:p>
        </w:tc>
        <w:tc>
          <w:tcPr>
            <w:tcW w:w="8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2,784</w:t>
            </w:r>
          </w:p>
        </w:tc>
        <w:tc>
          <w:tcPr>
            <w:tcW w:w="30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2,690</w:t>
            </w:r>
          </w:p>
        </w:tc>
        <w:tc>
          <w:tcPr>
            <w:tcW w:w="2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5,735</w:t>
            </w:r>
          </w:p>
        </w:tc>
        <w:tc>
          <w:tcPr>
            <w:tcW w:w="2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5,042</w:t>
            </w:r>
          </w:p>
        </w:tc>
      </w:tr>
      <w:tr>
        <w:trPr>
          <w:trHeight w:val="232"/>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8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(17,386)</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(17,432)</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(32,656)</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(36,560)</w:t>
            </w:r>
          </w:p>
        </w:tc>
      </w:tr>
      <w:tr>
        <w:trPr>
          <w:trHeight w:val="247"/>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8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(16,173)</w:t>
            </w:r>
          </w:p>
        </w:tc>
        <w:tc>
          <w:tcPr>
            <w:tcW w:w="300" w:type="dxa"/>
            <w:vAlign w:val="bottom"/>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(16,173)</w:t>
            </w:r>
          </w:p>
        </w:tc>
        <w:tc>
          <w:tcPr>
            <w:tcW w:w="260" w:type="dxa"/>
            <w:vAlign w:val="bottom"/>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r>
      <w:tr>
        <w:trPr>
          <w:trHeight w:val="232"/>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(17,436)</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(16,483)</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(36,564)</w:t>
            </w:r>
          </w:p>
        </w:tc>
      </w:tr>
      <w:tr>
        <w:trPr>
          <w:trHeight w:val="215"/>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(loss) gain on available for sale</w:t>
            </w:r>
          </w:p>
        </w:tc>
        <w:tc>
          <w:tcPr>
            <w:tcW w:w="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48"/>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investments, net of tax</w:t>
            </w:r>
          </w:p>
        </w:tc>
        <w:tc>
          <w:tcPr>
            <w:tcW w:w="8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(380)</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117</w:t>
            </w:r>
          </w:p>
        </w:tc>
      </w:tr>
      <w:tr>
        <w:trPr>
          <w:trHeight w:val="239"/>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48"/>
        </w:trPr>
        <w:tc>
          <w:tcPr>
            <w:tcW w:w="44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8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(408)</w:t>
            </w:r>
          </w:p>
        </w:tc>
        <w:tc>
          <w:tcPr>
            <w:tcW w:w="2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50"/>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comprehensive loss</w:t>
            </w:r>
          </w:p>
        </w:tc>
        <w:tc>
          <w:tcPr>
            <w:tcW w:w="8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30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(17,648)</w:t>
            </w:r>
          </w:p>
        </w:tc>
        <w:tc>
          <w:tcPr>
            <w:tcW w:w="280" w:type="dxa"/>
            <w:vAlign w:val="bottom"/>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(16,891)</w:t>
            </w:r>
          </w:p>
        </w:tc>
        <w:tc>
          <w:tcPr>
            <w:tcW w:w="260" w:type="dxa"/>
            <w:vAlign w:val="bottom"/>
          </w:tcPr>
          <w:p>
            <w:pPr>
              <w:spacing w:after="0"/>
              <w:rPr>
                <w:sz w:val="21"/>
                <w:szCs w:val="21"/>
                <w:color w:val="auto"/>
              </w:rPr>
            </w:pPr>
          </w:p>
        </w:tc>
        <w:tc>
          <w:tcPr>
            <w:tcW w:w="7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(36,447)</w:t>
            </w:r>
          </w:p>
        </w:tc>
      </w:tr>
      <w:tr>
        <w:trPr>
          <w:trHeight w:val="250"/>
        </w:trPr>
        <w:tc>
          <w:tcPr>
            <w:tcW w:w="44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(0.32)</w:t>
            </w:r>
          </w:p>
        </w:tc>
        <w:tc>
          <w:tcPr>
            <w:tcW w:w="2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(0.80)</w:t>
            </w:r>
          </w:p>
        </w:tc>
      </w:tr>
      <w:tr>
        <w:trPr>
          <w:trHeight w:val="234"/>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51,478,751</w:t>
            </w: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45,813,132</w:t>
            </w:r>
          </w:p>
        </w:tc>
        <w:tc>
          <w:tcPr>
            <w:tcW w:w="1680" w:type="dxa"/>
            <w:vAlign w:val="bottom"/>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51,462,307</w:t>
            </w: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45,793,355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-2560955</wp:posOffset>
            </wp:positionV>
            <wp:extent cx="205740"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-2560955</wp:posOffset>
            </wp:positionV>
            <wp:extent cx="196850" cy="196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-2560955</wp:posOffset>
            </wp:positionV>
            <wp:extent cx="196850"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-1772285</wp:posOffset>
            </wp:positionV>
            <wp:extent cx="205740" cy="196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-1772285</wp:posOffset>
            </wp:positionV>
            <wp:extent cx="196850" cy="196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-1772285</wp:posOffset>
            </wp:positionV>
            <wp:extent cx="196850" cy="196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-508000</wp:posOffset>
            </wp:positionV>
            <wp:extent cx="1803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340" cy="171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-508000</wp:posOffset>
            </wp:positionV>
            <wp:extent cx="1714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 cy="171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-508000</wp:posOffset>
            </wp:positionV>
            <wp:extent cx="1714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 cy="171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-165100</wp:posOffset>
            </wp:positionV>
            <wp:extent cx="1803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340" cy="171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-165100</wp:posOffset>
            </wp:positionV>
            <wp:extent cx="1714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171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-165100</wp:posOffset>
            </wp:positionV>
            <wp:extent cx="1714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Investors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 Smith</w:t>
      </w:r>
    </w:p>
    <w:p>
      <w:pPr>
        <w:ind w:right="4980"/>
        <w:spacing w:after="0" w:line="250" w:lineRule="auto"/>
        <w:rPr>
          <w:sz w:val="20"/>
          <w:szCs w:val="20"/>
          <w:color w:val="auto"/>
        </w:rPr>
      </w:pPr>
      <w:r>
        <w:rPr>
          <w:rFonts w:ascii="Arial" w:cs="Arial" w:eastAsia="Arial" w:hAnsi="Arial"/>
          <w:sz w:val="18"/>
          <w:szCs w:val="18"/>
          <w:color w:val="auto"/>
        </w:rPr>
        <w:t>Senior Vice President, Head of Corporate Development and Investor Relations investors@pmvpharma.com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Kathy Vincent</w:t>
      </w:r>
    </w:p>
    <w:p>
      <w:pPr>
        <w:spacing w:after="0" w:line="234" w:lineRule="auto"/>
        <w:rPr>
          <w:sz w:val="20"/>
          <w:szCs w:val="20"/>
          <w:color w:val="auto"/>
        </w:rPr>
      </w:pPr>
      <w:r>
        <w:rPr>
          <w:rFonts w:ascii="Arial" w:cs="Arial" w:eastAsia="Arial" w:hAnsi="Arial"/>
          <w:sz w:val="18"/>
          <w:szCs w:val="18"/>
          <w:color w:val="auto"/>
        </w:rPr>
        <w:t>Greig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kathy@greigcommunications.com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1142365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Roman"/>
      <w:start w:val="2"/>
    </w:lvl>
  </w:abstractNum>
  <w:abstractNum w:abstractNumId="2">
    <w:nsid w:val="41B71EFB"/>
    <w:multiLevelType w:val="hybridMultilevel"/>
    <w:lvl w:ilvl="0">
      <w:lvlJc w:val="left"/>
      <w:lvlText w:val="(%1)"/>
      <w:numFmt w:val="lowerLetter"/>
      <w:start w:val="4"/>
    </w:lvl>
  </w:abstractNum>
  <w:abstractNum w:abstractNumId="3">
    <w:nsid w:val="79E2A9E3"/>
    <w:multiLevelType w:val="hybridMultilevel"/>
    <w:lvl w:ilvl="0">
      <w:lvlJc w:val="left"/>
      <w:lvlText w:val="%1."/>
      <w:numFmt w:val="upperLetter"/>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lvl w:ilvl="1">
      <w:lvlJc w:val="left"/>
      <w:lvlText w:val="%2."/>
      <w:numFmt w:val="decimal"/>
      <w:start w:val="2"/>
    </w:lvl>
  </w:abstractNum>
  <w:abstractNum w:abstractNumId="6">
    <w:nsid w:val="5BD062C2"/>
    <w:multiLevelType w:val="hybridMultilevel"/>
    <w:lvl w:ilvl="0">
      <w:lvlJc w:val="left"/>
      <w:lvlText w:val="(%1)"/>
      <w:numFmt w:val="decimal"/>
      <w:start w:val="5"/>
    </w:lvl>
    <w:lvl w:ilvl="1">
      <w:lvlJc w:val="left"/>
      <w:lvlText w:val="%2."/>
      <w:numFmt w:val="decimal"/>
      <w:start w:val="4"/>
    </w:lvl>
  </w:abstractNum>
  <w:abstractNum w:abstractNumId="7">
    <w:nsid w:val="12200854"/>
    <w:multiLevelType w:val="hybridMultilevel"/>
    <w:lvl w:ilvl="0">
      <w:lvlJc w:val="left"/>
      <w:lvlText w:val="%1."/>
      <w:numFmt w:val="decimal"/>
      <w:start w:val="12"/>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2024-08-08T07:06:34Z</dcterms:created>
  <dcterms:modified xsi:type="dcterms:W3CDTF">2024-08-08T07:06:34Z</dcterms:modified>
</cp:coreProperties>
</file>