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9"/>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tc>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80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78"/>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12, 2026, PMV Pharmaceuticals, Inc. issued a press release announcing its financial results for the first quarter ended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Current Report on Form 8-K and is incorporated herein by reference.</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420" w:type="dxa"/>
            <w:vAlign w:val="bottom"/>
            <w:gridSpan w:val="2"/>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4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PMV Pharmaceuticals, Inc., dated May 12, 2026.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EE"/>
            </w:tcBorders>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PMV Pharmaceuticals Reports First Quarter 2026 Financial Results and Corporate Highlights</w:t>
      </w:r>
    </w:p>
    <w:p>
      <w:pPr>
        <w:spacing w:after="0" w:line="213" w:lineRule="exact"/>
        <w:rPr>
          <w:sz w:val="20"/>
          <w:szCs w:val="20"/>
          <w:color w:val="auto"/>
        </w:rPr>
      </w:pPr>
    </w:p>
    <w:p>
      <w:pPr>
        <w:ind w:left="380" w:hanging="372"/>
        <w:spacing w:after="0" w:line="257"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Rezatapopt granted Orphan Drug Designation by the U.S. Food and Drug Administration for the treatment of TP53 Y220C positive ovarian cancer</w:t>
      </w:r>
    </w:p>
    <w:p>
      <w:pPr>
        <w:spacing w:after="0" w:line="155" w:lineRule="exact"/>
        <w:rPr>
          <w:rFonts w:ascii="Times New Roman" w:cs="Times New Roman" w:eastAsia="Times New Roman" w:hAnsi="Times New Roman"/>
          <w:sz w:val="18"/>
          <w:szCs w:val="18"/>
          <w:color w:val="auto"/>
        </w:rPr>
      </w:pPr>
    </w:p>
    <w:p>
      <w:pPr>
        <w:ind w:left="380" w:hanging="372"/>
        <w:spacing w:after="0" w:line="257"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New England Journal of Medicine published first-in-human rezatapopt data showing selective reactivation of mutant p53 in advanced solid tumors</w:t>
      </w:r>
    </w:p>
    <w:p>
      <w:pPr>
        <w:spacing w:after="0" w:line="155" w:lineRule="exact"/>
        <w:rPr>
          <w:rFonts w:ascii="Times New Roman" w:cs="Times New Roman" w:eastAsia="Times New Roman" w:hAnsi="Times New Roman"/>
          <w:sz w:val="18"/>
          <w:szCs w:val="18"/>
          <w:color w:val="auto"/>
        </w:rPr>
      </w:pPr>
    </w:p>
    <w:p>
      <w:pPr>
        <w:ind w:left="380" w:hanging="372"/>
        <w:spacing w:after="0" w:line="257"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Rezatapopt New Drug Application submission for platinum-resistant/refractory ovarian cancer planned in first quarter of 2027</w:t>
      </w:r>
    </w:p>
    <w:p>
      <w:pPr>
        <w:spacing w:after="0" w:line="155" w:lineRule="exact"/>
        <w:rPr>
          <w:rFonts w:ascii="Times New Roman" w:cs="Times New Roman" w:eastAsia="Times New Roman" w:hAnsi="Times New Roman"/>
          <w:sz w:val="18"/>
          <w:szCs w:val="18"/>
          <w:color w:val="auto"/>
        </w:rPr>
      </w:pPr>
    </w:p>
    <w:p>
      <w:pPr>
        <w:ind w:left="380" w:hanging="372"/>
        <w:spacing w:after="0" w:line="257"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Cash, cash equivalents, and marketable securities of $93.5 million as of March 31, 2026 providing expected cash runway to end of second quarter of 2027</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PRINCETON, N.J.</w:t>
      </w:r>
      <w:r>
        <w:rPr>
          <w:rFonts w:ascii="Arial" w:cs="Arial" w:eastAsia="Arial" w:hAnsi="Arial"/>
          <w:sz w:val="20"/>
          <w:szCs w:val="20"/>
          <w:color w:val="auto"/>
        </w:rPr>
        <w:t>, May 12, 2026 (GLOBE NEWSWIRE) -- PMV Pharmaceuticals, Inc. (“PMV Pharma”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Nasdaq: PMVP), a precision oncology company pioneering the discovery and development of small molecule therapies targeting p53, today reported financial results for the first quarter ended March 31, 2026, and provided a corporate update.</w:t>
      </w:r>
    </w:p>
    <w:p>
      <w:pPr>
        <w:spacing w:after="0" w:line="170" w:lineRule="exact"/>
        <w:rPr>
          <w:sz w:val="20"/>
          <w:szCs w:val="20"/>
          <w:color w:val="auto"/>
        </w:rPr>
      </w:pPr>
    </w:p>
    <w:p>
      <w:pPr>
        <w:jc w:val="both"/>
        <w:spacing w:after="0" w:line="226" w:lineRule="exact"/>
        <w:rPr>
          <w:sz w:val="20"/>
          <w:szCs w:val="20"/>
          <w:color w:val="auto"/>
        </w:rPr>
      </w:pPr>
      <w:r>
        <w:rPr>
          <w:rFonts w:ascii="Arial" w:cs="Arial" w:eastAsia="Arial" w:hAnsi="Arial"/>
          <w:sz w:val="20"/>
          <w:szCs w:val="20"/>
          <w:color w:val="auto"/>
        </w:rPr>
        <w:t>“The first quarter was one of continued execution as we advance the PYNNACLE study and remain on track to target an NDA submission for rezatapopt for platinum</w:t>
      </w:r>
      <w:r>
        <w:rPr>
          <w:rFonts w:ascii="MS PGothic" w:cs="MS PGothic" w:eastAsia="MS PGothic" w:hAnsi="MS PGothic"/>
          <w:sz w:val="20"/>
          <w:szCs w:val="20"/>
          <w:color w:val="auto"/>
        </w:rPr>
        <w:t>‑</w:t>
      </w:r>
      <w:r>
        <w:rPr>
          <w:rFonts w:ascii="Arial" w:cs="Arial" w:eastAsia="Arial" w:hAnsi="Arial"/>
          <w:sz w:val="20"/>
          <w:szCs w:val="20"/>
          <w:color w:val="auto"/>
        </w:rPr>
        <w:t xml:space="preserve">resistant/refractory ovarian cancer in the first quarter of 2027,” said David Mack, Ph.D., President and Chief Executive Officer of PMV Pharma. “We are also encouraged by the publication of the PYNNACLE Phase 1 results in the </w:t>
      </w:r>
      <w:r>
        <w:rPr>
          <w:rFonts w:ascii="Arial" w:cs="Arial" w:eastAsia="Arial" w:hAnsi="Arial"/>
          <w:sz w:val="20"/>
          <w:szCs w:val="20"/>
          <w:i w:val="1"/>
          <w:iCs w:val="1"/>
          <w:color w:val="auto"/>
        </w:rPr>
        <w:t>New England Journal of Medicine</w:t>
      </w:r>
      <w:r>
        <w:rPr>
          <w:rFonts w:ascii="Arial" w:cs="Arial" w:eastAsia="Arial" w:hAnsi="Arial"/>
          <w:sz w:val="20"/>
          <w:szCs w:val="20"/>
          <w:color w:val="auto"/>
        </w:rPr>
        <w:t xml:space="preserve">, which underscores the scientific innovation behind rezatapopt and highlights its potential to address a significant unmet medical need. Patients with </w:t>
      </w:r>
      <w:r>
        <w:rPr>
          <w:rFonts w:ascii="Arial" w:cs="Arial" w:eastAsia="Arial" w:hAnsi="Arial"/>
          <w:sz w:val="20"/>
          <w:szCs w:val="20"/>
          <w:i w:val="1"/>
          <w:iCs w:val="1"/>
          <w:color w:val="auto"/>
        </w:rPr>
        <w:t>TP53</w:t>
      </w:r>
      <w:r>
        <w:rPr>
          <w:rFonts w:ascii="Arial" w:cs="Arial" w:eastAsia="Arial" w:hAnsi="Arial"/>
          <w:sz w:val="20"/>
          <w:szCs w:val="20"/>
          <w:color w:val="auto"/>
        </w:rPr>
        <w:t xml:space="preserve"> Y220C advanced solid tumors, including platinum resistant ovarian cancer, experience poor outcomes despite available therapies.”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PYNNACLE Phase 2 Monotherapy Update:</w:t>
      </w:r>
    </w:p>
    <w:p>
      <w:pPr>
        <w:spacing w:after="0" w:line="137" w:lineRule="exact"/>
        <w:rPr>
          <w:sz w:val="20"/>
          <w:szCs w:val="20"/>
          <w:color w:val="auto"/>
        </w:rPr>
      </w:pPr>
    </w:p>
    <w:p>
      <w:pPr>
        <w:jc w:val="both"/>
        <w:ind w:left="380" w:hanging="372"/>
        <w:spacing w:after="0" w:line="241"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Enrollment is on track in the Phase 2 monotherapy portion of the PYNNACLE clinical trial. The multicenter, single-arm, registrational Phase 2 study is assessing rezatapopt as monotherapy at a dose of 2000 mg once-daily in patients with </w:t>
      </w:r>
      <w:r>
        <w:rPr>
          <w:rFonts w:ascii="Arial" w:cs="Arial" w:eastAsia="Arial" w:hAnsi="Arial"/>
          <w:sz w:val="20"/>
          <w:szCs w:val="20"/>
          <w:i w:val="1"/>
          <w:iCs w:val="1"/>
          <w:color w:val="auto"/>
        </w:rPr>
        <w:t>TP53</w:t>
      </w:r>
      <w:r>
        <w:rPr>
          <w:rFonts w:ascii="Arial" w:cs="Arial" w:eastAsia="Arial" w:hAnsi="Arial"/>
          <w:sz w:val="20"/>
          <w:szCs w:val="20"/>
          <w:color w:val="auto"/>
        </w:rPr>
        <w:t xml:space="preserve"> Y220C advanced solid tumors.</w:t>
      </w:r>
    </w:p>
    <w:p>
      <w:pPr>
        <w:spacing w:after="0" w:line="171" w:lineRule="exact"/>
        <w:rPr>
          <w:rFonts w:ascii="Times New Roman" w:cs="Times New Roman" w:eastAsia="Times New Roman" w:hAnsi="Times New Roman"/>
          <w:sz w:val="18"/>
          <w:szCs w:val="18"/>
          <w:color w:val="auto"/>
        </w:rPr>
      </w:pPr>
    </w:p>
    <w:p>
      <w:pPr>
        <w:ind w:left="380" w:hanging="372"/>
        <w:spacing w:after="0" w:line="257"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PMV Pharma anticipates submitting a New Drug Application (NDA) for rezatapopt in platinum-resistant/refractory ovarian cancer patients with a </w:t>
      </w:r>
      <w:r>
        <w:rPr>
          <w:rFonts w:ascii="Arial" w:cs="Arial" w:eastAsia="Arial" w:hAnsi="Arial"/>
          <w:sz w:val="20"/>
          <w:szCs w:val="20"/>
          <w:i w:val="1"/>
          <w:iCs w:val="1"/>
          <w:color w:val="auto"/>
        </w:rPr>
        <w:t>TP53</w:t>
      </w:r>
      <w:r>
        <w:rPr>
          <w:rFonts w:ascii="Arial" w:cs="Arial" w:eastAsia="Arial" w:hAnsi="Arial"/>
          <w:sz w:val="20"/>
          <w:szCs w:val="20"/>
          <w:color w:val="auto"/>
        </w:rPr>
        <w:t xml:space="preserve"> Y220C mutation in the first quarter of 2027.</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Highlights:</w:t>
      </w:r>
    </w:p>
    <w:p>
      <w:pPr>
        <w:spacing w:after="0" w:line="137" w:lineRule="exact"/>
        <w:rPr>
          <w:sz w:val="20"/>
          <w:szCs w:val="20"/>
          <w:color w:val="auto"/>
        </w:rPr>
      </w:pPr>
    </w:p>
    <w:p>
      <w:pPr>
        <w:ind w:left="380" w:hanging="372"/>
        <w:spacing w:after="0" w:line="234"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Updated Phase 2 PYNNACLE clinical results evaluating rezatapopt were featured in an oral presentation at the 2026 Society of Gynecologic Oncology Annual Meeting on Women's Cancer on April 12, 2026.</w:t>
      </w:r>
    </w:p>
    <w:p>
      <w:pPr>
        <w:spacing w:after="0" w:line="1" w:lineRule="exact"/>
        <w:rPr>
          <w:rFonts w:ascii="Times New Roman" w:cs="Times New Roman" w:eastAsia="Times New Roman" w:hAnsi="Times New Roman"/>
          <w:sz w:val="18"/>
          <w:szCs w:val="18"/>
          <w:color w:val="auto"/>
        </w:rPr>
      </w:pPr>
    </w:p>
    <w:p>
      <w:pPr>
        <w:ind w:left="1140" w:hanging="37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9"/>
          <w:szCs w:val="19"/>
          <w:color w:val="auto"/>
        </w:rPr>
        <w:t>Confirmed responses were observed in platinum-resistant/refractory ovarian cancer patients with a</w:t>
      </w: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TP53</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Y220C</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mutation</w:t>
      </w:r>
    </w:p>
    <w:p>
      <w:pPr>
        <w:spacing w:after="0" w:line="212" w:lineRule="exact"/>
        <w:rPr>
          <w:rFonts w:ascii="Times New Roman" w:cs="Times New Roman" w:eastAsia="Times New Roman" w:hAnsi="Times New Roman"/>
          <w:sz w:val="18"/>
          <w:szCs w:val="18"/>
          <w:color w:val="auto"/>
        </w:rPr>
      </w:pPr>
    </w:p>
    <w:p>
      <w:pPr>
        <w:ind w:left="1880" w:right="140" w:hanging="375"/>
        <w:spacing w:after="0" w:line="239" w:lineRule="auto"/>
        <w:tabs>
          <w:tab w:leader="none" w:pos="188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Overall response rate (ORR) of 44% (32/72 patients) per investigator assessment according to Response Evaluation Criteria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32"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(RECIST) version 1.1, including one confirmed complete response, 31 confirmed partial responses.</w:t>
      </w:r>
    </w:p>
    <w:p>
      <w:pPr>
        <w:spacing w:after="0" w:line="40" w:lineRule="exact"/>
        <w:rPr>
          <w:sz w:val="20"/>
          <w:szCs w:val="20"/>
          <w:color w:val="auto"/>
        </w:rPr>
      </w:pPr>
    </w:p>
    <w:p>
      <w:pPr>
        <w:ind w:left="1880" w:hanging="375"/>
        <w:spacing w:after="0"/>
        <w:tabs>
          <w:tab w:leader="none" w:pos="188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median time to response was 1.3 months and the median duration of response was 8.2 months.</w:t>
      </w:r>
    </w:p>
    <w:p>
      <w:pPr>
        <w:spacing w:after="0" w:line="52" w:lineRule="exact"/>
        <w:rPr>
          <w:rFonts w:ascii="Times New Roman" w:cs="Times New Roman" w:eastAsia="Times New Roman" w:hAnsi="Times New Roman"/>
          <w:sz w:val="20"/>
          <w:szCs w:val="20"/>
          <w:color w:val="auto"/>
        </w:rPr>
      </w:pPr>
    </w:p>
    <w:p>
      <w:pPr>
        <w:ind w:left="1880" w:right="600" w:hanging="375"/>
        <w:spacing w:after="0" w:line="256" w:lineRule="auto"/>
        <w:tabs>
          <w:tab w:leader="none" w:pos="188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Post the March 29, 2026 data cutoff, two additional patients achieved unconfirmed partial responses (uPRs), bringing the ORR to 46% (34/74).</w:t>
      </w:r>
    </w:p>
    <w:p>
      <w:pPr>
        <w:spacing w:after="0" w:line="210" w:lineRule="exact"/>
        <w:rPr>
          <w:rFonts w:ascii="Times New Roman" w:cs="Times New Roman" w:eastAsia="Times New Roman" w:hAnsi="Times New Roman"/>
          <w:sz w:val="20"/>
          <w:szCs w:val="20"/>
          <w:color w:val="auto"/>
        </w:rPr>
      </w:pPr>
    </w:p>
    <w:p>
      <w:pPr>
        <w:jc w:val="both"/>
        <w:ind w:left="380" w:hanging="372"/>
        <w:spacing w:after="0" w:line="234"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Phase 1 results from the ongoing Phase 1/2 PYNNACLE study were published in the </w:t>
      </w:r>
      <w:r>
        <w:rPr>
          <w:rFonts w:ascii="Arial" w:cs="Arial" w:eastAsia="Arial" w:hAnsi="Arial"/>
          <w:sz w:val="20"/>
          <w:szCs w:val="20"/>
          <w:i w:val="1"/>
          <w:iCs w:val="1"/>
          <w:color w:val="auto"/>
        </w:rPr>
        <w:t>New England Journal of Medicine,</w:t>
      </w:r>
      <w:r>
        <w:rPr>
          <w:rFonts w:ascii="Arial" w:cs="Arial" w:eastAsia="Arial" w:hAnsi="Arial"/>
          <w:sz w:val="20"/>
          <w:szCs w:val="20"/>
          <w:color w:val="auto"/>
        </w:rPr>
        <w:t xml:space="preserve"> “Phase 1 Study of Rezatapopt, a p53 Reactivator, in </w:t>
      </w:r>
      <w:r>
        <w:rPr>
          <w:rFonts w:ascii="Arial" w:cs="Arial" w:eastAsia="Arial" w:hAnsi="Arial"/>
          <w:sz w:val="20"/>
          <w:szCs w:val="20"/>
          <w:i w:val="1"/>
          <w:iCs w:val="1"/>
          <w:color w:val="auto"/>
        </w:rPr>
        <w:t>TP53</w:t>
      </w:r>
      <w:r>
        <w:rPr>
          <w:rFonts w:ascii="Arial" w:cs="Arial" w:eastAsia="Arial" w:hAnsi="Arial"/>
          <w:sz w:val="20"/>
          <w:szCs w:val="20"/>
          <w:color w:val="auto"/>
        </w:rPr>
        <w:t xml:space="preserve"> Y220C-Mutated Tumors.” The manuscript highlighted that rezatapopt demonstrated antitumor activity in heavily pretreated patients across multiple solid tumor types which provided proof-of-concept for p53 reactivation. Clinical activity and biomarker data were consistent with selective binding to the Y220C pocket and restoration of wild-type p53 tumor suppressor function.</w:t>
      </w:r>
    </w:p>
    <w:p>
      <w:pPr>
        <w:spacing w:after="0" w:line="174" w:lineRule="exact"/>
        <w:rPr>
          <w:rFonts w:ascii="Times New Roman" w:cs="Times New Roman" w:eastAsia="Times New Roman" w:hAnsi="Times New Roman"/>
          <w:sz w:val="18"/>
          <w:szCs w:val="18"/>
          <w:color w:val="auto"/>
        </w:rPr>
      </w:pPr>
    </w:p>
    <w:p>
      <w:pPr>
        <w:jc w:val="both"/>
        <w:ind w:left="380" w:hanging="372"/>
        <w:spacing w:after="0" w:line="234"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U.S. Food and Drug Administration (FDA) granted Orphan Drug Designation (ODD) to rezatapopt for the treatment of </w:t>
      </w:r>
      <w:r>
        <w:rPr>
          <w:rFonts w:ascii="Arial" w:cs="Arial" w:eastAsia="Arial" w:hAnsi="Arial"/>
          <w:sz w:val="20"/>
          <w:szCs w:val="20"/>
          <w:i w:val="1"/>
          <w:iCs w:val="1"/>
          <w:color w:val="auto"/>
        </w:rPr>
        <w:t xml:space="preserve">TP53 </w:t>
      </w:r>
      <w:r>
        <w:rPr>
          <w:rFonts w:ascii="Arial" w:cs="Arial" w:eastAsia="Arial" w:hAnsi="Arial"/>
          <w:sz w:val="20"/>
          <w:szCs w:val="20"/>
          <w:color w:val="auto"/>
        </w:rPr>
        <w:t>Y220C positive ovarian cancer, fallopian tube cancer, and primary peritoneal cancer. The FDA provides ODD status</w:t>
      </w:r>
      <w:r>
        <w:rPr>
          <w:rFonts w:ascii="Arial" w:cs="Arial" w:eastAsia="Arial" w:hAnsi="Arial"/>
          <w:sz w:val="20"/>
          <w:szCs w:val="20"/>
          <w:i w:val="1"/>
          <w:iCs w:val="1"/>
          <w:color w:val="auto"/>
        </w:rPr>
        <w:t xml:space="preserve"> </w:t>
      </w:r>
      <w:r>
        <w:rPr>
          <w:rFonts w:ascii="Arial" w:cs="Arial" w:eastAsia="Arial" w:hAnsi="Arial"/>
          <w:sz w:val="20"/>
          <w:szCs w:val="20"/>
          <w:color w:val="auto"/>
        </w:rPr>
        <w:t>to drugs intended for the safe and effective treatment, diagnosis, or prevention of rare diseases that affect fewer than 200,000 people in the U.S. Benefits of the designation may include exemption from certain FDA fees, financial incentives for qualified clinical development, and seven years of market exclusivity in the U.S. if the treatment is approved.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PMV Pharma ended the first quarter with $ 93.5 million in cash, cash equivalents, and marketable securities, compared to $112.9 million as of December 31, 2025. Net cash used in operations was $19.7 million for the three months ended March 31, 2026, compared to $18.3 million for the three months ended March 31, 2025.</w:t>
      </w:r>
    </w:p>
    <w:p>
      <w:pPr>
        <w:spacing w:after="0" w:line="63" w:lineRule="exact"/>
        <w:rPr>
          <w:sz w:val="20"/>
          <w:szCs w:val="20"/>
          <w:color w:val="auto"/>
        </w:rPr>
      </w:pPr>
    </w:p>
    <w:p>
      <w:pPr>
        <w:jc w:val="both"/>
        <w:ind w:left="520" w:hanging="512"/>
        <w:spacing w:after="0" w:line="241" w:lineRule="auto"/>
        <w:tabs>
          <w:tab w:leader="none" w:pos="5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for the quarter ended March 31, 2026, was $18 million compared to $17.4 million for the quarter ended March 31, 2025. The net loss increase was primarily due to the benefit received from the sale of NOL carryforwards in Q1 2025, offset by decreased research and development (R&amp;D) costs.</w:t>
      </w:r>
    </w:p>
    <w:p>
      <w:pPr>
        <w:spacing w:after="0" w:line="62" w:lineRule="exact"/>
        <w:rPr>
          <w:rFonts w:ascii="Times New Roman" w:cs="Times New Roman" w:eastAsia="Times New Roman" w:hAnsi="Times New Roman"/>
          <w:sz w:val="20"/>
          <w:szCs w:val="20"/>
          <w:color w:val="auto"/>
        </w:rPr>
      </w:pPr>
    </w:p>
    <w:p>
      <w:pPr>
        <w:jc w:val="both"/>
        <w:ind w:left="520" w:hanging="512"/>
        <w:spacing w:after="0" w:line="241" w:lineRule="auto"/>
        <w:tabs>
          <w:tab w:leader="none" w:pos="5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R&amp;D expenses were $15.3 million for the quarter ended March 31, 2026, compared to $17.4 million for the quarter ended March 31, 2025. The decrease in R&amp;D expenses was primarily due to decreased contractual research organization costs for the advancement of the rezatapopt program.</w:t>
      </w:r>
    </w:p>
    <w:p>
      <w:pPr>
        <w:spacing w:after="0" w:line="62" w:lineRule="exact"/>
        <w:rPr>
          <w:rFonts w:ascii="Times New Roman" w:cs="Times New Roman" w:eastAsia="Times New Roman" w:hAnsi="Times New Roman"/>
          <w:sz w:val="20"/>
          <w:szCs w:val="20"/>
          <w:color w:val="auto"/>
        </w:rPr>
      </w:pPr>
    </w:p>
    <w:p>
      <w:pPr>
        <w:jc w:val="both"/>
        <w:ind w:left="520" w:hanging="512"/>
        <w:spacing w:after="0" w:line="241" w:lineRule="auto"/>
        <w:tabs>
          <w:tab w:leader="none" w:pos="5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General and administrative (G&amp;A) expenses were $3.7 million for the quarter ended March 31, 2026, compared to $4.1 million for the quarter ended March 31, 2025. The decrease in G&amp;A expenses was primarily due to reduced personnel expenses and a decrease in finance and legal support costs.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Rezatapopt</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Rezatapopt (PC14586)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mutation and Orphan Drug Designation for the treatment of </w:t>
      </w:r>
      <w:r>
        <w:rPr>
          <w:rFonts w:ascii="Arial" w:cs="Arial" w:eastAsia="Arial" w:hAnsi="Arial"/>
          <w:sz w:val="20"/>
          <w:szCs w:val="20"/>
          <w:i w:val="1"/>
          <w:iCs w:val="1"/>
          <w:color w:val="auto"/>
        </w:rPr>
        <w:t>TP53</w:t>
      </w:r>
      <w:r>
        <w:rPr>
          <w:rFonts w:ascii="Arial" w:cs="Arial" w:eastAsia="Arial" w:hAnsi="Arial"/>
          <w:sz w:val="20"/>
          <w:szCs w:val="20"/>
          <w:color w:val="auto"/>
        </w:rPr>
        <w:t xml:space="preserve"> Y220C positive ovarian cancer, fallopian tube cancer, and primary peritoneal cancer.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PYNNACLE Clinical Trial</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The ongoing Phase 1/2 PYNNACLE clinical trial is evaluating rezatapopt in patients with advanced solid tumors harboring a </w:t>
      </w:r>
      <w:r>
        <w:rPr>
          <w:rFonts w:ascii="Arial" w:cs="Arial" w:eastAsia="Arial" w:hAnsi="Arial"/>
          <w:sz w:val="20"/>
          <w:szCs w:val="20"/>
          <w:i w:val="1"/>
          <w:iCs w:val="1"/>
          <w:color w:val="auto"/>
        </w:rPr>
        <w:t xml:space="preserve">TP53 </w:t>
      </w:r>
      <w:r>
        <w:rPr>
          <w:rFonts w:ascii="Arial" w:cs="Arial" w:eastAsia="Arial" w:hAnsi="Arial"/>
          <w:sz w:val="20"/>
          <w:szCs w:val="20"/>
          <w:color w:val="auto"/>
        </w:rPr>
        <w:t>Y220C mutation. The primary objective of the Phase 1 portion of the clinical trial was to determine the maximum tolerated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w:t>
      </w:r>
      <w:r>
        <w:rPr>
          <w:rFonts w:ascii="Arial" w:cs="Arial" w:eastAsia="Arial" w:hAnsi="Arial"/>
          <w:sz w:val="20"/>
          <w:szCs w:val="20"/>
          <w:i w:val="1"/>
          <w:iCs w:val="1"/>
          <w:color w:val="auto"/>
        </w:rPr>
        <w:t>TP53</w:t>
      </w:r>
      <w:r>
        <w:rPr>
          <w:rFonts w:ascii="Arial" w:cs="Arial" w:eastAsia="Arial" w:hAnsi="Arial"/>
          <w:sz w:val="20"/>
          <w:szCs w:val="20"/>
          <w:color w:val="auto"/>
        </w:rPr>
        <w:t xml:space="preserve"> Y220C and KRAS wild-type advanced solid tumors, conducted across approximately 70 sites.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more information about the Phase 1/2 PYNNACLE clinical trial, refer to www.clinicaltrials.gov (NCT trial identifier NCT04585750).</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PMV Pharma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PMV Pharma is a precision oncology company pioneering the discovery and development of small molecule therapies targeting p53. </w:t>
      </w:r>
      <w:r>
        <w:rPr>
          <w:rFonts w:ascii="Arial" w:cs="Arial" w:eastAsia="Arial" w:hAnsi="Arial"/>
          <w:sz w:val="20"/>
          <w:szCs w:val="20"/>
          <w:i w:val="1"/>
          <w:iCs w:val="1"/>
          <w:color w:val="auto"/>
        </w:rPr>
        <w:t>TP53</w:t>
      </w:r>
      <w:r>
        <w:rPr>
          <w:rFonts w:ascii="Arial" w:cs="Arial" w:eastAsia="Arial" w:hAnsi="Arial"/>
          <w:sz w:val="20"/>
          <w:szCs w:val="20"/>
          <w:color w:val="auto"/>
        </w:rPr>
        <w:t xml:space="preserve"> mutations are found in approximately half of all cancers. Our co-founder, Dr. Arnold Levine, established the field of p53 biology when he discovered the p53 protein in 1979. Bringing together leaders in the field to utilize more than four decades of p53 biology, PMV Pharma combines unique biological understanding with a pharmaceutical development focus. PMV Pharma is headquartered in Princeton, New Jersey. For more information, please visit www.pmvpharma.com.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as a monotherapy, expectations regarding timing, enrollment status and success of the Phase 2 portion of the current clinical trial for rezatapopt and filing of a New Drug Application (NDA) for platinum-resistant/refractory ovarian cancer, the benefits of FDA’s grant of Orphan Drug Designation (ODD) for rezatapopt,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including the successful filing of NDAs,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maintenance by the Company of ODD status and related benefits for rezatapopt, the Company’s ability to fund operations, and the impact that a global pandemic, other public health emergencies or geopolitical tensions or conflicts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 the Company’s clinical trials, supply chain, and operations, as well as those risks and uncertainties set forth in the section entitled “Risk Factors” in the Company’s Annual Report on Form 10-K, filed with the Securities and Exchange Commission (the “SEC”) on March 6, 2026,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6901180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1"/>
        </w:trPr>
        <w:tc>
          <w:tcPr>
            <w:tcW w:w="7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Exhibit 99.1</w:t>
            </w:r>
          </w:p>
        </w:tc>
      </w:tr>
      <w:tr>
        <w:trPr>
          <w:trHeight w:val="614"/>
        </w:trPr>
        <w:tc>
          <w:tcPr>
            <w:tcW w:w="7660" w:type="dxa"/>
            <w:vAlign w:val="bottom"/>
            <w:gridSpan w:val="2"/>
          </w:tcPr>
          <w:p>
            <w:pPr>
              <w:jc w:val="center"/>
              <w:ind w:left="3501"/>
              <w:spacing w:after="0"/>
              <w:rPr>
                <w:sz w:val="20"/>
                <w:szCs w:val="20"/>
                <w:color w:val="auto"/>
              </w:rPr>
            </w:pPr>
            <w:r>
              <w:rPr>
                <w:rFonts w:ascii="Arial" w:cs="Arial" w:eastAsia="Arial" w:hAnsi="Arial"/>
                <w:sz w:val="20"/>
                <w:szCs w:val="20"/>
                <w:b w:val="1"/>
                <w:bCs w:val="1"/>
                <w:color w:val="auto"/>
                <w:w w:val="98"/>
              </w:rPr>
              <w:t>PMV Pharmaceuticals,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7660" w:type="dxa"/>
            <w:vAlign w:val="bottom"/>
            <w:gridSpan w:val="2"/>
          </w:tcPr>
          <w:p>
            <w:pPr>
              <w:jc w:val="center"/>
              <w:ind w:left="3501"/>
              <w:spacing w:after="0" w:line="216" w:lineRule="exact"/>
              <w:rPr>
                <w:sz w:val="20"/>
                <w:szCs w:val="20"/>
                <w:color w:val="auto"/>
              </w:rPr>
            </w:pPr>
            <w:r>
              <w:rPr>
                <w:rFonts w:ascii="Arial" w:cs="Arial" w:eastAsia="Arial" w:hAnsi="Arial"/>
                <w:sz w:val="20"/>
                <w:szCs w:val="20"/>
                <w:b w:val="1"/>
                <w:bCs w:val="1"/>
                <w:color w:val="auto"/>
                <w:w w:val="98"/>
              </w:rPr>
              <w:t>Condensed Consolidated Balance Sheets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660" w:type="dxa"/>
            <w:vAlign w:val="bottom"/>
            <w:gridSpan w:val="2"/>
          </w:tcPr>
          <w:p>
            <w:pPr>
              <w:jc w:val="center"/>
              <w:ind w:left="3481"/>
              <w:spacing w:after="0" w:line="216" w:lineRule="exact"/>
              <w:rPr>
                <w:sz w:val="20"/>
                <w:szCs w:val="20"/>
                <w:color w:val="auto"/>
              </w:rPr>
            </w:pPr>
            <w:r>
              <w:rPr>
                <w:rFonts w:ascii="Arial" w:cs="Arial" w:eastAsia="Arial" w:hAnsi="Arial"/>
                <w:sz w:val="20"/>
                <w:szCs w:val="20"/>
                <w:b w:val="1"/>
                <w:bCs w:val="1"/>
                <w:color w:val="auto"/>
                <w:w w:val="99"/>
              </w:rPr>
              <w:t>(unaudited)</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3"/>
        </w:trPr>
        <w:tc>
          <w:tcPr>
            <w:tcW w:w="8200" w:type="dxa"/>
            <w:vAlign w:val="bottom"/>
            <w:gridSpan w:val="3"/>
          </w:tcPr>
          <w:p>
            <w:pPr>
              <w:jc w:val="center"/>
              <w:ind w:left="2941"/>
              <w:spacing w:after="0"/>
              <w:rPr>
                <w:sz w:val="20"/>
                <w:szCs w:val="20"/>
                <w:color w:val="auto"/>
              </w:rPr>
            </w:pPr>
            <w:r>
              <w:rPr>
                <w:rFonts w:ascii="Arial" w:cs="Arial" w:eastAsia="Arial" w:hAnsi="Arial"/>
                <w:sz w:val="20"/>
                <w:szCs w:val="20"/>
                <w:b w:val="1"/>
                <w:bCs w:val="1"/>
                <w:color w:val="auto"/>
                <w:w w:val="99"/>
              </w:rPr>
              <w:t>(in thousands, except share and per share amounts)</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898"/>
        </w:trPr>
        <w:tc>
          <w:tcPr>
            <w:tcW w:w="7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March 31,</w:t>
            </w:r>
          </w:p>
        </w:tc>
        <w:tc>
          <w:tcPr>
            <w:tcW w:w="260" w:type="dxa"/>
            <w:vAlign w:val="bottom"/>
          </w:tcPr>
          <w:p>
            <w:pPr>
              <w:spacing w:after="0"/>
              <w:rPr>
                <w:sz w:val="24"/>
                <w:szCs w:val="24"/>
                <w:color w:val="auto"/>
              </w:rPr>
            </w:pPr>
          </w:p>
        </w:tc>
        <w:tc>
          <w:tcPr>
            <w:tcW w:w="186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6"/>
        </w:trPr>
        <w:tc>
          <w:tcPr>
            <w:tcW w:w="7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2026</w:t>
            </w:r>
          </w:p>
        </w:tc>
        <w:tc>
          <w:tcPr>
            <w:tcW w:w="260" w:type="dxa"/>
            <w:vAlign w:val="bottom"/>
          </w:tcPr>
          <w:p>
            <w:pPr>
              <w:spacing w:after="0"/>
              <w:rPr>
                <w:sz w:val="22"/>
                <w:szCs w:val="22"/>
                <w:color w:val="auto"/>
              </w:rPr>
            </w:pPr>
          </w:p>
        </w:tc>
        <w:tc>
          <w:tcPr>
            <w:tcW w:w="186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23"/>
        </w:trPr>
        <w:tc>
          <w:tcPr>
            <w:tcW w:w="7660" w:type="dxa"/>
            <w:vAlign w:val="bottom"/>
            <w:gridSpan w:val="2"/>
            <w:shd w:val="clear" w:color="auto" w:fill="CFF0FC"/>
          </w:tcPr>
          <w:p>
            <w:pPr>
              <w:ind w:left="100"/>
              <w:spacing w:after="0" w:line="223" w:lineRule="exact"/>
              <w:rPr>
                <w:sz w:val="20"/>
                <w:szCs w:val="20"/>
                <w:color w:val="auto"/>
              </w:rPr>
            </w:pPr>
            <w:r>
              <w:rPr>
                <w:rFonts w:ascii="Times New Roman" w:cs="Times New Roman" w:eastAsia="Times New Roman" w:hAnsi="Times New Roman"/>
                <w:sz w:val="20"/>
                <w:szCs w:val="20"/>
                <w:b w:val="1"/>
                <w:bCs w:val="1"/>
                <w:color w:val="auto"/>
              </w:rPr>
              <w:t>Assets</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Current assets: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39,130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37,983</w:t>
            </w:r>
          </w:p>
        </w:tc>
      </w:tr>
      <w:tr>
        <w:trPr>
          <w:trHeight w:val="230"/>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Marketable securities, current</w:t>
            </w:r>
          </w:p>
        </w:tc>
        <w:tc>
          <w:tcPr>
            <w:tcW w:w="5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54,419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74,960</w:t>
            </w:r>
          </w:p>
        </w:tc>
      </w:tr>
      <w:tr>
        <w:trPr>
          <w:trHeight w:val="229"/>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2,231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2,284</w:t>
            </w:r>
          </w:p>
        </w:tc>
      </w:tr>
      <w:tr>
        <w:trPr>
          <w:trHeight w:val="223"/>
        </w:trPr>
        <w:tc>
          <w:tcPr>
            <w:tcW w:w="7220" w:type="dxa"/>
            <w:vAlign w:val="bottom"/>
          </w:tcPr>
          <w:p>
            <w:pPr>
              <w:ind w:left="660"/>
              <w:spacing w:after="0" w:line="223" w:lineRule="exact"/>
              <w:rPr>
                <w:sz w:val="20"/>
                <w:szCs w:val="20"/>
                <w:color w:val="auto"/>
              </w:rPr>
            </w:pPr>
            <w:r>
              <w:rPr>
                <w:rFonts w:ascii="Times New Roman" w:cs="Times New Roman" w:eastAsia="Times New Roman" w:hAnsi="Times New Roman"/>
                <w:sz w:val="20"/>
                <w:szCs w:val="20"/>
                <w:color w:val="auto"/>
              </w:rPr>
              <w:t>Total current assets</w:t>
            </w: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95,780</w:t>
            </w:r>
          </w:p>
        </w:tc>
        <w:tc>
          <w:tcPr>
            <w:tcW w:w="2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115,227</w:t>
            </w:r>
          </w:p>
        </w:tc>
      </w:tr>
      <w:tr>
        <w:trPr>
          <w:trHeight w:val="230"/>
        </w:trPr>
        <w:tc>
          <w:tcPr>
            <w:tcW w:w="7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203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237</w:t>
            </w:r>
          </w:p>
        </w:tc>
      </w:tr>
      <w:tr>
        <w:trPr>
          <w:trHeight w:val="229"/>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Right-of-use assets</w:t>
            </w:r>
          </w:p>
        </w:tc>
        <w:tc>
          <w:tcPr>
            <w:tcW w:w="5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801</w:t>
            </w:r>
          </w:p>
        </w:tc>
      </w:tr>
      <w:tr>
        <w:trPr>
          <w:trHeight w:val="230"/>
        </w:trPr>
        <w:tc>
          <w:tcPr>
            <w:tcW w:w="7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Other assets</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296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297</w:t>
            </w:r>
          </w:p>
        </w:tc>
      </w:tr>
      <w:tr>
        <w:trPr>
          <w:trHeight w:val="223"/>
        </w:trPr>
        <w:tc>
          <w:tcPr>
            <w:tcW w:w="722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auto"/>
              </w:rPr>
              <w:t>Total assets</w:t>
            </w:r>
          </w:p>
        </w:tc>
        <w:tc>
          <w:tcPr>
            <w:tcW w:w="4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96,562</w:t>
            </w:r>
          </w:p>
        </w:tc>
        <w:tc>
          <w:tcPr>
            <w:tcW w:w="2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116,562</w:t>
            </w:r>
          </w:p>
        </w:tc>
      </w:tr>
      <w:tr>
        <w:trPr>
          <w:trHeight w:val="20"/>
        </w:trPr>
        <w:tc>
          <w:tcPr>
            <w:tcW w:w="7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7660" w:type="dxa"/>
            <w:vAlign w:val="bottom"/>
            <w:gridSpan w:val="2"/>
            <w:shd w:val="clear" w:color="auto" w:fill="CFF0FC"/>
          </w:tcPr>
          <w:p>
            <w:pPr>
              <w:ind w:left="100"/>
              <w:spacing w:after="0" w:line="210"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Current liabilities: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Accounts payable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1,631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3,155</w:t>
            </w:r>
          </w:p>
        </w:tc>
      </w:tr>
      <w:tr>
        <w:trPr>
          <w:trHeight w:val="230"/>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Accrued expenses</w:t>
            </w:r>
          </w:p>
        </w:tc>
        <w:tc>
          <w:tcPr>
            <w:tcW w:w="5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6,671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7,857</w:t>
            </w:r>
          </w:p>
        </w:tc>
      </w:tr>
      <w:tr>
        <w:trPr>
          <w:trHeight w:val="229"/>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293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403</w:t>
            </w:r>
          </w:p>
        </w:tc>
      </w:tr>
      <w:tr>
        <w:trPr>
          <w:trHeight w:val="223"/>
        </w:trPr>
        <w:tc>
          <w:tcPr>
            <w:tcW w:w="7220" w:type="dxa"/>
            <w:vAlign w:val="bottom"/>
          </w:tcPr>
          <w:p>
            <w:pPr>
              <w:ind w:left="660"/>
              <w:spacing w:after="0" w:line="223" w:lineRule="exact"/>
              <w:rPr>
                <w:sz w:val="20"/>
                <w:szCs w:val="20"/>
                <w:color w:val="auto"/>
              </w:rPr>
            </w:pPr>
            <w:r>
              <w:rPr>
                <w:rFonts w:ascii="Times New Roman" w:cs="Times New Roman" w:eastAsia="Times New Roman" w:hAnsi="Times New Roman"/>
                <w:sz w:val="20"/>
                <w:szCs w:val="20"/>
                <w:color w:val="auto"/>
              </w:rPr>
              <w:t>Total current liabilities</w:t>
            </w: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8,595</w:t>
            </w:r>
          </w:p>
        </w:tc>
        <w:tc>
          <w:tcPr>
            <w:tcW w:w="2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11,415</w:t>
            </w:r>
          </w:p>
        </w:tc>
      </w:tr>
      <w:tr>
        <w:trPr>
          <w:trHeight w:val="229"/>
        </w:trPr>
        <w:tc>
          <w:tcPr>
            <w:tcW w:w="7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435</w:t>
            </w:r>
          </w:p>
        </w:tc>
      </w:tr>
      <w:tr>
        <w:trPr>
          <w:trHeight w:val="223"/>
        </w:trPr>
        <w:tc>
          <w:tcPr>
            <w:tcW w:w="722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auto"/>
              </w:rPr>
              <w:t>Total liabilities</w:t>
            </w:r>
          </w:p>
        </w:tc>
        <w:tc>
          <w:tcPr>
            <w:tcW w:w="4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8,595</w:t>
            </w:r>
          </w:p>
        </w:tc>
        <w:tc>
          <w:tcPr>
            <w:tcW w:w="26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11,850</w:t>
            </w:r>
          </w:p>
        </w:tc>
      </w:tr>
      <w:tr>
        <w:trPr>
          <w:trHeight w:val="223"/>
        </w:trPr>
        <w:tc>
          <w:tcPr>
            <w:tcW w:w="7660" w:type="dxa"/>
            <w:vAlign w:val="bottom"/>
            <w:gridSpan w:val="2"/>
            <w:shd w:val="clear" w:color="auto" w:fill="CFF0FC"/>
          </w:tcPr>
          <w:p>
            <w:pPr>
              <w:ind w:left="100"/>
              <w:spacing w:after="0" w:line="223" w:lineRule="exact"/>
              <w:rPr>
                <w:sz w:val="20"/>
                <w:szCs w:val="20"/>
                <w:color w:val="auto"/>
              </w:rPr>
            </w:pPr>
            <w:r>
              <w:rPr>
                <w:rFonts w:ascii="Times New Roman" w:cs="Times New Roman" w:eastAsia="Times New Roman" w:hAnsi="Times New Roman"/>
                <w:sz w:val="20"/>
                <w:szCs w:val="20"/>
                <w:color w:val="auto"/>
              </w:rPr>
              <w:t>Stockholders’ equity:</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5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552,474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551,082</w:t>
            </w:r>
          </w:p>
        </w:tc>
      </w:tr>
      <w:tr>
        <w:trPr>
          <w:trHeight w:val="230"/>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Accumulated deficit</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(464,492)</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(446,454)</w:t>
            </w:r>
          </w:p>
        </w:tc>
      </w:tr>
      <w:tr>
        <w:trPr>
          <w:trHeight w:val="230"/>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5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84</w:t>
            </w:r>
          </w:p>
        </w:tc>
      </w:tr>
      <w:tr>
        <w:trPr>
          <w:trHeight w:val="223"/>
        </w:trPr>
        <w:tc>
          <w:tcPr>
            <w:tcW w:w="7220" w:type="dxa"/>
            <w:vAlign w:val="bottom"/>
            <w:tcBorders>
              <w:top w:val="single" w:sz="8" w:color="CFF0FC"/>
              <w:bottom w:val="single" w:sz="8" w:color="CFF0FC"/>
            </w:tcBorders>
            <w:shd w:val="clear" w:color="auto" w:fill="CFF0FC"/>
          </w:tcPr>
          <w:p>
            <w:pPr>
              <w:ind w:left="660"/>
              <w:spacing w:after="0" w:line="223" w:lineRule="exact"/>
              <w:rPr>
                <w:sz w:val="20"/>
                <w:szCs w:val="20"/>
                <w:color w:val="auto"/>
              </w:rPr>
            </w:pPr>
            <w:r>
              <w:rPr>
                <w:rFonts w:ascii="Times New Roman" w:cs="Times New Roman" w:eastAsia="Times New Roman" w:hAnsi="Times New Roman"/>
                <w:sz w:val="20"/>
                <w:szCs w:val="20"/>
                <w:color w:val="auto"/>
              </w:rPr>
              <w:t>Total stockholders’ equity</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87,967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104,712</w:t>
            </w:r>
          </w:p>
        </w:tc>
      </w:tr>
      <w:tr>
        <w:trPr>
          <w:trHeight w:val="223"/>
        </w:trPr>
        <w:tc>
          <w:tcPr>
            <w:tcW w:w="766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5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96,562</w:t>
            </w:r>
          </w:p>
        </w:tc>
        <w:tc>
          <w:tcPr>
            <w:tcW w:w="1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116,562</w:t>
            </w:r>
          </w:p>
        </w:tc>
      </w:tr>
      <w:tr>
        <w:trPr>
          <w:trHeight w:val="20"/>
        </w:trPr>
        <w:tc>
          <w:tcPr>
            <w:tcW w:w="7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-1092200</wp:posOffset>
            </wp:positionV>
            <wp:extent cx="18859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-346075</wp:posOffset>
            </wp:positionV>
            <wp:extent cx="188595" cy="187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18796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1"/>
        </w:trPr>
        <w:tc>
          <w:tcPr>
            <w:tcW w:w="7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Exhibit 99.1</w:t>
            </w:r>
          </w:p>
        </w:tc>
      </w:tr>
      <w:tr>
        <w:trPr>
          <w:trHeight w:val="614"/>
        </w:trPr>
        <w:tc>
          <w:tcPr>
            <w:tcW w:w="7400" w:type="dxa"/>
            <w:vAlign w:val="bottom"/>
          </w:tcPr>
          <w:p>
            <w:pPr>
              <w:jc w:val="center"/>
              <w:ind w:left="3761"/>
              <w:spacing w:after="0"/>
              <w:rPr>
                <w:sz w:val="20"/>
                <w:szCs w:val="20"/>
                <w:color w:val="auto"/>
              </w:rPr>
            </w:pPr>
            <w:r>
              <w:rPr>
                <w:rFonts w:ascii="Arial" w:cs="Arial" w:eastAsia="Arial" w:hAnsi="Arial"/>
                <w:sz w:val="20"/>
                <w:szCs w:val="20"/>
                <w:b w:val="1"/>
                <w:bCs w:val="1"/>
                <w:color w:val="auto"/>
                <w:w w:val="98"/>
              </w:rPr>
              <w:t>PMV Pharmaceuticals, Inc.</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9340" w:type="dxa"/>
            <w:vAlign w:val="bottom"/>
            <w:gridSpan w:val="4"/>
          </w:tcPr>
          <w:p>
            <w:pPr>
              <w:jc w:val="center"/>
              <w:ind w:left="1801"/>
              <w:spacing w:after="0" w:line="216" w:lineRule="exact"/>
              <w:rPr>
                <w:sz w:val="20"/>
                <w:szCs w:val="20"/>
                <w:color w:val="auto"/>
              </w:rPr>
            </w:pPr>
            <w:r>
              <w:rPr>
                <w:rFonts w:ascii="Arial" w:cs="Arial" w:eastAsia="Arial" w:hAnsi="Arial"/>
                <w:sz w:val="20"/>
                <w:szCs w:val="20"/>
                <w:b w:val="1"/>
                <w:bCs w:val="1"/>
                <w:color w:val="auto"/>
                <w:w w:val="99"/>
              </w:rPr>
              <w:t>Condensed Consolidated Statements of Operations and Comprehensive Loss</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400" w:type="dxa"/>
            <w:vAlign w:val="bottom"/>
          </w:tcPr>
          <w:p>
            <w:pPr>
              <w:jc w:val="center"/>
              <w:ind w:left="3741"/>
              <w:spacing w:after="0" w:line="216" w:lineRule="exact"/>
              <w:rPr>
                <w:sz w:val="20"/>
                <w:szCs w:val="20"/>
                <w:color w:val="auto"/>
              </w:rPr>
            </w:pPr>
            <w:r>
              <w:rPr>
                <w:rFonts w:ascii="Arial" w:cs="Arial" w:eastAsia="Arial" w:hAnsi="Arial"/>
                <w:sz w:val="20"/>
                <w:szCs w:val="20"/>
                <w:b w:val="1"/>
                <w:bCs w:val="1"/>
                <w:color w:val="auto"/>
                <w:w w:val="99"/>
              </w:rPr>
              <w:t>(unaudited)</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3"/>
        </w:trPr>
        <w:tc>
          <w:tcPr>
            <w:tcW w:w="8260" w:type="dxa"/>
            <w:vAlign w:val="bottom"/>
            <w:gridSpan w:val="2"/>
          </w:tcPr>
          <w:p>
            <w:pPr>
              <w:jc w:val="center"/>
              <w:ind w:left="2881"/>
              <w:spacing w:after="0"/>
              <w:rPr>
                <w:sz w:val="20"/>
                <w:szCs w:val="20"/>
                <w:color w:val="auto"/>
              </w:rPr>
            </w:pPr>
            <w:r>
              <w:rPr>
                <w:rFonts w:ascii="Arial" w:cs="Arial" w:eastAsia="Arial" w:hAnsi="Arial"/>
                <w:sz w:val="20"/>
                <w:szCs w:val="20"/>
                <w:b w:val="1"/>
                <w:bCs w:val="1"/>
                <w:color w:val="auto"/>
                <w:w w:val="99"/>
              </w:rPr>
              <w:t>(in thousands, except share and per share amounts)</w:t>
            </w: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844"/>
        </w:trPr>
        <w:tc>
          <w:tcPr>
            <w:tcW w:w="7400" w:type="dxa"/>
            <w:vAlign w:val="bottom"/>
          </w:tcPr>
          <w:p>
            <w:pPr>
              <w:spacing w:after="0"/>
              <w:rPr>
                <w:sz w:val="24"/>
                <w:szCs w:val="24"/>
                <w:color w:val="auto"/>
              </w:rPr>
            </w:pPr>
          </w:p>
        </w:tc>
        <w:tc>
          <w:tcPr>
            <w:tcW w:w="3840" w:type="dxa"/>
            <w:vAlign w:val="bottom"/>
            <w:tcBorders>
              <w:bottom w:val="single" w:sz="8" w:color="auto"/>
            </w:tcBorders>
            <w:gridSpan w:val="5"/>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Three Months Ended March 31,</w:t>
            </w:r>
          </w:p>
        </w:tc>
      </w:tr>
      <w:tr>
        <w:trPr>
          <w:trHeight w:val="223"/>
        </w:trPr>
        <w:tc>
          <w:tcPr>
            <w:tcW w:w="7400" w:type="dxa"/>
            <w:vAlign w:val="bottom"/>
          </w:tcPr>
          <w:p>
            <w:pPr>
              <w:spacing w:after="0"/>
              <w:rPr>
                <w:sz w:val="19"/>
                <w:szCs w:val="19"/>
                <w:color w:val="auto"/>
              </w:rPr>
            </w:pPr>
          </w:p>
        </w:tc>
        <w:tc>
          <w:tcPr>
            <w:tcW w:w="1680" w:type="dxa"/>
            <w:vAlign w:val="bottom"/>
            <w:tcBorders>
              <w:bottom w:val="single" w:sz="8" w:color="auto"/>
            </w:tcBorders>
            <w:gridSpan w:val="2"/>
          </w:tcPr>
          <w:p>
            <w:pPr>
              <w:ind w:left="640"/>
              <w:spacing w:after="0" w:line="223" w:lineRule="exact"/>
              <w:rPr>
                <w:sz w:val="20"/>
                <w:szCs w:val="20"/>
                <w:color w:val="auto"/>
              </w:rPr>
            </w:pPr>
            <w:r>
              <w:rPr>
                <w:rFonts w:ascii="Times New Roman" w:cs="Times New Roman" w:eastAsia="Times New Roman" w:hAnsi="Times New Roman"/>
                <w:sz w:val="20"/>
                <w:szCs w:val="20"/>
                <w:b w:val="1"/>
                <w:bCs w:val="1"/>
                <w:color w:val="auto"/>
              </w:rPr>
              <w:t>2026</w:t>
            </w:r>
          </w:p>
        </w:tc>
        <w:tc>
          <w:tcPr>
            <w:tcW w:w="260" w:type="dxa"/>
            <w:vAlign w:val="bottom"/>
          </w:tcPr>
          <w:p>
            <w:pPr>
              <w:spacing w:after="0"/>
              <w:rPr>
                <w:sz w:val="19"/>
                <w:szCs w:val="19"/>
                <w:color w:val="auto"/>
              </w:rPr>
            </w:pPr>
          </w:p>
        </w:tc>
        <w:tc>
          <w:tcPr>
            <w:tcW w:w="1900" w:type="dxa"/>
            <w:vAlign w:val="bottom"/>
            <w:tcBorders>
              <w:bottom w:val="single" w:sz="8" w:color="auto"/>
            </w:tcBorders>
            <w:gridSpan w:val="2"/>
          </w:tcPr>
          <w:p>
            <w:pPr>
              <w:jc w:val="right"/>
              <w:ind w:right="661"/>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r>
      <w:tr>
        <w:trPr>
          <w:trHeight w:val="223"/>
        </w:trPr>
        <w:tc>
          <w:tcPr>
            <w:tcW w:w="7400" w:type="dxa"/>
            <w:vAlign w:val="bottom"/>
            <w:shd w:val="clear" w:color="auto" w:fill="CFF0FC"/>
          </w:tcPr>
          <w:p>
            <w:pPr>
              <w:ind w:left="100"/>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74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15,330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17,441</w:t>
            </w:r>
          </w:p>
        </w:tc>
      </w:tr>
      <w:tr>
        <w:trPr>
          <w:trHeight w:val="229"/>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8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3,689</w:t>
            </w:r>
          </w:p>
        </w:tc>
        <w:tc>
          <w:tcPr>
            <w:tcW w:w="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4,123</w:t>
            </w:r>
          </w:p>
        </w:tc>
      </w:tr>
      <w:tr>
        <w:trPr>
          <w:trHeight w:val="223"/>
        </w:trPr>
        <w:tc>
          <w:tcPr>
            <w:tcW w:w="7400" w:type="dxa"/>
            <w:vAlign w:val="bottom"/>
          </w:tcPr>
          <w:p>
            <w:pPr>
              <w:ind w:left="68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19,019</w:t>
            </w:r>
          </w:p>
        </w:tc>
        <w:tc>
          <w:tcPr>
            <w:tcW w:w="2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21,564</w:t>
            </w:r>
          </w:p>
        </w:tc>
      </w:tr>
      <w:tr>
        <w:trPr>
          <w:trHeight w:val="223"/>
        </w:trPr>
        <w:tc>
          <w:tcPr>
            <w:tcW w:w="7400" w:type="dxa"/>
            <w:vAlign w:val="bottom"/>
            <w:shd w:val="clear" w:color="auto" w:fill="CFF0FC"/>
          </w:tcPr>
          <w:p>
            <w:pPr>
              <w:ind w:left="380"/>
              <w:spacing w:after="0" w:line="223" w:lineRule="exact"/>
              <w:rPr>
                <w:sz w:val="20"/>
                <w:szCs w:val="20"/>
                <w:color w:val="auto"/>
              </w:rPr>
            </w:pPr>
            <w:r>
              <w:rPr>
                <w:rFonts w:ascii="Times New Roman" w:cs="Times New Roman" w:eastAsia="Times New Roman" w:hAnsi="Times New Roman"/>
                <w:sz w:val="20"/>
                <w:szCs w:val="20"/>
                <w:color w:val="auto"/>
              </w:rPr>
              <w:t>Loss from operations</w:t>
            </w: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(19,019)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(21,564)</w:t>
            </w:r>
          </w:p>
        </w:tc>
      </w:tr>
      <w:tr>
        <w:trPr>
          <w:trHeight w:val="230"/>
        </w:trPr>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income (expense):</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Interest income, net</w:t>
            </w: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980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1,935</w:t>
            </w:r>
          </w:p>
        </w:tc>
      </w:tr>
      <w:tr>
        <w:trPr>
          <w:trHeight w:val="229"/>
        </w:trPr>
        <w:tc>
          <w:tcPr>
            <w:tcW w:w="74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20"/>
                <w:szCs w:val="20"/>
                <w:color w:val="auto"/>
              </w:rPr>
              <w:t>Other income (expense), net</w:t>
            </w: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w:t>
            </w:r>
          </w:p>
        </w:tc>
      </w:tr>
      <w:tr>
        <w:trPr>
          <w:trHeight w:val="223"/>
        </w:trPr>
        <w:tc>
          <w:tcPr>
            <w:tcW w:w="7400" w:type="dxa"/>
            <w:vAlign w:val="bottom"/>
            <w:tcBorders>
              <w:bottom w:val="single" w:sz="8" w:color="CFF0FC"/>
            </w:tcBorders>
            <w:shd w:val="clear" w:color="auto" w:fill="CFF0FC"/>
          </w:tcPr>
          <w:p>
            <w:pPr>
              <w:ind w:left="680"/>
              <w:spacing w:after="0" w:line="223" w:lineRule="exact"/>
              <w:rPr>
                <w:sz w:val="20"/>
                <w:szCs w:val="20"/>
                <w:color w:val="auto"/>
              </w:rPr>
            </w:pPr>
            <w:r>
              <w:rPr>
                <w:rFonts w:ascii="Times New Roman" w:cs="Times New Roman" w:eastAsia="Times New Roman" w:hAnsi="Times New Roman"/>
                <w:sz w:val="20"/>
                <w:szCs w:val="20"/>
                <w:color w:val="auto"/>
              </w:rPr>
              <w:t>Total other income</w:t>
            </w:r>
          </w:p>
        </w:tc>
        <w:tc>
          <w:tcPr>
            <w:tcW w:w="8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981</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1,931</w:t>
            </w:r>
          </w:p>
        </w:tc>
      </w:tr>
      <w:tr>
        <w:trPr>
          <w:trHeight w:val="223"/>
        </w:trPr>
        <w:tc>
          <w:tcPr>
            <w:tcW w:w="7400" w:type="dxa"/>
            <w:vAlign w:val="bottom"/>
          </w:tcPr>
          <w:p>
            <w:pPr>
              <w:ind w:left="380"/>
              <w:spacing w:after="0" w:line="223" w:lineRule="exact"/>
              <w:rPr>
                <w:sz w:val="20"/>
                <w:szCs w:val="20"/>
                <w:color w:val="auto"/>
              </w:rPr>
            </w:pPr>
            <w:r>
              <w:rPr>
                <w:rFonts w:ascii="Times New Roman" w:cs="Times New Roman" w:eastAsia="Times New Roman" w:hAnsi="Times New Roman"/>
                <w:sz w:val="20"/>
                <w:szCs w:val="20"/>
                <w:color w:val="auto"/>
              </w:rPr>
              <w:t>Loss before (benefit) provision for income taxes</w:t>
            </w:r>
          </w:p>
        </w:tc>
        <w:tc>
          <w:tcPr>
            <w:tcW w:w="860" w:type="dxa"/>
            <w:vAlign w:val="bottom"/>
          </w:tcPr>
          <w:p>
            <w:pPr>
              <w:spacing w:after="0"/>
              <w:rPr>
                <w:sz w:val="19"/>
                <w:szCs w:val="19"/>
                <w:color w:val="auto"/>
              </w:rPr>
            </w:pPr>
          </w:p>
        </w:tc>
        <w:tc>
          <w:tcPr>
            <w:tcW w:w="8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(18,038)</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(19,633)</w:t>
            </w:r>
          </w:p>
        </w:tc>
      </w:tr>
      <w:tr>
        <w:trPr>
          <w:trHeight w:val="229"/>
        </w:trPr>
        <w:tc>
          <w:tcPr>
            <w:tcW w:w="74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8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(2,197)</w:t>
            </w:r>
          </w:p>
        </w:tc>
      </w:tr>
      <w:tr>
        <w:trPr>
          <w:trHeight w:val="223"/>
        </w:trPr>
        <w:tc>
          <w:tcPr>
            <w:tcW w:w="7400" w:type="dxa"/>
            <w:vAlign w:val="bottom"/>
          </w:tcPr>
          <w:p>
            <w:pPr>
              <w:ind w:left="380"/>
              <w:spacing w:after="0" w:line="223" w:lineRule="exact"/>
              <w:rPr>
                <w:sz w:val="20"/>
                <w:szCs w:val="20"/>
                <w:color w:val="auto"/>
              </w:rPr>
            </w:pPr>
            <w:r>
              <w:rPr>
                <w:rFonts w:ascii="Times New Roman" w:cs="Times New Roman" w:eastAsia="Times New Roman" w:hAnsi="Times New Roman"/>
                <w:sz w:val="20"/>
                <w:szCs w:val="20"/>
                <w:color w:val="auto"/>
              </w:rPr>
              <w:t>Net loss</w:t>
            </w:r>
          </w:p>
        </w:tc>
        <w:tc>
          <w:tcPr>
            <w:tcW w:w="8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(18,038)</w:t>
            </w:r>
          </w:p>
        </w:tc>
        <w:tc>
          <w:tcPr>
            <w:tcW w:w="2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(17,436)</w:t>
            </w:r>
          </w:p>
        </w:tc>
      </w:tr>
      <w:tr>
        <w:trPr>
          <w:trHeight w:val="229"/>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Unrealized loss on available for sale investments, net of tax</w:t>
            </w: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(101)</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74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Foreign currency translation gain</w:t>
            </w: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w:t>
            </w:r>
          </w:p>
        </w:tc>
        <w:tc>
          <w:tcPr>
            <w:tcW w:w="2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7</w:t>
            </w:r>
          </w:p>
        </w:tc>
      </w:tr>
      <w:tr>
        <w:trPr>
          <w:trHeight w:val="223"/>
        </w:trPr>
        <w:tc>
          <w:tcPr>
            <w:tcW w:w="7400" w:type="dxa"/>
            <w:vAlign w:val="bottom"/>
            <w:shd w:val="clear" w:color="auto" w:fill="CFF0FC"/>
          </w:tcPr>
          <w:p>
            <w:pPr>
              <w:ind w:left="380"/>
              <w:spacing w:after="0" w:line="223" w:lineRule="exact"/>
              <w:rPr>
                <w:sz w:val="20"/>
                <w:szCs w:val="20"/>
                <w:color w:val="auto"/>
              </w:rPr>
            </w:pPr>
            <w:r>
              <w:rPr>
                <w:rFonts w:ascii="Times New Roman" w:cs="Times New Roman" w:eastAsia="Times New Roman" w:hAnsi="Times New Roman"/>
                <w:sz w:val="20"/>
                <w:szCs w:val="20"/>
                <w:color w:val="auto"/>
              </w:rPr>
              <w:t>Total other comprehensive loss</w:t>
            </w:r>
          </w:p>
        </w:tc>
        <w:tc>
          <w:tcPr>
            <w:tcW w:w="8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(99)</w:t>
            </w:r>
          </w:p>
        </w:tc>
        <w:tc>
          <w:tcPr>
            <w:tcW w:w="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(55)</w:t>
            </w:r>
          </w:p>
        </w:tc>
      </w:tr>
      <w:tr>
        <w:trPr>
          <w:trHeight w:val="223"/>
        </w:trPr>
        <w:tc>
          <w:tcPr>
            <w:tcW w:w="7400" w:type="dxa"/>
            <w:vAlign w:val="bottom"/>
          </w:tcPr>
          <w:p>
            <w:pPr>
              <w:ind w:left="380"/>
              <w:spacing w:after="0" w:line="223" w:lineRule="exact"/>
              <w:rPr>
                <w:sz w:val="20"/>
                <w:szCs w:val="20"/>
                <w:color w:val="auto"/>
              </w:rPr>
            </w:pPr>
            <w:r>
              <w:rPr>
                <w:rFonts w:ascii="Times New Roman" w:cs="Times New Roman" w:eastAsia="Times New Roman" w:hAnsi="Times New Roman"/>
                <w:sz w:val="20"/>
                <w:szCs w:val="20"/>
                <w:color w:val="auto"/>
              </w:rPr>
              <w:t>Total comprehensive loss</w:t>
            </w:r>
          </w:p>
        </w:tc>
        <w:tc>
          <w:tcPr>
            <w:tcW w:w="8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(18,137)</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(17,491)</w:t>
            </w:r>
          </w:p>
        </w:tc>
      </w:tr>
      <w:tr>
        <w:trPr>
          <w:trHeight w:val="20"/>
        </w:trPr>
        <w:tc>
          <w:tcPr>
            <w:tcW w:w="7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74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0"/>
        </w:trPr>
        <w:tc>
          <w:tcPr>
            <w:tcW w:w="74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Net loss per share -- basic and diluted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(0.34)</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(0.34)</w:t>
            </w:r>
          </w:p>
        </w:tc>
      </w:tr>
      <w:tr>
        <w:trPr>
          <w:trHeight w:val="20"/>
        </w:trPr>
        <w:tc>
          <w:tcPr>
            <w:tcW w:w="7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380"/>
              <w:spacing w:after="0" w:line="210" w:lineRule="exact"/>
              <w:rPr>
                <w:sz w:val="20"/>
                <w:szCs w:val="20"/>
                <w:color w:val="auto"/>
              </w:rPr>
            </w:pPr>
            <w:r>
              <w:rPr>
                <w:rFonts w:ascii="Times New Roman" w:cs="Times New Roman" w:eastAsia="Times New Roman" w:hAnsi="Times New Roman"/>
                <w:sz w:val="20"/>
                <w:szCs w:val="20"/>
                <w:color w:val="auto"/>
              </w:rPr>
              <w:t>Weighted-average common shares outstanding</w:t>
            </w:r>
          </w:p>
        </w:tc>
        <w:tc>
          <w:tcPr>
            <w:tcW w:w="1680" w:type="dxa"/>
            <w:vAlign w:val="bottom"/>
            <w:tcBorders>
              <w:bottom w:val="single" w:sz="8" w:color="auto"/>
            </w:tcBorders>
            <w:gridSpan w:val="2"/>
            <w:shd w:val="clear" w:color="auto" w:fill="CFF0FC"/>
          </w:tcPr>
          <w:p>
            <w:pPr>
              <w:jc w:val="right"/>
              <w:ind w:right="41"/>
              <w:spacing w:after="0" w:line="210" w:lineRule="exact"/>
              <w:rPr>
                <w:sz w:val="20"/>
                <w:szCs w:val="20"/>
                <w:color w:val="auto"/>
              </w:rPr>
            </w:pPr>
            <w:r>
              <w:rPr>
                <w:rFonts w:ascii="Times New Roman" w:cs="Times New Roman" w:eastAsia="Times New Roman" w:hAnsi="Times New Roman"/>
                <w:sz w:val="20"/>
                <w:szCs w:val="20"/>
                <w:color w:val="auto"/>
              </w:rPr>
              <w:t>53,331,766</w:t>
            </w:r>
          </w:p>
        </w:tc>
        <w:tc>
          <w:tcPr>
            <w:tcW w:w="26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gridSpan w:val="2"/>
            <w:shd w:val="clear" w:color="auto" w:fill="CFF0FC"/>
          </w:tcPr>
          <w:p>
            <w:pPr>
              <w:jc w:val="right"/>
              <w:ind w:right="41"/>
              <w:spacing w:after="0" w:line="210" w:lineRule="exact"/>
              <w:rPr>
                <w:sz w:val="20"/>
                <w:szCs w:val="20"/>
                <w:color w:val="auto"/>
              </w:rPr>
            </w:pPr>
            <w:r>
              <w:rPr>
                <w:rFonts w:ascii="Times New Roman" w:cs="Times New Roman" w:eastAsia="Times New Roman" w:hAnsi="Times New Roman"/>
                <w:sz w:val="20"/>
                <w:szCs w:val="20"/>
                <w:color w:val="auto"/>
              </w:rPr>
              <w:t>51,952,062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5753100</wp:posOffset>
            </wp:positionH>
            <wp:positionV relativeFrom="paragraph">
              <wp:posOffset>-2498090</wp:posOffset>
            </wp:positionV>
            <wp:extent cx="18859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-1752600</wp:posOffset>
            </wp:positionV>
            <wp:extent cx="18859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163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163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Investors Contact:</w:t>
      </w:r>
    </w:p>
    <w:p>
      <w:pPr>
        <w:spacing w:after="0" w:line="229" w:lineRule="auto"/>
        <w:rPr>
          <w:sz w:val="20"/>
          <w:szCs w:val="20"/>
          <w:color w:val="auto"/>
        </w:rPr>
      </w:pPr>
      <w:r>
        <w:rPr>
          <w:rFonts w:ascii="Arial" w:cs="Arial" w:eastAsia="Arial" w:hAnsi="Arial"/>
          <w:sz w:val="20"/>
          <w:szCs w:val="20"/>
          <w:color w:val="auto"/>
        </w:rPr>
        <w:t>Tim Smith</w:t>
      </w:r>
    </w:p>
    <w:p>
      <w:pPr>
        <w:spacing w:after="0" w:line="1" w:lineRule="exact"/>
        <w:rPr>
          <w:sz w:val="20"/>
          <w:szCs w:val="20"/>
          <w:color w:val="auto"/>
        </w:rPr>
      </w:pPr>
    </w:p>
    <w:p>
      <w:pPr>
        <w:ind w:right="4340"/>
        <w:spacing w:after="0" w:line="239" w:lineRule="auto"/>
        <w:rPr>
          <w:sz w:val="20"/>
          <w:szCs w:val="20"/>
          <w:color w:val="auto"/>
        </w:rPr>
      </w:pPr>
      <w:r>
        <w:rPr>
          <w:rFonts w:ascii="Arial" w:cs="Arial" w:eastAsia="Arial" w:hAnsi="Arial"/>
          <w:sz w:val="20"/>
          <w:szCs w:val="20"/>
          <w:color w:val="auto"/>
        </w:rPr>
        <w:t>Senior Vice President, Head of Corporate Development and Investor Relations investors@pmvpharma.com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Media Contact:</w:t>
      </w:r>
    </w:p>
    <w:p>
      <w:pPr>
        <w:spacing w:after="0" w:line="229" w:lineRule="auto"/>
        <w:rPr>
          <w:sz w:val="20"/>
          <w:szCs w:val="20"/>
          <w:color w:val="auto"/>
        </w:rPr>
      </w:pPr>
      <w:r>
        <w:rPr>
          <w:rFonts w:ascii="Arial" w:cs="Arial" w:eastAsia="Arial" w:hAnsi="Arial"/>
          <w:sz w:val="20"/>
          <w:szCs w:val="20"/>
          <w:color w:val="auto"/>
        </w:rPr>
        <w:t>Kathy Vincent</w:t>
      </w:r>
    </w:p>
    <w:p>
      <w:pPr>
        <w:spacing w:after="0" w:line="226" w:lineRule="auto"/>
        <w:rPr>
          <w:sz w:val="20"/>
          <w:szCs w:val="20"/>
          <w:color w:val="auto"/>
        </w:rPr>
      </w:pPr>
      <w:r>
        <w:rPr>
          <w:rFonts w:ascii="Arial" w:cs="Arial" w:eastAsia="Arial" w:hAnsi="Arial"/>
          <w:sz w:val="20"/>
          <w:szCs w:val="20"/>
          <w:color w:val="auto"/>
        </w:rPr>
        <w:t>Greig Communications</w:t>
      </w:r>
    </w:p>
    <w:p>
      <w:pPr>
        <w:spacing w:after="0"/>
        <w:rPr>
          <w:sz w:val="20"/>
          <w:szCs w:val="20"/>
          <w:color w:val="auto"/>
        </w:rPr>
      </w:pPr>
      <w:r>
        <w:rPr>
          <w:rFonts w:ascii="Arial" w:cs="Arial" w:eastAsia="Arial" w:hAnsi="Arial"/>
          <w:sz w:val="20"/>
          <w:szCs w:val="20"/>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2026-05-12T07:03:37Z</dcterms:created>
  <dcterms:modified xsi:type="dcterms:W3CDTF">2026-05-12T07:03:37Z</dcterms:modified>
</cp:coreProperties>
</file>