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 w:lineRule="exact"/>
        <w:rPr>
          <w:sz w:val="24"/>
          <w:szCs w:val="24"/>
          <w:color w:val="auto"/>
        </w:rPr>
      </w:pPr>
    </w:p>
    <w:p>
      <w:pPr>
        <w:ind w:left="3880" w:right="1640" w:hanging="3859"/>
        <w:spacing w:after="0" w:line="320"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04"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5"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46-3218129</w:t>
            </w:r>
          </w:p>
        </w:tc>
      </w:tr>
      <w:tr>
        <w:trPr>
          <w:trHeight w:val="153"/>
        </w:trPr>
        <w:tc>
          <w:tcPr>
            <w:tcW w:w="4320" w:type="dxa"/>
            <w:vAlign w:val="bottom"/>
          </w:tcPr>
          <w:p>
            <w:pPr>
              <w:jc w:val="center"/>
              <w:ind w:right="183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One Research Way</w:t>
            </w:r>
          </w:p>
        </w:tc>
        <w:tc>
          <w:tcPr>
            <w:tcW w:w="3060" w:type="dxa"/>
            <w:vAlign w:val="bottom"/>
          </w:tcPr>
          <w:p>
            <w:pPr>
              <w:spacing w:after="0"/>
              <w:rPr>
                <w:sz w:val="24"/>
                <w:szCs w:val="24"/>
                <w:color w:val="auto"/>
              </w:rPr>
            </w:pPr>
          </w:p>
        </w:tc>
      </w:tr>
      <w:tr>
        <w:trPr>
          <w:trHeight w:val="234"/>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Princeton, NJ</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08540</w:t>
            </w:r>
          </w:p>
        </w:tc>
      </w:tr>
      <w:tr>
        <w:trPr>
          <w:trHeight w:val="190"/>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color w:val="auto"/>
                <w:w w:val="90"/>
              </w:rPr>
              <w:t>Common stock, par value $0.00001</w:t>
            </w:r>
          </w:p>
        </w:tc>
        <w:tc>
          <w:tcPr>
            <w:tcW w:w="1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PMVP</w:t>
            </w:r>
          </w:p>
        </w:tc>
        <w:tc>
          <w:tcPr>
            <w:tcW w:w="1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80" w:firstLine="509"/>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60" w:firstLine="509"/>
        <w:spacing w:after="0" w:line="22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260" w:firstLine="509"/>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3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2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300"/>
              <w:spacing w:after="0"/>
              <w:rPr>
                <w:sz w:val="20"/>
                <w:szCs w:val="20"/>
                <w:color w:val="auto"/>
              </w:rPr>
            </w:pPr>
            <w:r>
              <w:rPr>
                <w:rFonts w:ascii="Arial" w:cs="Arial" w:eastAsia="Arial" w:hAnsi="Arial"/>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38"/>
        </w:trPr>
        <w:tc>
          <w:tcPr>
            <w:tcW w:w="2320" w:type="dxa"/>
            <w:vAlign w:val="bottom"/>
          </w:tcPr>
          <w:p>
            <w:pPr>
              <w:spacing w:after="0"/>
              <w:rPr>
                <w:sz w:val="20"/>
                <w:szCs w:val="20"/>
                <w:color w:val="auto"/>
              </w:rPr>
            </w:pPr>
            <w:r>
              <w:rPr>
                <w:rFonts w:ascii="Arial" w:cs="Arial" w:eastAsia="Arial" w:hAnsi="Arial"/>
                <w:sz w:val="17"/>
                <w:szCs w:val="17"/>
                <w:color w:val="auto"/>
              </w:rPr>
              <w:t>Non-accelerated filer</w:t>
            </w:r>
          </w:p>
        </w:tc>
        <w:tc>
          <w:tcPr>
            <w:tcW w:w="322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30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38"/>
        </w:trPr>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tcPr>
          <w:p>
            <w:pPr>
              <w:ind w:left="2300"/>
              <w:spacing w:after="0"/>
              <w:rPr>
                <w:sz w:val="20"/>
                <w:szCs w:val="20"/>
                <w:color w:val="auto"/>
              </w:rPr>
            </w:pPr>
            <w:r>
              <w:rPr>
                <w:rFonts w:ascii="Arial" w:cs="Arial" w:eastAsia="Arial" w:hAnsi="Arial"/>
                <w:sz w:val="17"/>
                <w:szCs w:val="17"/>
                <w:color w:val="auto"/>
              </w:rPr>
              <w:t>Emerging growth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39" w:lineRule="exact"/>
        <w:rPr>
          <w:sz w:val="24"/>
          <w:szCs w:val="24"/>
          <w:color w:val="auto"/>
        </w:rPr>
      </w:pPr>
    </w:p>
    <w:p>
      <w:pPr>
        <w:ind w:right="20" w:firstLine="509"/>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520"/>
        <w:spacing w:after="0" w:line="196" w:lineRule="exact"/>
        <w:tabs>
          <w:tab w:leader="none" w:pos="89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7" w:lineRule="exact"/>
        <w:rPr>
          <w:sz w:val="24"/>
          <w:szCs w:val="24"/>
          <w:color w:val="auto"/>
        </w:rPr>
      </w:pPr>
    </w:p>
    <w:p>
      <w:pPr>
        <w:ind w:right="40" w:firstLine="509"/>
        <w:spacing w:after="0" w:line="230"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August 7, 2023, the registrant had 48,454,582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FINANCIAL INFORMATION</w:t>
            </w:r>
          </w:p>
        </w:tc>
        <w:tc>
          <w:tcPr>
            <w:tcW w:w="7020" w:type="dxa"/>
            <w:vAlign w:val="bottom"/>
            <w:gridSpan w:val="11"/>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8"/>
          </w:tcPr>
          <w:p>
            <w:pPr>
              <w:spacing w:after="0"/>
              <w:rPr>
                <w:sz w:val="20"/>
                <w:szCs w:val="20"/>
                <w:color w:val="auto"/>
              </w:rPr>
            </w:pPr>
            <w:r>
              <w:rPr>
                <w:rFonts w:ascii="Arial" w:cs="Arial" w:eastAsia="Arial" w:hAnsi="Arial"/>
                <w:sz w:val="18"/>
                <w:szCs w:val="18"/>
                <w:color w:val="0000FF"/>
              </w:rPr>
              <w:t>Condensed 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Balance Sheets (Unaudited)</w:t>
            </w:r>
          </w:p>
        </w:tc>
        <w:tc>
          <w:tcPr>
            <w:tcW w:w="400" w:type="dxa"/>
            <w:vAlign w:val="bottom"/>
            <w:tcBorders>
              <w:top w:val="single" w:sz="8" w:color="0000FF"/>
            </w:tcBorders>
          </w:tcPr>
          <w:p>
            <w:pPr>
              <w:spacing w:after="0"/>
              <w:rPr>
                <w:sz w:val="19"/>
                <w:szCs w:val="19"/>
                <w:color w:val="auto"/>
              </w:rPr>
            </w:pPr>
          </w:p>
        </w:tc>
        <w:tc>
          <w:tcPr>
            <w:tcW w:w="6020" w:type="dxa"/>
            <w:vAlign w:val="bottom"/>
            <w:gridSpan w:val="8"/>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80" w:type="dxa"/>
            <w:vAlign w:val="bottom"/>
            <w:gridSpan w:val="18"/>
          </w:tcPr>
          <w:p>
            <w:pPr>
              <w:spacing w:after="0"/>
              <w:rPr>
                <w:sz w:val="20"/>
                <w:szCs w:val="20"/>
                <w:color w:val="auto"/>
              </w:rPr>
            </w:pPr>
            <w:r>
              <w:rPr>
                <w:rFonts w:ascii="Arial" w:cs="Arial" w:eastAsia="Arial" w:hAnsi="Arial"/>
                <w:sz w:val="18"/>
                <w:szCs w:val="18"/>
                <w:color w:val="0000FF"/>
              </w:rPr>
              <w:t>Condensed Statements of Operations and Comprehensive Loss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4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Condensed Statements of Stockholders’ Equity (Unaudited)</w:t>
            </w:r>
          </w:p>
        </w:tc>
        <w:tc>
          <w:tcPr>
            <w:tcW w:w="3840" w:type="dxa"/>
            <w:vAlign w:val="bottom"/>
            <w:gridSpan w:val="2"/>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9"/>
              </w:rPr>
              <w:t>Condensed Statements of Cash Flows (Unaudited)</w:t>
            </w:r>
          </w:p>
        </w:tc>
        <w:tc>
          <w:tcPr>
            <w:tcW w:w="660" w:type="dxa"/>
            <w:vAlign w:val="bottom"/>
            <w:tcBorders>
              <w:top w:val="single" w:sz="8" w:color="0000FF"/>
            </w:tcBorders>
            <w:gridSpan w:val="2"/>
          </w:tcPr>
          <w:p>
            <w:pPr>
              <w:spacing w:after="0"/>
              <w:rPr>
                <w:sz w:val="19"/>
                <w:szCs w:val="19"/>
                <w:color w:val="auto"/>
              </w:rPr>
            </w:pPr>
          </w:p>
        </w:tc>
        <w:tc>
          <w:tcPr>
            <w:tcW w:w="4980" w:type="dxa"/>
            <w:vAlign w:val="bottom"/>
            <w:gridSpan w:val="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Notes to Unaudited Condensed Financial Statements</w:t>
            </w:r>
          </w:p>
        </w:tc>
        <w:tc>
          <w:tcPr>
            <w:tcW w:w="5480" w:type="dxa"/>
            <w:vAlign w:val="bottom"/>
            <w:gridSpan w:val="6"/>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900" w:type="dxa"/>
            <w:vAlign w:val="bottom"/>
            <w:gridSpan w:val="3"/>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Controls and Procedures</w:t>
            </w:r>
          </w:p>
        </w:tc>
        <w:tc>
          <w:tcPr>
            <w:tcW w:w="750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8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2"/>
          </w:tcPr>
          <w:p>
            <w:pPr>
              <w:spacing w:after="0"/>
              <w:rPr>
                <w:sz w:val="19"/>
                <w:szCs w:val="19"/>
                <w:color w:val="auto"/>
              </w:rPr>
            </w:pPr>
          </w:p>
        </w:tc>
        <w:tc>
          <w:tcPr>
            <w:tcW w:w="7400" w:type="dxa"/>
            <w:vAlign w:val="bottom"/>
            <w:gridSpan w:val="12"/>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20" w:type="dxa"/>
            <w:vAlign w:val="bottom"/>
            <w:gridSpan w:val="4"/>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8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3"/>
          </w:tcPr>
          <w:p>
            <w:pPr>
              <w:spacing w:after="0"/>
              <w:rPr>
                <w:sz w:val="19"/>
                <w:szCs w:val="19"/>
                <w:color w:val="auto"/>
              </w:rPr>
            </w:pPr>
          </w:p>
        </w:tc>
        <w:tc>
          <w:tcPr>
            <w:tcW w:w="6960" w:type="dxa"/>
            <w:vAlign w:val="bottom"/>
            <w:gridSpan w:val="10"/>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7960" w:type="dxa"/>
            <w:vAlign w:val="bottom"/>
            <w:gridSpan w:val="1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88"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right="2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when needed, including funding necessary to complete further development and commercialization of our product candidates, if approved;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for each of our programs including patients expected to have certain p53 mutations and the number of patients that will enroll in our clinical trials;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900" w:right="20" w:hanging="383"/>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w:t>
      </w:r>
    </w:p>
    <w:p>
      <w:pPr>
        <w:spacing w:after="0" w:line="75"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rely on third parties to conduct and support preclinical and clinical development;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 w:name="page4"/>
    <w:bookmarkEnd w:id="3"/>
    <w:p>
      <w:pPr>
        <w:ind w:left="900" w:hanging="383"/>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 and</w:t>
      </w:r>
    </w:p>
    <w:p>
      <w:pPr>
        <w:spacing w:after="0" w:line="128" w:lineRule="exact"/>
        <w:rPr>
          <w:rFonts w:ascii="Arial" w:cs="Arial" w:eastAsia="Arial" w:hAnsi="Arial"/>
          <w:sz w:val="17"/>
          <w:szCs w:val="17"/>
          <w:color w:val="auto"/>
        </w:rPr>
      </w:pPr>
    </w:p>
    <w:p>
      <w:pPr>
        <w:ind w:left="900" w:right="220" w:hanging="383"/>
        <w:spacing w:after="0" w:line="2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ongoing COVID-19 pandemic, geopolitical tensions such as the Ukraine-Russia war, macroeconomic events such as global supply chain challenges, elevated inflation and interest rates and monetary policy changes, or other potential global disruptions on our business.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2022, filed with the United States Securities and Exchange Commission on March 1, 2023,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4"/>
                <w:szCs w:val="14"/>
                <w:color w:val="auto"/>
              </w:rPr>
            </w:pPr>
          </w:p>
        </w:tc>
        <w:tc>
          <w:tcPr>
            <w:tcW w:w="14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6"/>
                <w:szCs w:val="16"/>
                <w:color w:val="auto"/>
              </w:rPr>
            </w:pPr>
          </w:p>
        </w:tc>
        <w:tc>
          <w:tcPr>
            <w:tcW w:w="13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68,209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108,297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 current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118,878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190,413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247,006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 noncurrent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8,729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242,216</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7,940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11,447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0"/>
              <w:spacing w:after="0"/>
              <w:rPr>
                <w:sz w:val="20"/>
                <w:szCs w:val="20"/>
                <w:color w:val="auto"/>
              </w:rPr>
            </w:pPr>
            <w:r>
              <w:rPr>
                <w:rFonts w:ascii="Arial" w:cs="Arial" w:eastAsia="Arial" w:hAnsi="Arial"/>
                <w:sz w:val="18"/>
                <w:szCs w:val="18"/>
                <w:color w:val="auto"/>
                <w:w w:val="91"/>
              </w:rPr>
              <w:t>Preferred stock, $0.00001 par value, 5,000,000 shares authorized at June 30, 2023 and December 31,</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2022. No shares issued or outstanding at June 30, 2023 and December 31, 2022.</w:t>
            </w:r>
          </w:p>
        </w:tc>
        <w:tc>
          <w:tcPr>
            <w:tcW w:w="28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$0.00001 par value, 1,000,000,000 shares authorized; 46,143,536 and</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45,771,332 shares issued and outstanding at June 30, 2023 and December 31, 2022, respectively.</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495,744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487,516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(277,607 )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(241,043 )</w:t>
            </w:r>
          </w:p>
        </w:tc>
        <w:tc>
          <w:tcPr>
            <w:tcW w:w="0" w:type="dxa"/>
            <w:vAlign w:val="bottom"/>
          </w:tcPr>
          <w:p>
            <w:pPr>
              <w:spacing w:after="0"/>
              <w:rPr>
                <w:sz w:val="1"/>
                <w:szCs w:val="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(328 )</w:t>
            </w: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(445 )</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217,809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246,028</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242,216</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-2999740</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-2999740</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-2039620</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-2039620</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-1722120</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-1722120</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8572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6"/>
                <w:szCs w:val="16"/>
                <w:color w:val="auto"/>
              </w:rPr>
            </w:pPr>
          </w:p>
        </w:tc>
        <w:tc>
          <w:tcPr>
            <w:tcW w:w="250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13,843</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11,462</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28,916</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23,297</w:t>
            </w:r>
          </w:p>
        </w:tc>
        <w:tc>
          <w:tcPr>
            <w:tcW w:w="140" w:type="dxa"/>
            <w:vAlign w:val="bottom"/>
          </w:tcPr>
          <w:p>
            <w:pPr>
              <w:spacing w:after="0"/>
              <w:rPr>
                <w:sz w:val="20"/>
                <w:szCs w:val="20"/>
                <w:color w:val="auto"/>
              </w:rPr>
            </w:pPr>
          </w:p>
        </w:tc>
      </w:tr>
      <w:tr>
        <w:trPr>
          <w:trHeight w:val="249"/>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36,503</w:t>
            </w:r>
          </w:p>
        </w:tc>
        <w:tc>
          <w:tcPr>
            <w:tcW w:w="140" w:type="dxa"/>
            <w:vAlign w:val="bottom"/>
          </w:tcPr>
          <w:p>
            <w:pPr>
              <w:spacing w:after="0"/>
              <w:rPr>
                <w:sz w:val="20"/>
                <w:szCs w:val="20"/>
                <w:color w:val="auto"/>
              </w:rPr>
            </w:pPr>
          </w:p>
        </w:tc>
      </w:tr>
      <w:tr>
        <w:trPr>
          <w:trHeight w:val="237"/>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FF0FC"/>
          </w:tcPr>
          <w:p>
            <w:pPr>
              <w:spacing w:after="0"/>
              <w:rPr>
                <w:sz w:val="21"/>
                <w:szCs w:val="21"/>
                <w:color w:val="auto"/>
              </w:rPr>
            </w:pP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1"/>
                <w:szCs w:val="21"/>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(31 )</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(72 )</w:t>
            </w:r>
          </w:p>
        </w:tc>
      </w:tr>
      <w:tr>
        <w:trPr>
          <w:trHeight w:val="237"/>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5640" w:type="dxa"/>
            <w:vAlign w:val="bottom"/>
          </w:tcPr>
          <w:p>
            <w:pPr>
              <w:ind w:left="200"/>
              <w:spacing w:after="0"/>
              <w:rPr>
                <w:sz w:val="20"/>
                <w:szCs w:val="20"/>
                <w:color w:val="auto"/>
              </w:rPr>
            </w:pPr>
            <w:r>
              <w:rPr>
                <w:rFonts w:ascii="Arial" w:cs="Arial" w:eastAsia="Arial" w:hAnsi="Arial"/>
                <w:sz w:val="18"/>
                <w:szCs w:val="18"/>
                <w:color w:val="auto"/>
              </w:rPr>
              <w:t>Loss before (benefit) provision for income taxes</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(17,432 )</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 xml:space="preserve">(17,312 </w:t>
            </w:r>
            <w:r>
              <w:rPr>
                <w:rFonts w:ascii="Arial" w:cs="Arial" w:eastAsia="Arial" w:hAnsi="Arial"/>
                <w:sz w:val="18"/>
                <w:szCs w:val="18"/>
                <w:color w:val="auto"/>
                <w:highlight w:val="white"/>
              </w:rPr>
              <w:t>)</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(36,560 )</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(35,743 )</w:t>
            </w:r>
          </w:p>
        </w:tc>
      </w:tr>
      <w:tr>
        <w:trPr>
          <w:trHeight w:val="249"/>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0"/>
        </w:trPr>
        <w:tc>
          <w:tcPr>
            <w:tcW w:w="56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(17,436 )</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 xml:space="preserve">(17,310 </w:t>
            </w:r>
            <w:r>
              <w:rPr>
                <w:rFonts w:ascii="Arial" w:cs="Arial" w:eastAsia="Arial" w:hAnsi="Arial"/>
                <w:sz w:val="18"/>
                <w:szCs w:val="18"/>
                <w:color w:val="auto"/>
                <w:highlight w:val="white"/>
              </w:rPr>
              <w:t>)</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(36,564 )</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(35,743 )</w:t>
            </w:r>
          </w:p>
        </w:tc>
      </w:tr>
      <w:tr>
        <w:trPr>
          <w:trHeight w:val="249"/>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Unrealized (loss) gain on available for sale investments, net of tax</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(212 )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(357 )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(945 )</w:t>
            </w:r>
          </w:p>
        </w:tc>
      </w:tr>
      <w:tr>
        <w:trPr>
          <w:trHeight w:val="20"/>
        </w:trPr>
        <w:tc>
          <w:tcPr>
            <w:tcW w:w="5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(17,648 )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 xml:space="preserve">(17,667 </w:t>
            </w:r>
            <w:r>
              <w:rPr>
                <w:rFonts w:ascii="Arial" w:cs="Arial" w:eastAsia="Arial" w:hAnsi="Arial"/>
                <w:sz w:val="18"/>
                <w:szCs w:val="18"/>
                <w:color w:val="auto"/>
                <w:highlight w:val="white"/>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(36,447 )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(36,688 )</w:t>
            </w:r>
          </w:p>
        </w:tc>
      </w:tr>
      <w:tr>
        <w:trPr>
          <w:trHeight w:val="20"/>
        </w:trPr>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5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spacing w:after="0"/>
              <w:rPr>
                <w:sz w:val="19"/>
                <w:szCs w:val="19"/>
                <w:color w:val="auto"/>
              </w:rPr>
            </w:pP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(0.38 )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(0.38 )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(0.80 )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(0.79 )</w:t>
            </w:r>
          </w:p>
        </w:tc>
      </w:tr>
      <w:tr>
        <w:trPr>
          <w:trHeight w:val="20"/>
        </w:trPr>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45,813,132</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45,571,067</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45,793,355</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45,518,845</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-2287905</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-2287905</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-2287905</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-2287905</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-1336675</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-1336675</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-1336675</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-1019175</wp:posOffset>
            </wp:positionV>
            <wp:extent cx="8572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-1019175</wp:posOffset>
            </wp:positionV>
            <wp:extent cx="8572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-1019175</wp:posOffset>
            </wp:positionV>
            <wp:extent cx="8572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-702310</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-702310</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-702310</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3"/>
            <w:vMerge w:val="restart"/>
          </w:tcPr>
          <w:p>
            <w:pPr>
              <w:jc w:val="right"/>
              <w:ind w:right="346"/>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3"/>
              <w:spacing w:after="0" w:line="135" w:lineRule="exact"/>
              <w:rPr>
                <w:sz w:val="20"/>
                <w:szCs w:val="20"/>
                <w:color w:val="auto"/>
              </w:rPr>
            </w:pPr>
            <w:r>
              <w:rPr>
                <w:rFonts w:ascii="Arial" w:cs="Arial" w:eastAsia="Arial" w:hAnsi="Arial"/>
                <w:sz w:val="13"/>
                <w:szCs w:val="13"/>
                <w:b w:val="1"/>
                <w:bCs w:val="1"/>
                <w:color w:val="auto"/>
                <w:w w:val="88"/>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43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11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6"/>
        </w:trPr>
        <w:tc>
          <w:tcPr>
            <w:tcW w:w="43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78"/>
              </w:rPr>
              <w:t>Loss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85"/>
              </w:rPr>
              <w:t>Deficit</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45,433,684</w:t>
            </w:r>
          </w:p>
        </w:tc>
        <w:tc>
          <w:tcPr>
            <w:tcW w:w="920" w:type="dxa"/>
            <w:vAlign w:val="bottom"/>
            <w:gridSpan w:val="2"/>
            <w:shd w:val="clear" w:color="auto" w:fill="CFF0FC"/>
          </w:tcPr>
          <w:p>
            <w:pPr>
              <w:jc w:val="right"/>
              <w:ind w:right="466"/>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476,363</w:t>
            </w:r>
          </w:p>
        </w:tc>
        <w:tc>
          <w:tcPr>
            <w:tcW w:w="4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(78 )</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(167,726 )</w:t>
            </w: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308,559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Exercise of stock options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98,708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(18,433 )</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(18,433 )</w:t>
            </w:r>
          </w:p>
        </w:tc>
        <w:tc>
          <w:tcPr>
            <w:tcW w:w="0" w:type="dxa"/>
            <w:vAlign w:val="bottom"/>
          </w:tcPr>
          <w:p>
            <w:pPr>
              <w:spacing w:after="0"/>
              <w:rPr>
                <w:sz w:val="1"/>
                <w:szCs w:val="1"/>
                <w:color w:val="auto"/>
              </w:rPr>
            </w:pPr>
          </w:p>
        </w:tc>
      </w:tr>
      <w:tr>
        <w:trPr>
          <w:trHeight w:val="236"/>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Unrealized loss on available for sale investments</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(588 )</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(588 )</w:t>
            </w:r>
          </w:p>
        </w:tc>
        <w:tc>
          <w:tcPr>
            <w:tcW w:w="0" w:type="dxa"/>
            <w:vAlign w:val="bottom"/>
          </w:tcPr>
          <w:p>
            <w:pPr>
              <w:spacing w:after="0"/>
              <w:rPr>
                <w:sz w:val="1"/>
                <w:szCs w:val="1"/>
                <w:color w:val="auto"/>
              </w:rPr>
            </w:pPr>
          </w:p>
        </w:tc>
      </w:tr>
      <w:tr>
        <w:trPr>
          <w:trHeight w:val="20"/>
        </w:trPr>
        <w:tc>
          <w:tcPr>
            <w:tcW w:w="43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Balance at March 31, 2022</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45,532,392</w:t>
            </w:r>
          </w:p>
        </w:tc>
        <w:tc>
          <w:tcPr>
            <w:tcW w:w="280" w:type="dxa"/>
            <w:vAlign w:val="bottom"/>
          </w:tcPr>
          <w:p>
            <w:pPr>
              <w:spacing w:after="0"/>
              <w:rPr>
                <w:sz w:val="19"/>
                <w:szCs w:val="19"/>
                <w:color w:val="auto"/>
              </w:rPr>
            </w:pPr>
          </w:p>
        </w:tc>
        <w:tc>
          <w:tcPr>
            <w:tcW w:w="640" w:type="dxa"/>
            <w:vAlign w:val="bottom"/>
          </w:tcPr>
          <w:p>
            <w:pPr>
              <w:jc w:val="right"/>
              <w:ind w:right="466"/>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478,668</w:t>
            </w:r>
          </w:p>
        </w:tc>
        <w:tc>
          <w:tcPr>
            <w:tcW w:w="26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(666 )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(186,159 )</w:t>
            </w: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291,843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98"/>
              </w:rPr>
              <w:t>Exercise of stock options and common stock issued under the</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2020 ESPP</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90,218</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(17,310 )</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(17,310 )</w:t>
            </w:r>
          </w:p>
        </w:tc>
        <w:tc>
          <w:tcPr>
            <w:tcW w:w="0" w:type="dxa"/>
            <w:vAlign w:val="bottom"/>
          </w:tcPr>
          <w:p>
            <w:pPr>
              <w:spacing w:after="0"/>
              <w:rPr>
                <w:sz w:val="1"/>
                <w:szCs w:val="1"/>
                <w:color w:val="auto"/>
              </w:rPr>
            </w:pPr>
          </w:p>
        </w:tc>
      </w:tr>
      <w:tr>
        <w:trPr>
          <w:trHeight w:val="227"/>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Unrealized gain on available for sale investments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(357 )</w:t>
            </w: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20"/>
        </w:trPr>
        <w:tc>
          <w:tcPr>
            <w:tcW w:w="43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120" w:type="dxa"/>
            <w:vAlign w:val="bottom"/>
            <w:shd w:val="clear" w:color="auto" w:fill="CFF0FC"/>
          </w:tcPr>
          <w:p>
            <w:pPr>
              <w:spacing w:after="0"/>
              <w:rPr>
                <w:sz w:val="23"/>
                <w:szCs w:val="2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45,622,610</w:t>
            </w:r>
          </w:p>
        </w:tc>
        <w:tc>
          <w:tcPr>
            <w:tcW w:w="280" w:type="dxa"/>
            <w:vAlign w:val="bottom"/>
            <w:shd w:val="clear" w:color="auto" w:fill="CFF0FC"/>
          </w:tcPr>
          <w:p>
            <w:pPr>
              <w:spacing w:after="0"/>
              <w:rPr>
                <w:sz w:val="23"/>
                <w:szCs w:val="23"/>
                <w:color w:val="auto"/>
              </w:rPr>
            </w:pPr>
          </w:p>
        </w:tc>
        <w:tc>
          <w:tcPr>
            <w:tcW w:w="640" w:type="dxa"/>
            <w:vAlign w:val="bottom"/>
            <w:shd w:val="clear" w:color="auto" w:fill="CFF0FC"/>
          </w:tcPr>
          <w:p>
            <w:pPr>
              <w:jc w:val="right"/>
              <w:ind w:right="466"/>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481,462</w:t>
            </w:r>
          </w:p>
        </w:tc>
        <w:tc>
          <w:tcPr>
            <w:tcW w:w="260" w:type="dxa"/>
            <w:vAlign w:val="bottom"/>
            <w:shd w:val="clear" w:color="auto" w:fill="CFF0FC"/>
          </w:tcPr>
          <w:p>
            <w:pPr>
              <w:spacing w:after="0"/>
              <w:rPr>
                <w:sz w:val="23"/>
                <w:szCs w:val="23"/>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(1,023 )</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(203,469 )</w:t>
            </w: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276,970</w:t>
            </w: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8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Borders>
              <w:top w:val="single" w:sz="8" w:color="CFF0FC"/>
            </w:tcBorders>
            <w:vMerge w:val="restart"/>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3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3"/>
            <w:vMerge w:val="restart"/>
          </w:tcPr>
          <w:p>
            <w:pPr>
              <w:jc w:val="right"/>
              <w:ind w:right="346"/>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3"/>
              <w:spacing w:after="0" w:line="135" w:lineRule="exact"/>
              <w:rPr>
                <w:sz w:val="20"/>
                <w:szCs w:val="20"/>
                <w:color w:val="auto"/>
              </w:rPr>
            </w:pPr>
            <w:r>
              <w:rPr>
                <w:rFonts w:ascii="Arial" w:cs="Arial" w:eastAsia="Arial" w:hAnsi="Arial"/>
                <w:sz w:val="13"/>
                <w:szCs w:val="13"/>
                <w:b w:val="1"/>
                <w:bCs w:val="1"/>
                <w:color w:val="auto"/>
                <w:w w:val="88"/>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43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11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5"/>
        </w:trPr>
        <w:tc>
          <w:tcPr>
            <w:tcW w:w="43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78"/>
              </w:rPr>
              <w:t>Loss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85"/>
              </w:rPr>
              <w:t>Deficit</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45,771,332</w:t>
            </w:r>
          </w:p>
        </w:tc>
        <w:tc>
          <w:tcPr>
            <w:tcW w:w="920" w:type="dxa"/>
            <w:vAlign w:val="bottom"/>
            <w:gridSpan w:val="2"/>
            <w:shd w:val="clear" w:color="auto" w:fill="CFF0FC"/>
          </w:tcPr>
          <w:p>
            <w:pPr>
              <w:jc w:val="right"/>
              <w:ind w:right="466"/>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487,516</w:t>
            </w:r>
          </w:p>
        </w:tc>
        <w:tc>
          <w:tcPr>
            <w:tcW w:w="4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(445 )</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(241,043 )</w:t>
            </w: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246,028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Exercise of stock options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3,429</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(19,128 )</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(19,128 )</w:t>
            </w:r>
          </w:p>
        </w:tc>
        <w:tc>
          <w:tcPr>
            <w:tcW w:w="0" w:type="dxa"/>
            <w:vAlign w:val="bottom"/>
          </w:tcPr>
          <w:p>
            <w:pPr>
              <w:spacing w:after="0"/>
              <w:rPr>
                <w:sz w:val="1"/>
                <w:szCs w:val="1"/>
                <w:color w:val="auto"/>
              </w:rPr>
            </w:pPr>
          </w:p>
        </w:tc>
      </w:tr>
      <w:tr>
        <w:trPr>
          <w:trHeight w:val="236"/>
        </w:trPr>
        <w:tc>
          <w:tcPr>
            <w:tcW w:w="438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Unrealized gain on available for sale investments</w:t>
            </w: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Balance at March 31, 2023</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45,774,761</w:t>
            </w:r>
          </w:p>
        </w:tc>
        <w:tc>
          <w:tcPr>
            <w:tcW w:w="920" w:type="dxa"/>
            <w:vAlign w:val="bottom"/>
            <w:gridSpan w:val="2"/>
          </w:tcPr>
          <w:p>
            <w:pPr>
              <w:jc w:val="right"/>
              <w:ind w:right="4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490,460</w:t>
            </w:r>
          </w:p>
        </w:tc>
        <w:tc>
          <w:tcPr>
            <w:tcW w:w="4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(116 )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(260,171 )</w:t>
            </w: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230,173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98"/>
              </w:rPr>
              <w:t>Exercise of stock options and common stock issued under the</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2020 ESPP</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24,417</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344,358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(17,436 )</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(17,436 )</w:t>
            </w:r>
          </w:p>
        </w:tc>
        <w:tc>
          <w:tcPr>
            <w:tcW w:w="0" w:type="dxa"/>
            <w:vAlign w:val="bottom"/>
          </w:tcPr>
          <w:p>
            <w:pPr>
              <w:spacing w:after="0"/>
              <w:rPr>
                <w:sz w:val="1"/>
                <w:szCs w:val="1"/>
                <w:color w:val="auto"/>
              </w:rPr>
            </w:pPr>
          </w:p>
        </w:tc>
      </w:tr>
      <w:tr>
        <w:trPr>
          <w:trHeight w:val="236"/>
        </w:trPr>
        <w:tc>
          <w:tcPr>
            <w:tcW w:w="438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6"/>
                <w:szCs w:val="16"/>
                <w:color w:val="auto"/>
              </w:rPr>
              <w:t>Unrealized loss on available for sale investments</w:t>
            </w:r>
          </w:p>
        </w:tc>
        <w:tc>
          <w:tcPr>
            <w:tcW w:w="120" w:type="dxa"/>
            <w:vAlign w:val="bottom"/>
            <w:shd w:val="clear" w:color="auto" w:fill="CCECFF"/>
          </w:tcPr>
          <w:p>
            <w:pPr>
              <w:spacing w:after="0"/>
              <w:rPr>
                <w:sz w:val="20"/>
                <w:szCs w:val="20"/>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CFF"/>
          </w:tcPr>
          <w:p>
            <w:pPr>
              <w:spacing w:after="0"/>
              <w:rPr>
                <w:sz w:val="20"/>
                <w:szCs w:val="20"/>
                <w:color w:val="auto"/>
              </w:rPr>
            </w:pPr>
          </w:p>
        </w:tc>
        <w:tc>
          <w:tcPr>
            <w:tcW w:w="6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20"/>
              <w:spacing w:after="0"/>
              <w:rPr>
                <w:sz w:val="20"/>
                <w:szCs w:val="20"/>
                <w:color w:val="auto"/>
              </w:rPr>
            </w:pPr>
            <w:r>
              <w:rPr>
                <w:rFonts w:ascii="Arial" w:cs="Arial" w:eastAsia="Arial" w:hAnsi="Arial"/>
                <w:sz w:val="16"/>
                <w:szCs w:val="16"/>
                <w:color w:val="auto"/>
              </w:rPr>
              <w:t>(212 )</w:t>
            </w:r>
          </w:p>
        </w:tc>
        <w:tc>
          <w:tcPr>
            <w:tcW w:w="1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20"/>
                <w:szCs w:val="20"/>
                <w:color w:val="auto"/>
              </w:rPr>
            </w:pP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(212 )</w:t>
            </w:r>
          </w:p>
        </w:tc>
        <w:tc>
          <w:tcPr>
            <w:tcW w:w="0" w:type="dxa"/>
            <w:vAlign w:val="bottom"/>
          </w:tcPr>
          <w:p>
            <w:pPr>
              <w:spacing w:after="0"/>
              <w:rPr>
                <w:sz w:val="1"/>
                <w:szCs w:val="1"/>
                <w:color w:val="auto"/>
              </w:rPr>
            </w:pPr>
          </w:p>
        </w:tc>
      </w:tr>
      <w:tr>
        <w:trPr>
          <w:trHeight w:val="20"/>
        </w:trPr>
        <w:tc>
          <w:tcPr>
            <w:tcW w:w="4380" w:type="dxa"/>
            <w:vAlign w:val="bottom"/>
            <w:tcBorders>
              <w:right w:val="single" w:sz="8" w:color="auto"/>
            </w:tcBorders>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Balance at June 30, 2023</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46,143,536</w:t>
            </w:r>
          </w:p>
        </w:tc>
        <w:tc>
          <w:tcPr>
            <w:tcW w:w="280" w:type="dxa"/>
            <w:vAlign w:val="bottom"/>
          </w:tcPr>
          <w:p>
            <w:pPr>
              <w:spacing w:after="0"/>
              <w:rPr>
                <w:sz w:val="19"/>
                <w:szCs w:val="19"/>
                <w:color w:val="auto"/>
              </w:rPr>
            </w:pPr>
          </w:p>
        </w:tc>
        <w:tc>
          <w:tcPr>
            <w:tcW w:w="640" w:type="dxa"/>
            <w:vAlign w:val="bottom"/>
          </w:tcPr>
          <w:p>
            <w:pPr>
              <w:jc w:val="right"/>
              <w:ind w:right="466"/>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495,744</w:t>
            </w:r>
          </w:p>
        </w:tc>
        <w:tc>
          <w:tcPr>
            <w:tcW w:w="26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(328 )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(277,607 )</w:t>
            </w: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217,809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-3565525</wp:posOffset>
            </wp:positionV>
            <wp:extent cx="7747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-3565525</wp:posOffset>
            </wp:positionV>
            <wp:extent cx="8572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-3565525</wp:posOffset>
            </wp:positionV>
            <wp:extent cx="8572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-3565525</wp:posOffset>
            </wp:positionV>
            <wp:extent cx="7683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-3565525</wp:posOffset>
            </wp:positionV>
            <wp:extent cx="8572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-3565525</wp:posOffset>
            </wp:positionV>
            <wp:extent cx="85725"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-2519680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-2502535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-2519680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-2502535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-2519680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-2502535</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-2519680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-2502535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-2519680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-2502535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-2519680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-2502535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-1216660</wp:posOffset>
            </wp:positionV>
            <wp:extent cx="7747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-1216660</wp:posOffset>
            </wp:positionV>
            <wp:extent cx="85725"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-1216660</wp:posOffset>
            </wp:positionV>
            <wp:extent cx="8572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-1216660</wp:posOffset>
            </wp:positionV>
            <wp:extent cx="7683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-1216660</wp:posOffset>
            </wp:positionV>
            <wp:extent cx="85725"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-1216660</wp:posOffset>
            </wp:positionV>
            <wp:extent cx="85725"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-179070</wp:posOffset>
            </wp:positionV>
            <wp:extent cx="7747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-179070</wp:posOffset>
            </wp:positionV>
            <wp:extent cx="85725"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-179070</wp:posOffset>
            </wp:positionV>
            <wp:extent cx="8572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-179070</wp:posOffset>
            </wp:positionV>
            <wp:extent cx="76835"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-179070</wp:posOffset>
            </wp:positionV>
            <wp:extent cx="85725"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(36,564 )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(35,743 )</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6,085</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4,695</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(Accretion) amortization of premiums on marketable securities</w:t>
            </w:r>
          </w:p>
        </w:tc>
        <w:tc>
          <w:tcPr>
            <w:tcW w:w="38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(1,669 )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(income) expense</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(188 )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0"/>
                <w:szCs w:val="20"/>
                <w:color w:val="auto"/>
              </w:rPr>
            </w:pPr>
          </w:p>
        </w:tc>
        <w:tc>
          <w:tcPr>
            <w:tcW w:w="1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(88 )</w:t>
            </w: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(308 )</w:t>
            </w: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and liabilities</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(1,342 )</w:t>
            </w: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(975 )</w:t>
            </w:r>
          </w:p>
        </w:tc>
      </w:tr>
      <w:tr>
        <w:trPr>
          <w:trHeight w:val="20"/>
        </w:trPr>
        <w:tc>
          <w:tcPr>
            <w:tcW w:w="76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62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(27,913 )</w:t>
            </w: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(31,677 )</w:t>
            </w: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(721 )</w:t>
            </w: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(4,296 )</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(129,552 )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(149,223 )</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115,955</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99,415</w:t>
            </w:r>
          </w:p>
        </w:tc>
        <w:tc>
          <w:tcPr>
            <w:tcW w:w="140" w:type="dxa"/>
            <w:vAlign w:val="bottom"/>
          </w:tcPr>
          <w:p>
            <w:pPr>
              <w:spacing w:after="0"/>
              <w:rPr>
                <w:sz w:val="21"/>
                <w:szCs w:val="21"/>
                <w:color w:val="auto"/>
              </w:rPr>
            </w:pPr>
          </w:p>
        </w:tc>
      </w:tr>
      <w:tr>
        <w:trPr>
          <w:trHeight w:val="237"/>
        </w:trPr>
        <w:tc>
          <w:tcPr>
            <w:tcW w:w="76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(14,318</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(54,104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2"/>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net of issuance costs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Proceeds from the exercise of stock options and common stock issued under the 2020 ESPP</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1"/>
                <w:szCs w:val="21"/>
                <w:color w:val="auto"/>
              </w:rPr>
            </w:pPr>
          </w:p>
        </w:tc>
      </w:tr>
      <w:tr>
        <w:trPr>
          <w:trHeight w:val="237"/>
        </w:trPr>
        <w:tc>
          <w:tcPr>
            <w:tcW w:w="76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3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620" w:type="dxa"/>
            <w:vAlign w:val="bottom"/>
          </w:tcPr>
          <w:p>
            <w:pPr>
              <w:ind w:left="560"/>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(40,088 )</w:t>
            </w: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(85,377 )</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109,119</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173,289</w:t>
            </w:r>
          </w:p>
        </w:tc>
        <w:tc>
          <w:tcPr>
            <w:tcW w:w="140" w:type="dxa"/>
            <w:vAlign w:val="bottom"/>
          </w:tcPr>
          <w:p>
            <w:pPr>
              <w:spacing w:after="0"/>
              <w:rPr>
                <w:sz w:val="21"/>
                <w:szCs w:val="21"/>
                <w:color w:val="auto"/>
              </w:rPr>
            </w:pPr>
          </w:p>
        </w:tc>
      </w:tr>
      <w:tr>
        <w:trPr>
          <w:trHeight w:val="276"/>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69,031</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87,912</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purchases of property and equipment</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FF0FC"/>
          </w:tcPr>
          <w:p>
            <w:pPr>
              <w:spacing w:after="0"/>
              <w:rPr>
                <w:sz w:val="21"/>
                <w:szCs w:val="21"/>
                <w:color w:val="auto"/>
              </w:rPr>
            </w:pP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income taxes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-2862580</wp:posOffset>
            </wp:positionV>
            <wp:extent cx="8572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-2862580</wp:posOffset>
            </wp:positionV>
            <wp:extent cx="8572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-1910715</wp:posOffset>
            </wp:positionV>
            <wp:extent cx="8572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-1910715</wp:posOffset>
            </wp:positionV>
            <wp:extent cx="8572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-1276350</wp:posOffset>
            </wp:positionV>
            <wp:extent cx="8572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-1276350</wp:posOffset>
            </wp:positionV>
            <wp:extent cx="857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-642620</wp:posOffset>
            </wp:positionV>
            <wp:extent cx="13030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020" cy="18034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520" w:right="7980" w:hanging="512"/>
        <w:spacing w:after="0" w:line="450" w:lineRule="auto"/>
        <w:tabs>
          <w:tab w:leader="none" w:pos="191"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Formation and Business of the Company Organization and Liquidity</w:t>
      </w:r>
    </w:p>
    <w:p>
      <w:pPr>
        <w:spacing w:after="0" w:line="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One Research Way, Princeton, New Jersey.</w:t>
      </w:r>
    </w:p>
    <w:p>
      <w:pPr>
        <w:spacing w:after="0" w:line="79"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The Company has incurred net losses and negative cash flows from operations since its inception. During the three and six months ended June 30, 2023, the Company incurred a net loss of $17,436 and $36,564, respectively. For the six months ended June 30, 2023, the Company used $27,913 of cash for operations. At June 30, 2023, the Company had an accumulated deficit of $277,607. Cash, cash equivalents, and marketable securities were $218,844 as of June 30, 2023.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1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 ended December 31, 2022, included in the Company’s Annual Report on Form 10-K filed with the United States Securities and Exchange Commission (the “SEC”) on March 1, 2023. Since the date of those financial statements, there have been no changes to its significant accounting policies.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June 30, 2023, the condensed statements of operations and comprehensive loss, condensed statements of stockholders’ equity and the condensed statements of cash flows for the three and six months ended June 30, 2023 and 2022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2023, or for any other subsequent interim period. The condensed balance sheet as of December 31, 2022, has been derived from our audited financial statements.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research and development costs, accrued research and development costs and related prepaid expenses and stock-based compensation. Actual results could differ materially from those estimates.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six months ended June 30, 2023 and 2022, the Company recorded $1,670 of accretion and $126 of amortization, respectively.</w:t>
      </w:r>
    </w:p>
    <w:p>
      <w:pPr>
        <w:spacing w:after="0" w:line="6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Restricted cash as of June 30, 2023 and December 31, 2022 included a $822 deposit at the Company’s commercial bank underlying a stand-by letter of credit issued in favor of a landlord (See Note 6) and is classified in current assets.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Leases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8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76"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62" w:lineRule="exact"/>
        <w:rPr>
          <w:sz w:val="20"/>
          <w:szCs w:val="20"/>
          <w:color w:val="auto"/>
        </w:rPr>
      </w:pPr>
    </w:p>
    <w:p>
      <w:pPr>
        <w:ind w:right="240" w:firstLine="509"/>
        <w:spacing w:after="0" w:line="340" w:lineRule="auto"/>
        <w:rPr>
          <w:sz w:val="20"/>
          <w:szCs w:val="20"/>
          <w:color w:val="auto"/>
        </w:rPr>
      </w:pPr>
      <w:r>
        <w:rPr>
          <w:rFonts w:ascii="Arial" w:cs="Arial" w:eastAsia="Arial" w:hAnsi="Arial"/>
          <w:sz w:val="15"/>
          <w:szCs w:val="15"/>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23"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280" w:firstLine="509"/>
        <w:spacing w:after="0" w:line="30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of cash, cash equivalents, and marketable securities. Cash and cash equivalents were held at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49"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rapid technological change, uncertainty of market acceptance of the product, competition from substitute products and larger companies, protection of proprietary technology, any future strategic relationships and dependence on key individuals.</w:t>
      </w:r>
    </w:p>
    <w:p>
      <w:pPr>
        <w:spacing w:after="0" w:line="62"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17"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The Company’s financial assets consist of money market funds, U.S. government debt securities and corporate debt securities. The following tables show the Company’s cash equivalents and available-for-sale securities’ carrying amounts and fair values as of June 30, 2023, and December 31,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3"/>
              </w:rPr>
              <w:t>As of June 30, 2023</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Quoted</w:t>
            </w:r>
          </w:p>
        </w:tc>
        <w:tc>
          <w:tcPr>
            <w:tcW w:w="120" w:type="dxa"/>
            <w:vAlign w:val="bottom"/>
          </w:tcPr>
          <w:p>
            <w:pPr>
              <w:spacing w:after="0"/>
              <w:rPr>
                <w:sz w:val="11"/>
                <w:szCs w:val="11"/>
                <w:color w:val="auto"/>
              </w:rPr>
            </w:pPr>
          </w:p>
        </w:tc>
        <w:tc>
          <w:tcPr>
            <w:tcW w:w="1120" w:type="dxa"/>
            <w:vAlign w:val="bottom"/>
            <w:gridSpan w:val="4"/>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restart"/>
          </w:tcPr>
          <w:p>
            <w:pPr>
              <w:jc w:val="center"/>
              <w:ind w:right="77"/>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priced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active</w:t>
            </w:r>
          </w:p>
        </w:tc>
        <w:tc>
          <w:tcPr>
            <w:tcW w:w="120" w:type="dxa"/>
            <w:vAlign w:val="bottom"/>
          </w:tcPr>
          <w:p>
            <w:pPr>
              <w:spacing w:after="0"/>
              <w:rPr>
                <w:sz w:val="12"/>
                <w:szCs w:val="12"/>
                <w:color w:val="auto"/>
              </w:rPr>
            </w:pPr>
          </w:p>
        </w:tc>
        <w:tc>
          <w:tcPr>
            <w:tcW w:w="11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980" w:type="dxa"/>
            <w:vAlign w:val="bottom"/>
            <w:gridSpan w:val="3"/>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ind w:left="120"/>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9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6"/>
              </w:rPr>
              <w:t>Financial assets</w:t>
            </w:r>
          </w:p>
        </w:tc>
        <w:tc>
          <w:tcPr>
            <w:tcW w:w="18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64,692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64,692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64,692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76,079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(149 )</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75,930</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75,930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3"/>
          </w:tcPr>
          <w:p>
            <w:pPr>
              <w:ind w:left="20"/>
              <w:spacing w:after="0"/>
              <w:rPr>
                <w:sz w:val="20"/>
                <w:szCs w:val="20"/>
                <w:color w:val="auto"/>
              </w:rPr>
            </w:pPr>
            <w:r>
              <w:rPr>
                <w:rFonts w:ascii="Arial" w:cs="Arial" w:eastAsia="Arial" w:hAnsi="Arial"/>
                <w:sz w:val="18"/>
                <w:szCs w:val="18"/>
                <w:color w:val="auto"/>
              </w:rPr>
              <w:t>Government securities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74,884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(179 )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74,705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64,738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FF0FC"/>
            </w:tcBorders>
            <w:shd w:val="clear" w:color="auto" w:fill="CFF0FC"/>
          </w:tcPr>
          <w:p>
            <w:pPr>
              <w:spacing w:after="0"/>
              <w:rPr>
                <w:sz w:val="23"/>
                <w:szCs w:val="23"/>
                <w:color w:val="auto"/>
              </w:rPr>
            </w:pPr>
          </w:p>
        </w:tc>
        <w:tc>
          <w:tcPr>
            <w:tcW w:w="294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215,655</w:t>
            </w:r>
          </w:p>
        </w:tc>
        <w:tc>
          <w:tcPr>
            <w:tcW w:w="2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215,327</w:t>
            </w:r>
          </w:p>
        </w:tc>
        <w:tc>
          <w:tcPr>
            <w:tcW w:w="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129,430</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85,897</w:t>
            </w:r>
          </w:p>
        </w:tc>
        <w:tc>
          <w:tcPr>
            <w:tcW w:w="1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spacing w:after="0"/>
              <w:rPr>
                <w:sz w:val="23"/>
                <w:szCs w:val="23"/>
                <w:color w:val="auto"/>
              </w:rPr>
            </w:pP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right"/>
              <w:ind w:right="4"/>
              <w:spacing w:after="0"/>
              <w:rPr>
                <w:sz w:val="20"/>
                <w:szCs w:val="20"/>
                <w:color w:val="auto"/>
              </w:rPr>
            </w:pPr>
            <w:r>
              <w:rPr>
                <w:rFonts w:ascii="Arial" w:cs="Arial" w:eastAsia="Arial" w:hAnsi="Arial"/>
                <w:sz w:val="14"/>
                <w:szCs w:val="14"/>
                <w:b w:val="1"/>
                <w:bCs w:val="1"/>
                <w:color w:val="auto"/>
                <w:w w:val="89"/>
              </w:rPr>
              <w:t>As of December 31, 2022</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Quoted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Priced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6"/>
              </w:rPr>
              <w:t>Financial assets</w:t>
            </w:r>
          </w:p>
        </w:tc>
        <w:tc>
          <w:tcPr>
            <w:tcW w:w="18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106,861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106,861</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106,861</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21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(185 )</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103,591</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103,591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20"/>
              <w:spacing w:after="0"/>
              <w:rPr>
                <w:sz w:val="20"/>
                <w:szCs w:val="20"/>
                <w:color w:val="auto"/>
              </w:rPr>
            </w:pPr>
            <w:r>
              <w:rPr>
                <w:rFonts w:ascii="Arial" w:cs="Arial" w:eastAsia="Arial" w:hAnsi="Arial"/>
                <w:sz w:val="18"/>
                <w:szCs w:val="18"/>
                <w:color w:val="auto"/>
              </w:rPr>
              <w:t>Government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31,942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31,661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20,981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10,680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294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242,558</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9"/>
              </w:rPr>
              <w:t>21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242,113</w:t>
            </w:r>
          </w:p>
        </w:tc>
        <w:tc>
          <w:tcPr>
            <w:tcW w:w="2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127,842</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114,271</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-1610995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-1593850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-1610995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-1593850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-1610995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-1593850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-1610995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-1593850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-1610995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-1610995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-1593850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-1610995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-1593850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-25400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-8255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As of June 30, 2023, the Company had cash of $3,517 and cash equivalents of $64,692 in money market funds.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the Company had cash of $1,436 and cash equivalents of $106,861, consisting of money market funds.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80"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of $150,635 as of June 30, 2023, consisted of corporate debt securities of $75,930 and government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of $74,705. There were $118,878 current marketable securities and $31,757 noncurrent marketable securities as of June 30, 2023. Marketable securities of $135,252 as of December 31, 2022, consisted of corporate debt securities of $103,591 and government debt securities of $31,661. There were $132,757 current marketable securities and $2,495 noncurrent marketable securities as of December 31, 2022.</w:t>
      </w:r>
    </w:p>
    <w:p>
      <w:pPr>
        <w:spacing w:after="0" w:line="49" w:lineRule="exact"/>
        <w:rPr>
          <w:sz w:val="20"/>
          <w:szCs w:val="20"/>
          <w:color w:val="auto"/>
        </w:rPr>
      </w:pPr>
    </w:p>
    <w:p>
      <w:pPr>
        <w:ind w:right="840" w:firstLine="509"/>
        <w:spacing w:after="0" w:line="277" w:lineRule="auto"/>
        <w:rPr>
          <w:sz w:val="20"/>
          <w:szCs w:val="20"/>
          <w:color w:val="auto"/>
        </w:rPr>
      </w:pPr>
      <w:r>
        <w:rPr>
          <w:rFonts w:ascii="Arial" w:cs="Arial" w:eastAsia="Arial" w:hAnsi="Arial"/>
          <w:sz w:val="18"/>
          <w:szCs w:val="18"/>
          <w:color w:val="auto"/>
        </w:rPr>
        <w:t>As of June 30, 2023, and December 31, 2022, aggregated gross unrealized losses of available-for-sale investments were not material, and accordingly, no allowance for credit losses was recorded.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40" w:type="dxa"/>
            <w:vAlign w:val="bottom"/>
          </w:tcPr>
          <w:p>
            <w:pPr>
              <w:jc w:val="center"/>
              <w:ind w:left="442"/>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20" w:type="dxa"/>
            <w:vAlign w:val="bottom"/>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&amp; equipment</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4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Computers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&amp; fixtures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10,917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20"/>
                <w:szCs w:val="20"/>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not placed in service</w:t>
            </w:r>
          </w:p>
        </w:tc>
        <w:tc>
          <w:tcPr>
            <w:tcW w:w="10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w:t>
            </w:r>
          </w:p>
        </w:tc>
        <w:tc>
          <w:tcPr>
            <w:tcW w:w="140" w:type="dxa"/>
            <w:vAlign w:val="bottom"/>
            <w:shd w:val="clear" w:color="auto" w:fill="CFF0FC"/>
          </w:tcPr>
          <w:p>
            <w:pPr>
              <w:spacing w:after="0"/>
              <w:rPr>
                <w:sz w:val="21"/>
                <w:szCs w:val="21"/>
                <w:color w:val="auto"/>
              </w:rPr>
            </w:pPr>
          </w:p>
        </w:tc>
      </w:tr>
      <w:tr>
        <w:trPr>
          <w:trHeight w:val="236"/>
        </w:trPr>
        <w:tc>
          <w:tcPr>
            <w:tcW w:w="7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property and equipment</w:t>
            </w: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13,860</w:t>
            </w:r>
          </w:p>
        </w:tc>
        <w:tc>
          <w:tcPr>
            <w:tcW w:w="3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13,139</w:t>
            </w:r>
          </w:p>
        </w:tc>
        <w:tc>
          <w:tcPr>
            <w:tcW w:w="140" w:type="dxa"/>
            <w:vAlign w:val="bottom"/>
            <w:tcBorders>
              <w:top w:val="single" w:sz="8" w:color="CFF0FC"/>
            </w:tcBorders>
          </w:tcPr>
          <w:p>
            <w:pPr>
              <w:spacing w:after="0"/>
              <w:rPr>
                <w:sz w:val="20"/>
                <w:szCs w:val="20"/>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0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3"/>
              </w:rPr>
              <w:t>(2,724 )</w:t>
            </w: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(2,184 )</w:t>
            </w:r>
          </w:p>
        </w:tc>
      </w:tr>
      <w:tr>
        <w:trPr>
          <w:trHeight w:val="237"/>
        </w:trPr>
        <w:tc>
          <w:tcPr>
            <w:tcW w:w="7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11,136</w:t>
            </w:r>
          </w:p>
        </w:tc>
        <w:tc>
          <w:tcPr>
            <w:tcW w:w="3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10,955</w:t>
            </w:r>
          </w:p>
        </w:tc>
        <w:tc>
          <w:tcPr>
            <w:tcW w:w="140" w:type="dxa"/>
            <w:vAlign w:val="bottom"/>
            <w:tcBorders>
              <w:top w:val="single" w:sz="8" w:color="CFF0FC"/>
            </w:tcBorders>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-505460</wp:posOffset>
            </wp:positionV>
            <wp:extent cx="85725"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Depreciation expense for the three months ended June 30, 2023 and 2022 was $369 and $82, respectively. Depreciation expense for the six months ended June 30, 2023 and 2022 was $540 and $166,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r>
      <w:tr>
        <w:trPr>
          <w:trHeight w:val="185"/>
        </w:trPr>
        <w:tc>
          <w:tcPr>
            <w:tcW w:w="7620" w:type="dxa"/>
            <w:vAlign w:val="bottom"/>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2,717</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14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Accrued legal and professional services</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costs</w:t>
            </w:r>
          </w:p>
        </w:tc>
        <w:tc>
          <w:tcPr>
            <w:tcW w:w="11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4,866</w:t>
            </w:r>
          </w:p>
        </w:tc>
        <w:tc>
          <w:tcPr>
            <w:tcW w:w="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7,940</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7,308</w:t>
            </w:r>
          </w:p>
        </w:tc>
        <w:tc>
          <w:tcPr>
            <w:tcW w:w="14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30" w:lineRule="exact"/>
        <w:rPr>
          <w:sz w:val="20"/>
          <w:szCs w:val="20"/>
          <w:color w:val="auto"/>
        </w:rPr>
      </w:pPr>
    </w:p>
    <w:p>
      <w:pPr>
        <w:ind w:left="520" w:right="8600" w:hanging="512"/>
        <w:spacing w:after="0" w:line="450" w:lineRule="auto"/>
        <w:tabs>
          <w:tab w:leader="none" w:pos="191"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Operating Leases</w:t>
      </w:r>
    </w:p>
    <w:p>
      <w:pPr>
        <w:spacing w:after="0" w:line="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 June 2015, the Company executed a noncancelable operating lease for approximately 13,000 square feet of laboratory, research and development, and office space in Cranbury, New Jersey. This location operated as the Company's headquarters until March 2023.</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June 2017, the Company obtained an additional noncancelable operating lease for approximately 6,000 square feet of laboratory space in the same corporate center. As a result of the additional space, both leases were set to expire in June 2022. In January 2022, the Company signed a lease extension for both leases for up to one additional year through June 2023, with the option to terminate upon 120 days of written notice, with an increase in base rent as per the lease extension.</w:t>
      </w:r>
    </w:p>
    <w:p>
      <w:pPr>
        <w:spacing w:after="0" w:line="79"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second lease is for office space in Lexington, Massachusetts, that expires August 2023, with an option to renew for a one-time, three-year extension.</w:t>
      </w:r>
    </w:p>
    <w:p>
      <w:pPr>
        <w:spacing w:after="0" w:line="80"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In January 2021, the Company signed a lease for 50,581 square feet of office and laboratory space at One Research Way in Princeton, New Jersey. That lease term extends through 2032, has a five-year extension option, and replaced the Company’s two existing facilities as the Company’s headquarters in March 2023. Payment under this lease will total $19,889 through May 2032. The Company received a lease incentive of $4,046 from the lessor for a buildout of laboratory, vivarium, and office space, to be reimbursed to the Company in 2022 and 2023. Management estimated the timing and amounts of reimbursements and included them as a reduction of lease payments when initially measuring the lease liability and right-of-use asset upon commencement. Since the inception date of the lease, $2,969 reimbursements were received. For the six months ended June 30, 2023, no reimbursements were received.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cost for the three and six months ended June 30, 2023, and 2022,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r>
      <w:tr>
        <w:trPr>
          <w:trHeight w:val="237"/>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80" w:type="dxa"/>
            <w:vAlign w:val="bottom"/>
            <w:gridSpan w:val="2"/>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530</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FF0FC"/>
          </w:tcPr>
          <w:p>
            <w:pPr>
              <w:spacing w:after="0"/>
              <w:rPr>
                <w:sz w:val="20"/>
                <w:szCs w:val="20"/>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198</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1"/>
                <w:szCs w:val="21"/>
                <w:color w:val="auto"/>
              </w:rPr>
            </w:pPr>
          </w:p>
        </w:tc>
      </w:tr>
      <w:tr>
        <w:trPr>
          <w:trHeight w:val="277"/>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728</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-663575</wp:posOffset>
            </wp:positionV>
            <wp:extent cx="293624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36240" cy="1797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Amounts reported in the balance sheet for leases where the Company is the lessee as of June 30, 2023, and December 31, 2022,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Operating Leases (in thousands, except lease term and discount rate data):</w:t>
            </w:r>
          </w:p>
        </w:tc>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operating leases</w:t>
            </w:r>
          </w:p>
        </w:tc>
        <w:tc>
          <w:tcPr>
            <w:tcW w:w="1200" w:type="dxa"/>
            <w:vAlign w:val="bottom"/>
            <w:shd w:val="clear" w:color="auto" w:fill="CFF0FC"/>
          </w:tcPr>
          <w:p>
            <w:pPr>
              <w:jc w:val="right"/>
              <w:ind w:right="101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current</w:t>
            </w:r>
          </w:p>
        </w:tc>
        <w:tc>
          <w:tcPr>
            <w:tcW w:w="1200" w:type="dxa"/>
            <w:vAlign w:val="bottom"/>
            <w:shd w:val="clear" w:color="auto" w:fill="CFF0FC"/>
          </w:tcPr>
          <w:p>
            <w:pPr>
              <w:jc w:val="right"/>
              <w:ind w:right="101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12,960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1200" w:type="dxa"/>
            <w:vAlign w:val="bottom"/>
            <w:tcBorders>
              <w:bottom w:val="single" w:sz="8" w:color="auto"/>
            </w:tcBorders>
            <w:shd w:val="clear" w:color="auto" w:fill="CFF0FC"/>
          </w:tcPr>
          <w:p>
            <w:pPr>
              <w:jc w:val="right"/>
              <w:ind w:right="101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12,978</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7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2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20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5.75 %</w:t>
            </w:r>
          </w:p>
        </w:tc>
        <w:tc>
          <w:tcPr>
            <w:tcW w:w="2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-462915</wp:posOffset>
            </wp:positionV>
            <wp:extent cx="8572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-462915</wp:posOffset>
            </wp:positionV>
            <wp:extent cx="8572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information related to leases for the six months ended June 30, 2023 and 2022, respectively,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9"/>
                <w:szCs w:val="19"/>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paid (received) for amounts included in the measurement of lease liabilities</w:t>
            </w: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or modified operating lease liabilities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Future minimum lease payments, net of reimbursements, remaining as of June 30, 2023, under operating leases by fiscal year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4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(175 )</w:t>
            </w: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20"/>
                <w:szCs w:val="20"/>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20"/>
                <w:szCs w:val="20"/>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FF0FC"/>
          </w:tcPr>
          <w:p>
            <w:pPr>
              <w:spacing w:after="0"/>
              <w:rPr>
                <w:sz w:val="21"/>
                <w:szCs w:val="21"/>
                <w:color w:val="auto"/>
              </w:rPr>
            </w:pP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w:t>
            </w:r>
          </w:p>
        </w:tc>
        <w:tc>
          <w:tcPr>
            <w:tcW w:w="140" w:type="dxa"/>
            <w:vAlign w:val="bottom"/>
          </w:tcPr>
          <w:p>
            <w:pPr>
              <w:spacing w:after="0"/>
              <w:rPr>
                <w:sz w:val="21"/>
                <w:szCs w:val="21"/>
                <w:color w:val="auto"/>
              </w:rPr>
            </w:pPr>
          </w:p>
        </w:tc>
      </w:tr>
      <w:tr>
        <w:trPr>
          <w:trHeight w:val="236"/>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16,910</w:t>
            </w:r>
          </w:p>
        </w:tc>
        <w:tc>
          <w:tcPr>
            <w:tcW w:w="140" w:type="dxa"/>
            <w:vAlign w:val="bottom"/>
            <w:shd w:val="clear" w:color="auto" w:fill="CFF0FC"/>
          </w:tcPr>
          <w:p>
            <w:pPr>
              <w:spacing w:after="0"/>
              <w:rPr>
                <w:sz w:val="20"/>
                <w:szCs w:val="20"/>
                <w:color w:val="auto"/>
              </w:rPr>
            </w:pP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Less: Amounts representing imputed interest</w:t>
            </w:r>
          </w:p>
        </w:tc>
        <w:tc>
          <w:tcPr>
            <w:tcW w:w="360" w:type="dxa"/>
            <w:vAlign w:val="bottom"/>
          </w:tcPr>
          <w:p>
            <w:pPr>
              <w:spacing w:after="0"/>
              <w:rPr>
                <w:sz w:val="21"/>
                <w:szCs w:val="21"/>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(3,932 )</w:t>
            </w:r>
          </w:p>
        </w:tc>
      </w:tr>
      <w:tr>
        <w:trPr>
          <w:trHeight w:val="277"/>
        </w:trPr>
        <w:tc>
          <w:tcPr>
            <w:tcW w:w="8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Rent expense recorded during the three months ended June 30, 2023 and 2022 was $596 and $530, respectively. Rent expense recorded during the six months ended June 30, 2023 and 2022 was $1,193 and $1,042, respectively.</w:t>
      </w:r>
    </w:p>
    <w:p>
      <w:pPr>
        <w:spacing w:after="0" w:line="6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Company currently subleases the office space at 420 Bedford Street in Lexington, Massachusetts to another company. This sublease agreement expires in August, 2023. Sublease income recorded during the three months ended June 30, 2023 and 2022 was $18 and $26, respectively. Sublease income recorded during the six months ended June 30, 2023 and 2022 was $46 and $55, respectively.</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380" w:firstLine="509"/>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Stockholders’ Equity</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is authorized to issue up to 1,000,000,000 shares of common stock with a par value of $0.00001 per share and 5,000,000 shares of preferred stock with a par value of $0.00001 per share. At June 30, 2023 and December 31, 2022, there were 46,143,536 and 45,771,332 shares of common stock issued and outstanding, respectively.</w:t>
      </w:r>
    </w:p>
    <w:p>
      <w:pPr>
        <w:spacing w:after="0" w:line="76"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Common stockholders are entitled to receive dividends if and when declared by the board of directors subject to the rights of any preferred stockholders. As of June 30, 2023, no dividends on common stock had been declared by the Company.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ATM Program</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October 4, 2021, the Company entered into an at-the-market offering program (the “ATM Program”) pursuant to which, the Company may offer and sell shares of its common stock having aggregate gross sales proceeds of up to $150.0 million from time to time. During the three months ended June 30, 2023, the Company sold 344,358 shares of common stock under the ATM program at a weighted average price of $6.07 per share, for total proceeds of $2.0 million, net of fees. As of June 30, 2023, the Company has approximately $148.0 million remaining in gross proceeds available for future issuances of common stock under the ATM Program.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2023, the board's compensation committee, as the 2020 Plan administrator, exercised its discretion under clause (iii) to increase the number of shares of common stock reserved for issuance under the 2020 Plan by a lesser amount of 1,830,853 shares, effective as of January 1, 2023. As of June 30, 2023, there were 4,595,271 shares available for issuance under the 2020 Plan.</w:t>
      </w:r>
    </w:p>
    <w:p>
      <w:pPr>
        <w:spacing w:after="0" w:line="58"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2023, the 2020 ESPP reserved shares were increased under clause (iii) by 457,713 shares, effective as of January 1, 2023. As of June 30, 2023, 116,018 shares are issued or outstanding, and there were 685,446 shares available for issuance, under the 2020 ESPP.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option activity for the six-month period ended June 30,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Options Outstanding</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0"/>
        </w:trPr>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5"/>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5"/>
                <w:szCs w:val="15"/>
                <w:color w:val="auto"/>
              </w:rPr>
            </w:pPr>
          </w:p>
        </w:tc>
      </w:tr>
      <w:tr>
        <w:trPr>
          <w:trHeight w:val="176"/>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Intrinsic</w:t>
            </w:r>
          </w:p>
        </w:tc>
        <w:tc>
          <w:tcPr>
            <w:tcW w:w="140" w:type="dxa"/>
            <w:vAlign w:val="bottom"/>
          </w:tcPr>
          <w:p>
            <w:pPr>
              <w:spacing w:after="0"/>
              <w:rPr>
                <w:sz w:val="15"/>
                <w:szCs w:val="15"/>
                <w:color w:val="auto"/>
              </w:rPr>
            </w:pPr>
          </w:p>
        </w:tc>
      </w:tr>
      <w:tr>
        <w:trPr>
          <w:trHeight w:val="176"/>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Available</w:t>
            </w: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r>
      <w:tr>
        <w:trPr>
          <w:trHeight w:val="185"/>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for Grant</w:t>
            </w: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6"/>
                <w:szCs w:val="16"/>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000s)</w:t>
            </w:r>
          </w:p>
        </w:tc>
        <w:tc>
          <w:tcPr>
            <w:tcW w:w="140" w:type="dxa"/>
            <w:vAlign w:val="bottom"/>
          </w:tcPr>
          <w:p>
            <w:pPr>
              <w:spacing w:after="0"/>
              <w:rPr>
                <w:sz w:val="16"/>
                <w:szCs w:val="16"/>
                <w:color w:val="auto"/>
              </w:rPr>
            </w:pPr>
          </w:p>
        </w:tc>
      </w:tr>
      <w:tr>
        <w:trPr>
          <w:trHeight w:val="237"/>
        </w:trPr>
        <w:tc>
          <w:tcPr>
            <w:tcW w:w="4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4,618,292</w:t>
            </w:r>
          </w:p>
        </w:tc>
        <w:tc>
          <w:tcPr>
            <w:tcW w:w="26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5,278,771</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17,244</w:t>
            </w:r>
          </w:p>
        </w:tc>
        <w:tc>
          <w:tcPr>
            <w:tcW w:w="140" w:type="dxa"/>
            <w:vAlign w:val="bottom"/>
            <w:shd w:val="clear" w:color="auto" w:fill="CFF0FC"/>
          </w:tcPr>
          <w:p>
            <w:pPr>
              <w:spacing w:after="0"/>
              <w:rPr>
                <w:sz w:val="20"/>
                <w:szCs w:val="20"/>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Shares reserved for issuance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1,830,853</w:t>
            </w:r>
          </w:p>
        </w:tc>
        <w:tc>
          <w:tcPr>
            <w:tcW w:w="2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granted</w:t>
            </w:r>
          </w:p>
        </w:tc>
        <w:tc>
          <w:tcPr>
            <w:tcW w:w="15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(1,882,125 )</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1,882,125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Options forfeited / cancelled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28,251</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(28,251 )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14.89</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exercised</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(7,733 )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0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40" w:type="dxa"/>
            <w:vAlign w:val="bottom"/>
            <w:tcBorders>
              <w:top w:val="single" w:sz="8" w:color="CFF0FC"/>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4,595,271</w:t>
            </w:r>
          </w:p>
        </w:tc>
        <w:tc>
          <w:tcPr>
            <w:tcW w:w="26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7,124,912</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7.27</w:t>
            </w:r>
          </w:p>
        </w:tc>
        <w:tc>
          <w:tcPr>
            <w:tcW w:w="4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11,010</w:t>
            </w:r>
          </w:p>
        </w:tc>
        <w:tc>
          <w:tcPr>
            <w:tcW w:w="140" w:type="dxa"/>
            <w:vAlign w:val="bottom"/>
            <w:tcBorders>
              <w:top w:val="single" w:sz="8" w:color="CFF0FC"/>
            </w:tcBorders>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At June 30, 2023</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4060" w:type="dxa"/>
            <w:vAlign w:val="bottom"/>
          </w:tcPr>
          <w:p>
            <w:pPr>
              <w:ind w:left="120"/>
              <w:spacing w:after="0"/>
              <w:rPr>
                <w:sz w:val="20"/>
                <w:szCs w:val="20"/>
                <w:color w:val="auto"/>
              </w:rPr>
            </w:pPr>
            <w:r>
              <w:rPr>
                <w:rFonts w:ascii="Arial" w:cs="Arial" w:eastAsia="Arial" w:hAnsi="Arial"/>
                <w:sz w:val="18"/>
                <w:szCs w:val="18"/>
                <w:color w:val="auto"/>
              </w:rPr>
              <w:t>Vested and expected to vest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7,124,912</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11,010</w:t>
            </w:r>
          </w:p>
        </w:tc>
        <w:tc>
          <w:tcPr>
            <w:tcW w:w="140" w:type="dxa"/>
            <w:vAlign w:val="bottom"/>
          </w:tcPr>
          <w:p>
            <w:pPr>
              <w:spacing w:after="0"/>
              <w:rPr>
                <w:sz w:val="21"/>
                <w:szCs w:val="2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4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Exercisable</w:t>
            </w:r>
          </w:p>
        </w:tc>
        <w:tc>
          <w:tcPr>
            <w:tcW w:w="1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3,839,622</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9,533</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-702310</wp:posOffset>
            </wp:positionV>
            <wp:extent cx="8572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-702310</wp:posOffset>
            </wp:positionV>
            <wp:extent cx="857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-702310</wp:posOffset>
            </wp:positionV>
            <wp:extent cx="7747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At June 30, 2023, the total compensation cost related to nonvested awards not yet recognized was $27,617. The weighted-average period over which the nonvested awards is expected to be recognized was 2.7 years.</w:t>
      </w:r>
    </w:p>
    <w:p>
      <w:pPr>
        <w:spacing w:after="0" w:line="62" w:lineRule="exact"/>
        <w:rPr>
          <w:sz w:val="20"/>
          <w:szCs w:val="20"/>
          <w:color w:val="auto"/>
        </w:rPr>
      </w:pPr>
    </w:p>
    <w:p>
      <w:pPr>
        <w:ind w:right="620" w:firstLine="509"/>
        <w:spacing w:after="0" w:line="342" w:lineRule="auto"/>
        <w:rPr>
          <w:sz w:val="20"/>
          <w:szCs w:val="20"/>
          <w:color w:val="auto"/>
        </w:rPr>
      </w:pPr>
      <w:r>
        <w:rPr>
          <w:rFonts w:ascii="Arial" w:cs="Arial" w:eastAsia="Arial" w:hAnsi="Arial"/>
          <w:sz w:val="16"/>
          <w:szCs w:val="16"/>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5"/>
                <w:szCs w:val="15"/>
                <w:color w:val="auto"/>
              </w:rPr>
            </w:pPr>
          </w:p>
        </w:tc>
        <w:tc>
          <w:tcPr>
            <w:tcW w:w="2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5"/>
                <w:szCs w:val="15"/>
                <w:color w:val="auto"/>
              </w:rPr>
            </w:pPr>
          </w:p>
        </w:tc>
      </w:tr>
      <w:tr>
        <w:trPr>
          <w:trHeight w:val="176"/>
        </w:trPr>
        <w:tc>
          <w:tcPr>
            <w:tcW w:w="6120" w:type="dxa"/>
            <w:vAlign w:val="bottom"/>
          </w:tcPr>
          <w:p>
            <w:pPr>
              <w:spacing w:after="0"/>
              <w:rPr>
                <w:sz w:val="15"/>
                <w:szCs w:val="15"/>
                <w:color w:val="auto"/>
              </w:rPr>
            </w:pP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5"/>
                <w:szCs w:val="15"/>
                <w:color w:val="auto"/>
              </w:rPr>
            </w:pPr>
          </w:p>
        </w:tc>
        <w:tc>
          <w:tcPr>
            <w:tcW w:w="2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5"/>
                <w:szCs w:val="15"/>
                <w:color w:val="auto"/>
              </w:rPr>
            </w:pPr>
          </w:p>
        </w:tc>
      </w:tr>
      <w:tr>
        <w:trPr>
          <w:trHeight w:val="185"/>
        </w:trPr>
        <w:tc>
          <w:tcPr>
            <w:tcW w:w="6120" w:type="dxa"/>
            <w:vAlign w:val="bottom"/>
          </w:tcPr>
          <w:p>
            <w:pPr>
              <w:spacing w:after="0"/>
              <w:rPr>
                <w:sz w:val="16"/>
                <w:szCs w:val="16"/>
                <w:color w:val="auto"/>
              </w:rPr>
            </w:pPr>
          </w:p>
        </w:tc>
        <w:tc>
          <w:tcPr>
            <w:tcW w:w="1320" w:type="dxa"/>
            <w:vAlign w:val="bottom"/>
            <w:gridSpan w:val="2"/>
          </w:tcPr>
          <w:p>
            <w:pPr>
              <w:jc w:val="center"/>
              <w:ind w:left="958"/>
              <w:spacing w:after="0"/>
              <w:rPr>
                <w:sz w:val="20"/>
                <w:szCs w:val="20"/>
                <w:color w:val="auto"/>
              </w:rPr>
            </w:pPr>
            <w:r>
              <w:rPr>
                <w:rFonts w:ascii="Arial" w:cs="Arial" w:eastAsia="Arial" w:hAnsi="Arial"/>
                <w:sz w:val="14"/>
                <w:szCs w:val="14"/>
                <w:b w:val="1"/>
                <w:bCs w:val="1"/>
                <w:color w:val="auto"/>
                <w:w w:val="89"/>
              </w:rPr>
              <w:t>2023</w:t>
            </w:r>
          </w:p>
        </w:tc>
        <w:tc>
          <w:tcPr>
            <w:tcW w:w="1060" w:type="dxa"/>
            <w:vAlign w:val="bottom"/>
          </w:tcPr>
          <w:p>
            <w:pPr>
              <w:spacing w:after="0"/>
              <w:rPr>
                <w:sz w:val="16"/>
                <w:szCs w:val="16"/>
                <w:color w:val="auto"/>
              </w:rPr>
            </w:pPr>
          </w:p>
        </w:tc>
        <w:tc>
          <w:tcPr>
            <w:tcW w:w="1580" w:type="dxa"/>
            <w:vAlign w:val="bottom"/>
            <w:gridSpan w:val="3"/>
          </w:tcPr>
          <w:p>
            <w:pPr>
              <w:jc w:val="center"/>
              <w:ind w:left="1215"/>
              <w:spacing w:after="0"/>
              <w:rPr>
                <w:sz w:val="20"/>
                <w:szCs w:val="20"/>
                <w:color w:val="auto"/>
              </w:rPr>
            </w:pPr>
            <w:r>
              <w:rPr>
                <w:rFonts w:ascii="Arial" w:cs="Arial" w:eastAsia="Arial" w:hAnsi="Arial"/>
                <w:sz w:val="14"/>
                <w:szCs w:val="14"/>
                <w:b w:val="1"/>
                <w:bCs w:val="1"/>
                <w:color w:val="auto"/>
                <w:w w:val="89"/>
              </w:rPr>
              <w:t>2022</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6"/>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20"/>
                <w:szCs w:val="20"/>
                <w:color w:val="auto"/>
              </w:rPr>
            </w:pP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0"/>
                <w:szCs w:val="20"/>
                <w:color w:val="auto"/>
              </w:rPr>
            </w:pPr>
            <w:r>
              <w:rPr>
                <w:rFonts w:ascii="Arial" w:cs="Arial" w:eastAsia="Arial" w:hAnsi="Arial"/>
                <w:sz w:val="18"/>
                <w:szCs w:val="18"/>
                <w:color w:val="auto"/>
              </w:rPr>
              <w:t>6.44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20"/>
                <w:szCs w:val="20"/>
                <w:color w:val="auto"/>
              </w:rPr>
            </w:pPr>
          </w:p>
        </w:tc>
      </w:tr>
      <w:tr>
        <w:trPr>
          <w:trHeight w:val="24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2380" w:type="dxa"/>
            <w:vAlign w:val="bottom"/>
            <w:gridSpan w:val="3"/>
            <w:shd w:val="clear" w:color="auto" w:fill="CFF0FC"/>
          </w:tcPr>
          <w:p>
            <w:pPr>
              <w:jc w:val="center"/>
              <w:ind w:left="58"/>
              <w:spacing w:after="0"/>
              <w:rPr>
                <w:sz w:val="20"/>
                <w:szCs w:val="20"/>
                <w:color w:val="auto"/>
              </w:rPr>
            </w:pPr>
            <w:r>
              <w:rPr>
                <w:rFonts w:ascii="Arial" w:cs="Arial" w:eastAsia="Arial" w:hAnsi="Arial"/>
                <w:sz w:val="18"/>
                <w:szCs w:val="18"/>
                <w:color w:val="auto"/>
                <w:w w:val="92"/>
              </w:rPr>
              <w:t>0%</w:t>
            </w:r>
          </w:p>
        </w:tc>
        <w:tc>
          <w:tcPr>
            <w:tcW w:w="2600" w:type="dxa"/>
            <w:vAlign w:val="bottom"/>
            <w:gridSpan w:val="4"/>
            <w:shd w:val="clear" w:color="auto" w:fill="CFF0FC"/>
          </w:tcPr>
          <w:p>
            <w:pPr>
              <w:jc w:val="center"/>
              <w:ind w:left="315"/>
              <w:spacing w:after="0"/>
              <w:rPr>
                <w:sz w:val="20"/>
                <w:szCs w:val="20"/>
                <w:color w:val="auto"/>
              </w:rPr>
            </w:pPr>
            <w:r>
              <w:rPr>
                <w:rFonts w:ascii="Arial" w:cs="Arial" w:eastAsia="Arial" w:hAnsi="Arial"/>
                <w:sz w:val="18"/>
                <w:szCs w:val="18"/>
                <w:color w:val="auto"/>
                <w:w w:val="92"/>
              </w:rPr>
              <w:t>0%</w:t>
            </w:r>
          </w:p>
        </w:tc>
        <w:tc>
          <w:tcPr>
            <w:tcW w:w="140" w:type="dxa"/>
            <w:vAlign w:val="bottom"/>
            <w:shd w:val="clear" w:color="auto" w:fill="CCEEFF"/>
          </w:tcPr>
          <w:p>
            <w:pPr>
              <w:spacing w:after="0"/>
              <w:rPr>
                <w:sz w:val="21"/>
                <w:szCs w:val="2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0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0"/>
                <w:szCs w:val="20"/>
                <w:color w:val="auto"/>
              </w:rPr>
            </w:pPr>
            <w:r>
              <w:rPr>
                <w:rFonts w:ascii="Arial" w:cs="Arial" w:eastAsia="Arial" w:hAnsi="Arial"/>
                <w:sz w:val="18"/>
                <w:szCs w:val="18"/>
                <w:color w:val="auto"/>
              </w:rPr>
              <w:t>77.7%</w:t>
            </w:r>
          </w:p>
        </w:tc>
        <w:tc>
          <w:tcPr>
            <w:tcW w:w="2600" w:type="dxa"/>
            <w:vAlign w:val="bottom"/>
            <w:gridSpan w:val="4"/>
          </w:tcPr>
          <w:p>
            <w:pPr>
              <w:jc w:val="center"/>
              <w:ind w:left="335"/>
              <w:spacing w:after="0"/>
              <w:rPr>
                <w:sz w:val="20"/>
                <w:szCs w:val="20"/>
                <w:color w:val="auto"/>
              </w:rPr>
            </w:pPr>
            <w:r>
              <w:rPr>
                <w:rFonts w:ascii="Arial" w:cs="Arial" w:eastAsia="Arial" w:hAnsi="Arial"/>
                <w:sz w:val="18"/>
                <w:szCs w:val="18"/>
                <w:color w:val="auto"/>
                <w:w w:val="88"/>
              </w:rPr>
              <w:t>77.00%</w:t>
            </w:r>
          </w:p>
        </w:tc>
        <w:tc>
          <w:tcPr>
            <w:tcW w:w="140" w:type="dxa"/>
            <w:vAlign w:val="bottom"/>
          </w:tcPr>
          <w:p>
            <w:pPr>
              <w:spacing w:after="0"/>
              <w:rPr>
                <w:sz w:val="20"/>
                <w:szCs w:val="20"/>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assumptions used to estimate the fair value of stock purchase rights under the ESPP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28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5"/>
                <w:szCs w:val="15"/>
                <w:color w:val="auto"/>
              </w:rPr>
            </w:pPr>
          </w:p>
        </w:tc>
      </w:tr>
      <w:tr>
        <w:trPr>
          <w:trHeight w:val="176"/>
        </w:trPr>
        <w:tc>
          <w:tcPr>
            <w:tcW w:w="61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5"/>
                <w:szCs w:val="15"/>
                <w:color w:val="auto"/>
              </w:rPr>
            </w:pPr>
          </w:p>
        </w:tc>
      </w:tr>
      <w:tr>
        <w:trPr>
          <w:trHeight w:val="185"/>
        </w:trPr>
        <w:tc>
          <w:tcPr>
            <w:tcW w:w="61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6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r>
      <w:tr>
        <w:trPr>
          <w:trHeight w:val="236"/>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400" w:type="dxa"/>
            <w:vAlign w:val="bottom"/>
            <w:tcBorders>
              <w:top w:val="single" w:sz="8" w:color="auto"/>
            </w:tcBorders>
            <w:shd w:val="clear" w:color="auto" w:fill="CFF0FC"/>
          </w:tcPr>
          <w:p>
            <w:pPr>
              <w:jc w:val="center"/>
              <w:ind w:left="58"/>
              <w:spacing w:after="0"/>
              <w:rPr>
                <w:sz w:val="20"/>
                <w:szCs w:val="20"/>
                <w:color w:val="auto"/>
              </w:rPr>
            </w:pPr>
            <w:r>
              <w:rPr>
                <w:rFonts w:ascii="Arial" w:cs="Arial" w:eastAsia="Arial" w:hAnsi="Arial"/>
                <w:sz w:val="18"/>
                <w:szCs w:val="18"/>
                <w:color w:val="auto"/>
                <w:w w:val="90"/>
              </w:rPr>
              <w:t>5.36%</w:t>
            </w:r>
          </w:p>
        </w:tc>
        <w:tc>
          <w:tcPr>
            <w:tcW w:w="280" w:type="dxa"/>
            <w:vAlign w:val="bottom"/>
            <w:shd w:val="clear" w:color="auto" w:fill="CFF0FC"/>
          </w:tcPr>
          <w:p>
            <w:pPr>
              <w:spacing w:after="0"/>
              <w:rPr>
                <w:sz w:val="20"/>
                <w:szCs w:val="20"/>
                <w:color w:val="auto"/>
              </w:rPr>
            </w:pPr>
          </w:p>
        </w:tc>
        <w:tc>
          <w:tcPr>
            <w:tcW w:w="2320" w:type="dxa"/>
            <w:vAlign w:val="bottom"/>
            <w:tcBorders>
              <w:top w:val="single" w:sz="8" w:color="auto"/>
            </w:tcBorders>
            <w:shd w:val="clear" w:color="auto" w:fill="CFF0FC"/>
          </w:tcPr>
          <w:p>
            <w:pPr>
              <w:jc w:val="center"/>
              <w:ind w:left="62"/>
              <w:spacing w:after="0"/>
              <w:rPr>
                <w:sz w:val="20"/>
                <w:szCs w:val="20"/>
                <w:color w:val="auto"/>
              </w:rPr>
            </w:pPr>
            <w:r>
              <w:rPr>
                <w:rFonts w:ascii="Arial" w:cs="Arial" w:eastAsia="Arial" w:hAnsi="Arial"/>
                <w:sz w:val="18"/>
                <w:szCs w:val="18"/>
                <w:color w:val="auto"/>
                <w:w w:val="90"/>
              </w:rPr>
              <w:t>1.57%</w:t>
            </w:r>
          </w:p>
        </w:tc>
        <w:tc>
          <w:tcPr>
            <w:tcW w:w="140" w:type="dxa"/>
            <w:vAlign w:val="bottom"/>
            <w:shd w:val="clear" w:color="auto" w:fill="CCECFF"/>
          </w:tcPr>
          <w:p>
            <w:pPr>
              <w:spacing w:after="0"/>
              <w:rPr>
                <w:sz w:val="20"/>
                <w:szCs w:val="20"/>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2400" w:type="dxa"/>
            <w:vAlign w:val="bottom"/>
          </w:tcPr>
          <w:p>
            <w:pPr>
              <w:jc w:val="center"/>
              <w:ind w:left="58"/>
              <w:spacing w:after="0"/>
              <w:rPr>
                <w:sz w:val="20"/>
                <w:szCs w:val="20"/>
                <w:color w:val="auto"/>
              </w:rPr>
            </w:pPr>
            <w:r>
              <w:rPr>
                <w:rFonts w:ascii="Arial" w:cs="Arial" w:eastAsia="Arial" w:hAnsi="Arial"/>
                <w:sz w:val="18"/>
                <w:szCs w:val="18"/>
                <w:color w:val="auto"/>
                <w:w w:val="85"/>
              </w:rPr>
              <w:t>0.49</w:t>
            </w:r>
          </w:p>
        </w:tc>
        <w:tc>
          <w:tcPr>
            <w:tcW w:w="2600" w:type="dxa"/>
            <w:vAlign w:val="bottom"/>
            <w:gridSpan w:val="2"/>
          </w:tcPr>
          <w:p>
            <w:pPr>
              <w:jc w:val="center"/>
              <w:ind w:left="335"/>
              <w:spacing w:after="0"/>
              <w:rPr>
                <w:sz w:val="20"/>
                <w:szCs w:val="20"/>
                <w:color w:val="auto"/>
              </w:rPr>
            </w:pPr>
            <w:r>
              <w:rPr>
                <w:rFonts w:ascii="Arial" w:cs="Arial" w:eastAsia="Arial" w:hAnsi="Arial"/>
                <w:sz w:val="18"/>
                <w:szCs w:val="18"/>
                <w:color w:val="auto"/>
                <w:w w:val="85"/>
              </w:rPr>
              <w:t>0.49</w:t>
            </w:r>
          </w:p>
        </w:tc>
        <w:tc>
          <w:tcPr>
            <w:tcW w:w="140" w:type="dxa"/>
            <w:vAlign w:val="bottom"/>
          </w:tcPr>
          <w:p>
            <w:pPr>
              <w:spacing w:after="0"/>
              <w:rPr>
                <w:sz w:val="20"/>
                <w:szCs w:val="20"/>
                <w:color w:val="auto"/>
              </w:rPr>
            </w:pPr>
          </w:p>
        </w:tc>
      </w:tr>
      <w:tr>
        <w:trPr>
          <w:trHeight w:val="249"/>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2400" w:type="dxa"/>
            <w:vAlign w:val="bottom"/>
            <w:shd w:val="clear" w:color="auto" w:fill="CFF0FC"/>
          </w:tcPr>
          <w:p>
            <w:pPr>
              <w:jc w:val="center"/>
              <w:ind w:left="38"/>
              <w:spacing w:after="0"/>
              <w:rPr>
                <w:sz w:val="20"/>
                <w:szCs w:val="20"/>
                <w:color w:val="auto"/>
              </w:rPr>
            </w:pPr>
            <w:r>
              <w:rPr>
                <w:rFonts w:ascii="Arial" w:cs="Arial" w:eastAsia="Arial" w:hAnsi="Arial"/>
                <w:sz w:val="18"/>
                <w:szCs w:val="18"/>
                <w:color w:val="auto"/>
                <w:w w:val="92"/>
              </w:rPr>
              <w:t>0%</w:t>
            </w:r>
          </w:p>
        </w:tc>
        <w:tc>
          <w:tcPr>
            <w:tcW w:w="2600" w:type="dxa"/>
            <w:vAlign w:val="bottom"/>
            <w:gridSpan w:val="2"/>
            <w:shd w:val="clear" w:color="auto" w:fill="CFF0FC"/>
          </w:tcPr>
          <w:p>
            <w:pPr>
              <w:jc w:val="center"/>
              <w:ind w:left="315"/>
              <w:spacing w:after="0"/>
              <w:rPr>
                <w:sz w:val="20"/>
                <w:szCs w:val="20"/>
                <w:color w:val="auto"/>
              </w:rPr>
            </w:pPr>
            <w:r>
              <w:rPr>
                <w:rFonts w:ascii="Arial" w:cs="Arial" w:eastAsia="Arial" w:hAnsi="Arial"/>
                <w:sz w:val="18"/>
                <w:szCs w:val="18"/>
                <w:color w:val="auto"/>
                <w:w w:val="92"/>
              </w:rPr>
              <w:t>0%</w:t>
            </w:r>
          </w:p>
        </w:tc>
        <w:tc>
          <w:tcPr>
            <w:tcW w:w="140" w:type="dxa"/>
            <w:vAlign w:val="bottom"/>
            <w:shd w:val="clear" w:color="auto" w:fill="CCECFF"/>
          </w:tcPr>
          <w:p>
            <w:pPr>
              <w:spacing w:after="0"/>
              <w:rPr>
                <w:sz w:val="21"/>
                <w:szCs w:val="2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00" w:type="dxa"/>
            <w:vAlign w:val="bottom"/>
          </w:tcPr>
          <w:p>
            <w:pPr>
              <w:jc w:val="center"/>
              <w:ind w:left="58"/>
              <w:spacing w:after="0"/>
              <w:rPr>
                <w:sz w:val="20"/>
                <w:szCs w:val="20"/>
                <w:color w:val="auto"/>
              </w:rPr>
            </w:pPr>
            <w:r>
              <w:rPr>
                <w:rFonts w:ascii="Arial" w:cs="Arial" w:eastAsia="Arial" w:hAnsi="Arial"/>
                <w:sz w:val="18"/>
                <w:szCs w:val="18"/>
                <w:color w:val="auto"/>
                <w:w w:val="88"/>
              </w:rPr>
              <w:t>76.50%</w:t>
            </w:r>
          </w:p>
        </w:tc>
        <w:tc>
          <w:tcPr>
            <w:tcW w:w="2600" w:type="dxa"/>
            <w:vAlign w:val="bottom"/>
            <w:gridSpan w:val="2"/>
          </w:tcPr>
          <w:p>
            <w:pPr>
              <w:jc w:val="center"/>
              <w:ind w:left="335"/>
              <w:spacing w:after="0"/>
              <w:rPr>
                <w:sz w:val="20"/>
                <w:szCs w:val="20"/>
                <w:color w:val="auto"/>
              </w:rPr>
            </w:pPr>
            <w:r>
              <w:rPr>
                <w:rFonts w:ascii="Arial" w:cs="Arial" w:eastAsia="Arial" w:hAnsi="Arial"/>
                <w:sz w:val="18"/>
                <w:szCs w:val="18"/>
                <w:color w:val="auto"/>
                <w:w w:val="88"/>
              </w:rPr>
              <w:t>77.00%</w:t>
            </w:r>
          </w:p>
        </w:tc>
        <w:tc>
          <w:tcPr>
            <w:tcW w:w="140" w:type="dxa"/>
            <w:vAlign w:val="bottom"/>
          </w:tcPr>
          <w:p>
            <w:pPr>
              <w:spacing w:after="0"/>
              <w:rPr>
                <w:sz w:val="20"/>
                <w:szCs w:val="20"/>
                <w:color w:val="auto"/>
              </w:rPr>
            </w:pPr>
          </w:p>
        </w:tc>
      </w:tr>
    </w:tbl>
    <w:p>
      <w:pPr>
        <w:spacing w:after="0" w:line="336"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Risk Free Interest Rate: The risk-free rate is based on the U.S. Treasury yields in effect at the time of grant for periods corresponding with the expected term of the option.</w:t>
      </w:r>
    </w:p>
    <w:p>
      <w:pPr>
        <w:spacing w:after="0" w:line="62"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6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Volatility is based on the historical volatility of the Company's publicly traded shares for the expected term.</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RSU activity under the 2020 Plan as of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300" w:type="dxa"/>
            <w:vAlign w:val="bottom"/>
          </w:tcPr>
          <w:p>
            <w:pPr>
              <w:ind w:left="620"/>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297"/>
              <w:spacing w:after="0"/>
              <w:rPr>
                <w:sz w:val="20"/>
                <w:szCs w:val="20"/>
                <w:color w:val="auto"/>
              </w:rPr>
            </w:pPr>
            <w:r>
              <w:rPr>
                <w:rFonts w:ascii="Arial" w:cs="Arial" w:eastAsia="Arial" w:hAnsi="Arial"/>
                <w:sz w:val="14"/>
                <w:szCs w:val="14"/>
                <w:b w:val="1"/>
                <w:bCs w:val="1"/>
                <w:color w:val="auto"/>
              </w:rPr>
              <w:t>Weighted-Average</w:t>
            </w:r>
          </w:p>
        </w:tc>
        <w:tc>
          <w:tcPr>
            <w:tcW w:w="140" w:type="dxa"/>
            <w:vAlign w:val="bottom"/>
          </w:tcPr>
          <w:p>
            <w:pPr>
              <w:spacing w:after="0"/>
              <w:rPr>
                <w:sz w:val="14"/>
                <w:szCs w:val="14"/>
                <w:color w:val="auto"/>
              </w:rPr>
            </w:pPr>
          </w:p>
        </w:tc>
      </w:tr>
      <w:tr>
        <w:trPr>
          <w:trHeight w:val="185"/>
        </w:trPr>
        <w:tc>
          <w:tcPr>
            <w:tcW w:w="6960" w:type="dxa"/>
            <w:vAlign w:val="bottom"/>
          </w:tcPr>
          <w:p>
            <w:pPr>
              <w:spacing w:after="0"/>
              <w:rPr>
                <w:sz w:val="16"/>
                <w:szCs w:val="16"/>
                <w:color w:val="auto"/>
              </w:rPr>
            </w:pP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88"/>
              </w:rPr>
              <w:t>Stock Units</w:t>
            </w:r>
          </w:p>
        </w:tc>
        <w:tc>
          <w:tcPr>
            <w:tcW w:w="6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9"/>
              </w:rPr>
              <w:t>Grant Date Fair Value</w:t>
            </w:r>
          </w:p>
        </w:tc>
        <w:tc>
          <w:tcPr>
            <w:tcW w:w="140" w:type="dxa"/>
            <w:vAlign w:val="bottom"/>
          </w:tcPr>
          <w:p>
            <w:pPr>
              <w:spacing w:after="0"/>
              <w:rPr>
                <w:sz w:val="16"/>
                <w:szCs w:val="16"/>
                <w:color w:val="auto"/>
              </w:rPr>
            </w:pPr>
          </w:p>
        </w:tc>
      </w:tr>
      <w:tr>
        <w:trPr>
          <w:trHeight w:val="237"/>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shares at December 31, 2022</w:t>
            </w:r>
          </w:p>
        </w:tc>
        <w:tc>
          <w:tcPr>
            <w:tcW w:w="1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374,899</w:t>
            </w: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FF0FC"/>
          </w:tcPr>
          <w:p>
            <w:pPr>
              <w:spacing w:after="0"/>
              <w:rPr>
                <w:sz w:val="20"/>
                <w:szCs w:val="20"/>
                <w:color w:val="auto"/>
              </w:rPr>
            </w:pPr>
          </w:p>
        </w:tc>
      </w:tr>
      <w:tr>
        <w:trPr>
          <w:trHeight w:val="237"/>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6"/>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shares at June 30, 2023</w:t>
            </w:r>
          </w:p>
        </w:tc>
        <w:tc>
          <w:tcPr>
            <w:tcW w:w="130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374,899</w:t>
            </w:r>
          </w:p>
        </w:tc>
        <w:tc>
          <w:tcPr>
            <w:tcW w:w="4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both"/>
        <w:ind w:right="140" w:firstLine="509"/>
        <w:spacing w:after="0" w:line="277" w:lineRule="auto"/>
        <w:rPr>
          <w:sz w:val="20"/>
          <w:szCs w:val="20"/>
          <w:color w:val="auto"/>
        </w:rPr>
      </w:pPr>
      <w:r>
        <w:rPr>
          <w:rFonts w:ascii="Arial" w:cs="Arial" w:eastAsia="Arial" w:hAnsi="Arial"/>
          <w:sz w:val="18"/>
          <w:szCs w:val="18"/>
          <w:color w:val="auto"/>
        </w:rPr>
        <w:t>As of June 30, 2023, there was $3,052 of unrecognized compensation cost related to RSUs that are expected to vest. These costs are expected to be recognized over a weighted average remaining vesting period of 1.2 years.</w:t>
      </w:r>
    </w:p>
    <w:p>
      <w:pPr>
        <w:spacing w:after="0" w:line="62"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For the Six Months Ended</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8"/>
        </w:trPr>
        <w:tc>
          <w:tcPr>
            <w:tcW w:w="4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8"/>
        </w:trPr>
        <w:tc>
          <w:tcPr>
            <w:tcW w:w="4160" w:type="dxa"/>
            <w:vAlign w:val="bottom"/>
          </w:tcPr>
          <w:p>
            <w:pPr>
              <w:spacing w:after="0"/>
              <w:rPr>
                <w:sz w:val="19"/>
                <w:szCs w:val="19"/>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9"/>
                <w:szCs w:val="19"/>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9"/>
                <w:szCs w:val="19"/>
                <w:color w:val="auto"/>
              </w:rPr>
            </w:pPr>
          </w:p>
        </w:tc>
        <w:tc>
          <w:tcPr>
            <w:tcW w:w="13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1,375</w:t>
            </w:r>
          </w:p>
        </w:tc>
        <w:tc>
          <w:tcPr>
            <w:tcW w:w="30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3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2,639</w:t>
            </w:r>
          </w:p>
        </w:tc>
        <w:tc>
          <w:tcPr>
            <w:tcW w:w="3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1,456</w:t>
            </w:r>
          </w:p>
        </w:tc>
        <w:tc>
          <w:tcPr>
            <w:tcW w:w="140" w:type="dxa"/>
            <w:vAlign w:val="bottom"/>
            <w:shd w:val="clear" w:color="auto" w:fill="CFF0FC"/>
          </w:tcPr>
          <w:p>
            <w:pPr>
              <w:spacing w:after="0"/>
              <w:rPr>
                <w:sz w:val="20"/>
                <w:szCs w:val="20"/>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1,778</w:t>
            </w:r>
          </w:p>
        </w:tc>
        <w:tc>
          <w:tcPr>
            <w:tcW w:w="3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1,711</w:t>
            </w:r>
          </w:p>
        </w:tc>
        <w:tc>
          <w:tcPr>
            <w:tcW w:w="3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3,446</w:t>
            </w:r>
          </w:p>
        </w:tc>
        <w:tc>
          <w:tcPr>
            <w:tcW w:w="3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3,239</w:t>
            </w:r>
          </w:p>
        </w:tc>
        <w:tc>
          <w:tcPr>
            <w:tcW w:w="140" w:type="dxa"/>
            <w:vAlign w:val="bottom"/>
          </w:tcPr>
          <w:p>
            <w:pPr>
              <w:spacing w:after="0"/>
              <w:rPr>
                <w:sz w:val="21"/>
                <w:szCs w:val="21"/>
                <w:color w:val="auto"/>
              </w:rPr>
            </w:pPr>
          </w:p>
        </w:tc>
      </w:tr>
      <w:tr>
        <w:trPr>
          <w:trHeight w:val="277"/>
        </w:trPr>
        <w:tc>
          <w:tcPr>
            <w:tcW w:w="4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w:t>
            </w:r>
          </w:p>
        </w:tc>
        <w:tc>
          <w:tcPr>
            <w:tcW w:w="1100" w:type="dxa"/>
            <w:vAlign w:val="bottom"/>
            <w:tcBorders>
              <w:bottom w:val="single" w:sz="8" w:color="auto"/>
            </w:tcBorders>
            <w:shd w:val="clear" w:color="auto" w:fill="CFF0FC"/>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3,153</w:t>
            </w:r>
          </w:p>
        </w:tc>
        <w:tc>
          <w:tcPr>
            <w:tcW w:w="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2,518</w:t>
            </w:r>
          </w:p>
        </w:tc>
        <w:tc>
          <w:tcPr>
            <w:tcW w:w="3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6,085</w:t>
            </w:r>
          </w:p>
        </w:tc>
        <w:tc>
          <w:tcPr>
            <w:tcW w:w="3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4,695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-25400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For the Six Months Ended</w:t>
            </w:r>
          </w:p>
        </w:tc>
        <w:tc>
          <w:tcPr>
            <w:tcW w:w="140" w:type="dxa"/>
            <w:vAlign w:val="bottom"/>
          </w:tcPr>
          <w:p>
            <w:pPr>
              <w:spacing w:after="0"/>
              <w:rPr>
                <w:sz w:val="16"/>
                <w:szCs w:val="16"/>
                <w:color w:val="auto"/>
              </w:rPr>
            </w:pPr>
          </w:p>
        </w:tc>
      </w:tr>
      <w:tr>
        <w:trPr>
          <w:trHeight w:val="238"/>
        </w:trPr>
        <w:tc>
          <w:tcPr>
            <w:tcW w:w="4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78"/>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0"/>
                <w:szCs w:val="20"/>
                <w:color w:val="auto"/>
              </w:rPr>
            </w:pPr>
          </w:p>
        </w:tc>
      </w:tr>
      <w:tr>
        <w:trPr>
          <w:trHeight w:val="228"/>
        </w:trPr>
        <w:tc>
          <w:tcPr>
            <w:tcW w:w="4160" w:type="dxa"/>
            <w:vAlign w:val="bottom"/>
          </w:tcPr>
          <w:p>
            <w:pPr>
              <w:spacing w:after="0"/>
              <w:rPr>
                <w:sz w:val="19"/>
                <w:szCs w:val="19"/>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9"/>
                <w:szCs w:val="19"/>
                <w:color w:val="auto"/>
              </w:rPr>
            </w:pPr>
          </w:p>
        </w:tc>
        <w:tc>
          <w:tcPr>
            <w:tcW w:w="14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100" w:type="dxa"/>
            <w:vAlign w:val="bottom"/>
            <w:tcBorders>
              <w:top w:val="single" w:sz="8" w:color="auto"/>
            </w:tcBorders>
            <w:shd w:val="clear" w:color="auto" w:fill="CFF0FC"/>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2,489</w:t>
            </w:r>
          </w:p>
        </w:tc>
        <w:tc>
          <w:tcPr>
            <w:tcW w:w="30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2,460</w:t>
            </w:r>
          </w:p>
        </w:tc>
        <w:tc>
          <w:tcPr>
            <w:tcW w:w="3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4,770</w:t>
            </w:r>
          </w:p>
        </w:tc>
        <w:tc>
          <w:tcPr>
            <w:tcW w:w="3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140" w:type="dxa"/>
            <w:vAlign w:val="bottom"/>
            <w:shd w:val="clear" w:color="auto" w:fill="CFF0FC"/>
          </w:tcPr>
          <w:p>
            <w:pPr>
              <w:spacing w:after="0"/>
              <w:rPr>
                <w:sz w:val="20"/>
                <w:szCs w:val="20"/>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1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160" w:type="dxa"/>
            <w:vAlign w:val="bottom"/>
          </w:tcPr>
          <w:p>
            <w:pPr>
              <w:ind w:left="200"/>
              <w:spacing w:after="0"/>
              <w:rPr>
                <w:sz w:val="20"/>
                <w:szCs w:val="20"/>
                <w:color w:val="auto"/>
              </w:rPr>
            </w:pPr>
            <w:r>
              <w:rPr>
                <w:rFonts w:ascii="Arial" w:cs="Arial" w:eastAsia="Arial" w:hAnsi="Arial"/>
                <w:sz w:val="18"/>
                <w:szCs w:val="18"/>
                <w:color w:val="auto"/>
              </w:rPr>
              <w:t>Total stock-based compensation</w:t>
            </w:r>
          </w:p>
        </w:tc>
        <w:tc>
          <w:tcPr>
            <w:tcW w:w="1100" w:type="dxa"/>
            <w:vAlign w:val="bottom"/>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3,153</w:t>
            </w:r>
          </w:p>
        </w:tc>
        <w:tc>
          <w:tcPr>
            <w:tcW w:w="140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2,518</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6,085</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4,695</w:t>
            </w:r>
          </w:p>
        </w:tc>
        <w:tc>
          <w:tcPr>
            <w:tcW w:w="14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-187960</wp:posOffset>
            </wp:positionV>
            <wp:extent cx="8572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8572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857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During the three and six months ended June 30, 2023 and 2022, the Company recorded a full valuation allowance on federal and state net deferred tax assets since management does not forecast the Company to be in a taxable position in the near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Company excluded all outstanding stock options and restricted stock awards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216"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As of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20" w:type="dxa"/>
            <w:vAlign w:val="bottom"/>
          </w:tcPr>
          <w:p>
            <w:pPr>
              <w:spacing w:after="0"/>
              <w:rPr>
                <w:sz w:val="14"/>
                <w:szCs w:val="14"/>
                <w:color w:val="auto"/>
              </w:rPr>
            </w:pPr>
          </w:p>
        </w:tc>
        <w:tc>
          <w:tcPr>
            <w:tcW w:w="15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2"/>
          </w:tcPr>
          <w:p>
            <w:pPr>
              <w:jc w:val="right"/>
              <w:ind w:right="95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7,124,912</w:t>
            </w:r>
          </w:p>
        </w:tc>
        <w:tc>
          <w:tcPr>
            <w:tcW w:w="320" w:type="dxa"/>
            <w:vAlign w:val="bottom"/>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5,335,193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Unvested RSUs</w:t>
            </w:r>
          </w:p>
        </w:tc>
        <w:tc>
          <w:tcPr>
            <w:tcW w:w="880" w:type="dxa"/>
            <w:vAlign w:val="bottom"/>
          </w:tcPr>
          <w:p>
            <w:pPr>
              <w:jc w:val="right"/>
              <w:spacing w:after="0"/>
              <w:rPr>
                <w:sz w:val="20"/>
                <w:szCs w:val="20"/>
                <w:color w:val="auto"/>
              </w:rPr>
            </w:pPr>
            <w:r>
              <w:rPr>
                <w:rFonts w:ascii="Arial" w:cs="Arial" w:eastAsia="Arial" w:hAnsi="Arial"/>
                <w:sz w:val="18"/>
                <w:szCs w:val="18"/>
                <w:color w:val="auto"/>
              </w:rPr>
              <w:t>374,899</w:t>
            </w:r>
          </w:p>
        </w:tc>
        <w:tc>
          <w:tcPr>
            <w:tcW w:w="3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shares to be purchased under 2020 ESPP</w:t>
            </w:r>
          </w:p>
        </w:tc>
        <w:tc>
          <w:tcPr>
            <w:tcW w:w="15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63,787</w:t>
            </w:r>
          </w:p>
        </w:tc>
        <w:tc>
          <w:tcPr>
            <w:tcW w:w="320" w:type="dxa"/>
            <w:vAlign w:val="bottom"/>
            <w:tcBorders>
              <w:bottom w:val="single" w:sz="8" w:color="CFF0FC"/>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43,129</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7,563,598</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5,378,322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540"/>
              <w:spacing w:after="0"/>
              <w:rPr>
                <w:sz w:val="20"/>
                <w:szCs w:val="20"/>
                <w:color w:val="auto"/>
              </w:rPr>
            </w:pPr>
            <w:r>
              <w:rPr>
                <w:rFonts w:ascii="Arial" w:cs="Arial" w:eastAsia="Arial" w:hAnsi="Arial"/>
                <w:sz w:val="18"/>
                <w:szCs w:val="18"/>
                <w:color w:val="auto"/>
              </w:rPr>
              <w:t>12</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0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0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-650875</wp:posOffset>
            </wp:positionV>
            <wp:extent cx="8572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-650875</wp:posOffset>
            </wp:positionV>
            <wp:extent cx="8572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33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has consulting agreements with two members of its board of directors; one of which waived his consulting fees starting as of September 2021. Total consulting fees paid during the three months ended June 30, 2023 and 2022 were $33.0 and $33.0, respectively. Total consulting fees paid during the six months ended June 30, 2023 and 2022 were $42.0 and $58.0, respectively. There were no amounts owed under the consulting agreements as of June 30, 2023.</w:t>
      </w:r>
    </w:p>
    <w:p>
      <w:pPr>
        <w:spacing w:after="0" w:line="1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2022 and 2021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2022 filed with the Securities and Exchange Commission, or the SEC, on March 1, 2023. Unless the context requires otherwise, references in this Quarterly Report on Form 10-Q to “we,” “us,” and “our” refer to PMV Pharmaceuticals, Inc.</w:t>
      </w:r>
    </w:p>
    <w:p>
      <w:pPr>
        <w:spacing w:after="0" w:line="56"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2022, as updated by our subsequent filings under the Securities Exchange Act of 1934, as amended. Furthermore, past operating results are not necessarily indicative of results that may occur in future periods.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other p53-related cancers.</w:t>
      </w:r>
    </w:p>
    <w:p>
      <w:pPr>
        <w:spacing w:after="0" w:line="57"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$73.3 million and $57.8 million for the years ended December 31, 2022 and 2021, respectively. During the three and six months ended June 30, 2023, the Company incurred net losses of $17.4 million and $36.6 million, respectively. As of June 30, 2023, we had an accumulated deficit of $277.6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In July 2023, we concluded our End-of-Phase 1 FDA meeting with alignment on the Recommended Phase 2 Dose and key elements of the single arm, Phase 2 registrational portion of the PYNNACLE study. We plan to initiate the single arm, Phase 2 portion of the PYNNACLE study in early 2024.</w:t>
      </w:r>
    </w:p>
    <w:p>
      <w:pPr>
        <w:spacing w:after="0" w:line="60"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80"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8" w:lineRule="exact"/>
        <w:rPr>
          <w:sz w:val="20"/>
          <w:szCs w:val="20"/>
          <w:color w:val="auto"/>
        </w:rPr>
      </w:pPr>
    </w:p>
    <w:p>
      <w:pPr>
        <w:ind w:right="900" w:firstLine="509"/>
        <w:spacing w:after="0" w:line="277" w:lineRule="auto"/>
        <w:rPr>
          <w:sz w:val="20"/>
          <w:szCs w:val="20"/>
          <w:color w:val="auto"/>
        </w:rPr>
      </w:pPr>
      <w:r>
        <w:rPr>
          <w:rFonts w:ascii="Arial" w:cs="Arial" w:eastAsia="Arial" w:hAnsi="Arial"/>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materials to be used during the development and commercialization of our product candidates. We do not currently have a sales force.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at the 2022 ASCO Annual Meeting.</w:t>
      </w:r>
    </w:p>
    <w:p>
      <w:pPr>
        <w:spacing w:after="0" w:line="73"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9" w:name="page20"/>
    <w:bookmarkEnd w:id="19"/>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57"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4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3"/>
              <w:spacing w:after="0" w:line="133"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3"/>
              <w:spacing w:after="0" w:line="133"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5"/>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13,843</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11,462</w:t>
            </w: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2,381</w:t>
            </w:r>
          </w:p>
        </w:tc>
        <w:tc>
          <w:tcPr>
            <w:tcW w:w="140" w:type="dxa"/>
            <w:vAlign w:val="bottom"/>
          </w:tcPr>
          <w:p>
            <w:pPr>
              <w:spacing w:after="0"/>
              <w:rPr>
                <w:sz w:val="20"/>
                <w:szCs w:val="20"/>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6,423</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(144 )</w:t>
            </w:r>
          </w:p>
        </w:tc>
      </w:tr>
      <w:tr>
        <w:trPr>
          <w:trHeight w:val="243"/>
        </w:trPr>
        <w:tc>
          <w:tcPr>
            <w:tcW w:w="648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r>
      <w:tr>
        <w:trPr>
          <w:trHeight w:val="243"/>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17,885</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140" w:type="dxa"/>
            <w:vAlign w:val="bottom"/>
            <w:shd w:val="clear" w:color="auto" w:fill="CFF0FC"/>
          </w:tcPr>
          <w:p>
            <w:pPr>
              <w:spacing w:after="0"/>
              <w:rPr>
                <w:sz w:val="21"/>
                <w:szCs w:val="21"/>
                <w:color w:val="auto"/>
              </w:rPr>
            </w:pPr>
          </w:p>
        </w:tc>
      </w:tr>
      <w:tr>
        <w:trPr>
          <w:trHeight w:val="243"/>
        </w:trPr>
        <w:tc>
          <w:tcPr>
            <w:tcW w:w="6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r>
      <w:tr>
        <w:trPr>
          <w:trHeight w:val="237"/>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(20,122 )</w:t>
            </w: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(17,885 )</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(2,237 )</w:t>
            </w:r>
          </w:p>
        </w:tc>
      </w:tr>
      <w:tr>
        <w:trPr>
          <w:trHeight w:val="236"/>
        </w:trPr>
        <w:tc>
          <w:tcPr>
            <w:tcW w:w="64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(31 )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r>
      <w:tr>
        <w:trPr>
          <w:trHeight w:val="243"/>
        </w:trPr>
        <w:tc>
          <w:tcPr>
            <w:tcW w:w="64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40" w:type="dxa"/>
            <w:vAlign w:val="bottom"/>
          </w:tcPr>
          <w:p>
            <w:pPr>
              <w:spacing w:after="0"/>
              <w:rPr>
                <w:sz w:val="20"/>
                <w:szCs w:val="20"/>
                <w:color w:val="auto"/>
              </w:rPr>
            </w:pPr>
          </w:p>
        </w:tc>
      </w:tr>
      <w:tr>
        <w:trPr>
          <w:trHeight w:val="243"/>
        </w:trPr>
        <w:tc>
          <w:tcPr>
            <w:tcW w:w="6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spacing w:after="0"/>
              <w:rPr>
                <w:sz w:val="21"/>
                <w:szCs w:val="2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Loss before provision (benefit) for income taxes</w:t>
            </w: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(17,432 )</w:t>
            </w:r>
          </w:p>
        </w:tc>
        <w:tc>
          <w:tcPr>
            <w:tcW w:w="1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(17,312 )</w:t>
            </w:r>
          </w:p>
        </w:tc>
        <w:tc>
          <w:tcPr>
            <w:tcW w:w="2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(120 )</w:t>
            </w:r>
          </w:p>
        </w:tc>
      </w:tr>
      <w:tr>
        <w:trPr>
          <w:trHeight w:val="243"/>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(2 )</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r>
      <w:tr>
        <w:trPr>
          <w:trHeight w:val="243"/>
        </w:trPr>
        <w:tc>
          <w:tcPr>
            <w:tcW w:w="648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r>
      <w:tr>
        <w:trPr>
          <w:trHeight w:val="257"/>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(17,436 )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(17,310 )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(126 )</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-2228215</wp:posOffset>
            </wp:positionV>
            <wp:extent cx="85725"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-2228215</wp:posOffset>
            </wp:positionV>
            <wp:extent cx="85725"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-2228215</wp:posOffset>
            </wp:positionV>
            <wp:extent cx="85725"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-1602740</wp:posOffset>
            </wp:positionV>
            <wp:extent cx="85725"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-1602740</wp:posOffset>
            </wp:positionV>
            <wp:extent cx="85725"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-1602740</wp:posOffset>
            </wp:positionV>
            <wp:extent cx="8572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-342265</wp:posOffset>
            </wp:positionV>
            <wp:extent cx="8572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-342265</wp:posOffset>
            </wp:positionV>
            <wp:extent cx="85725"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-342265</wp:posOffset>
            </wp:positionV>
            <wp:extent cx="85725"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57"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5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35"/>
              <w:spacing w:after="0" w:line="133"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35"/>
              <w:spacing w:after="0" w:line="133"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5"/>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6"/>
                <w:szCs w:val="16"/>
                <w:color w:val="auto"/>
              </w:rPr>
            </w:pPr>
          </w:p>
        </w:tc>
      </w:tr>
      <w:tr>
        <w:trPr>
          <w:trHeight w:val="236"/>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20"/>
                <w:szCs w:val="20"/>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7,450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20"/>
                <w:szCs w:val="20"/>
                <w:color w:val="auto"/>
              </w:rPr>
            </w:pPr>
          </w:p>
        </w:tc>
      </w:tr>
      <w:tr>
        <w:trPr>
          <w:trHeight w:val="24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 related</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FF0FC"/>
          </w:tcPr>
          <w:p>
            <w:pPr>
              <w:spacing w:after="0"/>
              <w:rPr>
                <w:sz w:val="21"/>
                <w:szCs w:val="2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20"/>
                <w:szCs w:val="20"/>
                <w:color w:val="auto"/>
              </w:rPr>
            </w:pPr>
          </w:p>
        </w:tc>
      </w:tr>
      <w:tr>
        <w:trPr>
          <w:trHeight w:val="277"/>
        </w:trPr>
        <w:tc>
          <w:tcPr>
            <w:tcW w:w="6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13,843</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11,462</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857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both"/>
        <w:ind w:right="160" w:firstLine="509"/>
        <w:spacing w:after="0" w:line="308" w:lineRule="auto"/>
        <w:rPr>
          <w:sz w:val="20"/>
          <w:szCs w:val="20"/>
          <w:color w:val="auto"/>
        </w:rPr>
      </w:pPr>
      <w:r>
        <w:rPr>
          <w:rFonts w:ascii="Arial" w:cs="Arial" w:eastAsia="Arial" w:hAnsi="Arial"/>
          <w:sz w:val="17"/>
          <w:szCs w:val="17"/>
          <w:color w:val="auto"/>
        </w:rPr>
        <w:t>Research and development expenses were $13.8 million for the three months ended June 30, 2023, compared to $11.5 million for the three months ended June 30, 2022. The increase of $2.3 million, compared to the three months ended June 30, 2022, was primarily due to the following:</w:t>
      </w:r>
    </w:p>
    <w:p>
      <w:pPr>
        <w:spacing w:after="0" w:line="38" w:lineRule="exact"/>
        <w:rPr>
          <w:sz w:val="20"/>
          <w:szCs w:val="20"/>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$0.2 million increase in research expenses, largely driven by increased contractual research organization costs;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$0.9 million increase in development expenses associated with advancing our lead product candidate, PC14586, through the Phase 1/2 clinical trial;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$1.2 million increase in expenses for personnel related costs and stock-based compensation, primarily driven by increased headcount.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20" w:firstLine="509"/>
        <w:spacing w:after="0" w:line="308" w:lineRule="auto"/>
        <w:rPr>
          <w:sz w:val="20"/>
          <w:szCs w:val="20"/>
          <w:color w:val="auto"/>
        </w:rPr>
      </w:pPr>
      <w:r>
        <w:rPr>
          <w:rFonts w:ascii="Arial" w:cs="Arial" w:eastAsia="Arial" w:hAnsi="Arial"/>
          <w:sz w:val="17"/>
          <w:szCs w:val="17"/>
          <w:color w:val="auto"/>
        </w:rPr>
        <w:t>General and administrative expenses were $6.3 million for the three months ended June 30, 2023, compared to $6.4 million for the three months ended June 30, 2022. The decrease of $0.1 million, compared to the three months ended June 30, 2022, was primarily due to following:</w:t>
      </w:r>
    </w:p>
    <w:p>
      <w:pPr>
        <w:spacing w:after="0" w:line="38" w:lineRule="exact"/>
        <w:rPr>
          <w:sz w:val="20"/>
          <w:szCs w:val="20"/>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decrease in insurance expenses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$2.7 million for the three months ended June 30, 2023. The increase of $2.1 million compared to the three months ended June 30, 2022, is driven by increased interest rates from cash and investments in marketable securities and U.S treasuries during the three months ended June 30,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11"/>
                <w:szCs w:val="11"/>
                <w:color w:val="auto"/>
              </w:rPr>
            </w:pPr>
          </w:p>
        </w:tc>
        <w:tc>
          <w:tcPr>
            <w:tcW w:w="1140" w:type="dxa"/>
            <w:vAlign w:val="bottom"/>
          </w:tcPr>
          <w:p>
            <w:pPr>
              <w:jc w:val="right"/>
              <w:ind w:right="435"/>
              <w:spacing w:after="0" w:line="133"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433"/>
              <w:spacing w:after="0" w:line="133"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28,916</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23,297</w:t>
            </w: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13,206</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(520 )</w:t>
            </w:r>
          </w:p>
        </w:tc>
        <w:tc>
          <w:tcPr>
            <w:tcW w:w="0" w:type="dxa"/>
            <w:vAlign w:val="bottom"/>
          </w:tcPr>
          <w:p>
            <w:pPr>
              <w:spacing w:after="0"/>
              <w:rPr>
                <w:sz w:val="1"/>
                <w:szCs w:val="1"/>
                <w:color w:val="auto"/>
              </w:rPr>
            </w:pPr>
          </w:p>
        </w:tc>
      </w:tr>
      <w:tr>
        <w:trPr>
          <w:trHeight w:val="243"/>
        </w:trPr>
        <w:tc>
          <w:tcPr>
            <w:tcW w:w="648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36,503</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(41,602 )</w:t>
            </w: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(36,503 )</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(5,099 )</w:t>
            </w:r>
          </w:p>
        </w:tc>
        <w:tc>
          <w:tcPr>
            <w:tcW w:w="0" w:type="dxa"/>
            <w:vAlign w:val="bottom"/>
          </w:tcPr>
          <w:p>
            <w:pPr>
              <w:spacing w:after="0"/>
              <w:rPr>
                <w:sz w:val="1"/>
                <w:szCs w:val="1"/>
                <w:color w:val="auto"/>
              </w:rPr>
            </w:pPr>
          </w:p>
        </w:tc>
      </w:tr>
      <w:tr>
        <w:trPr>
          <w:trHeight w:val="237"/>
        </w:trPr>
        <w:tc>
          <w:tcPr>
            <w:tcW w:w="64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(72 )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color w:val="auto"/>
              </w:rPr>
              <w:t>Total other income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Loss before provision (benefit) for income taxes</w:t>
            </w: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(36,560 )</w:t>
            </w:r>
          </w:p>
        </w:tc>
        <w:tc>
          <w:tcPr>
            <w:tcW w:w="1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(35,743 )</w:t>
            </w:r>
          </w:p>
        </w:tc>
        <w:tc>
          <w:tcPr>
            <w:tcW w:w="2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(817 )</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(36,564 )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(35,743 )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(821 )</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-2228215</wp:posOffset>
            </wp:positionV>
            <wp:extent cx="85725"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-2228215</wp:posOffset>
            </wp:positionV>
            <wp:extent cx="85725"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-2228215</wp:posOffset>
            </wp:positionV>
            <wp:extent cx="85725"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-1602740</wp:posOffset>
            </wp:positionV>
            <wp:extent cx="85725"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-1602740</wp:posOffset>
            </wp:positionV>
            <wp:extent cx="8572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-1602740</wp:posOffset>
            </wp:positionV>
            <wp:extent cx="85725"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-342265</wp:posOffset>
            </wp:positionV>
            <wp:extent cx="85725"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-342265</wp:posOffset>
            </wp:positionV>
            <wp:extent cx="8572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-342265</wp:posOffset>
            </wp:positionV>
            <wp:extent cx="85725"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85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57"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4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5"/>
              <w:spacing w:after="0" w:line="133"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5"/>
              <w:spacing w:after="0" w:line="133"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5"/>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16"/>
                <w:szCs w:val="16"/>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Change</w:t>
            </w: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3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3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16,288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13,142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3,146</w:t>
            </w:r>
          </w:p>
        </w:tc>
        <w:tc>
          <w:tcPr>
            <w:tcW w:w="140" w:type="dxa"/>
            <w:vAlign w:val="bottom"/>
          </w:tcPr>
          <w:p>
            <w:pPr>
              <w:spacing w:after="0"/>
              <w:rPr>
                <w:sz w:val="20"/>
                <w:szCs w:val="20"/>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 related</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20"/>
                <w:szCs w:val="20"/>
                <w:color w:val="auto"/>
              </w:rPr>
            </w:pPr>
          </w:p>
        </w:tc>
      </w:tr>
      <w:tr>
        <w:trPr>
          <w:trHeight w:val="276"/>
        </w:trPr>
        <w:tc>
          <w:tcPr>
            <w:tcW w:w="6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28,916</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23,297</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460" w:firstLine="509"/>
        <w:spacing w:after="0" w:line="342" w:lineRule="auto"/>
        <w:rPr>
          <w:sz w:val="20"/>
          <w:szCs w:val="20"/>
          <w:color w:val="auto"/>
        </w:rPr>
      </w:pPr>
      <w:r>
        <w:rPr>
          <w:rFonts w:ascii="Arial" w:cs="Arial" w:eastAsia="Arial" w:hAnsi="Arial"/>
          <w:sz w:val="16"/>
          <w:szCs w:val="16"/>
          <w:color w:val="auto"/>
        </w:rPr>
        <w:t>Research and development expenses were $28.9 million for the six months ended June 30, 2023, compared to $23.3 million for the six months ended June 30, 2022. The increase of $5.6 million, compared to the six months ended June 30, 2022, was primarily due to the following:</w:t>
      </w:r>
    </w:p>
    <w:p>
      <w:pPr>
        <w:spacing w:after="0" w:line="16" w:lineRule="exact"/>
        <w:rPr>
          <w:sz w:val="20"/>
          <w:szCs w:val="20"/>
          <w:color w:val="auto"/>
        </w:rPr>
      </w:pPr>
    </w:p>
    <w:p>
      <w:pPr>
        <w:ind w:left="5540" w:right="2320" w:hanging="5023"/>
        <w:spacing w:after="0" w:line="481" w:lineRule="auto"/>
        <w:tabs>
          <w:tab w:leader="none" w:pos="898" w:val="left"/>
        </w:tabs>
        <w:numPr>
          <w:ilvl w:val="0"/>
          <w:numId w:val="9"/>
        </w:numPr>
        <w:rPr>
          <w:rFonts w:ascii="Arial" w:cs="Arial" w:eastAsia="Arial" w:hAnsi="Arial"/>
          <w:sz w:val="18"/>
          <w:szCs w:val="18"/>
          <w:color w:val="auto"/>
        </w:rPr>
      </w:pPr>
      <w:r>
        <w:rPr>
          <w:rFonts w:ascii="Arial" w:cs="Arial" w:eastAsia="Arial" w:hAnsi="Arial"/>
          <w:sz w:val="18"/>
          <w:szCs w:val="18"/>
          <w:color w:val="auto"/>
        </w:rPr>
        <w:t>$0.6 million decrease in research expenses, largely driven by decreased contractual research organization costs;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left="900" w:right="10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 million increase in development expenses associated with advancing our lead product candidate, PC14586, through the Phase 1/2 clinical trial;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$3.0 million increase in expenses for personnel related costs and stock-based compensation, primarily driven by increased headcount.</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40" w:firstLine="509"/>
        <w:spacing w:after="0" w:line="308" w:lineRule="auto"/>
        <w:rPr>
          <w:sz w:val="20"/>
          <w:szCs w:val="20"/>
          <w:color w:val="auto"/>
        </w:rPr>
      </w:pPr>
      <w:r>
        <w:rPr>
          <w:rFonts w:ascii="Arial" w:cs="Arial" w:eastAsia="Arial" w:hAnsi="Arial"/>
          <w:sz w:val="17"/>
          <w:szCs w:val="17"/>
          <w:color w:val="auto"/>
        </w:rPr>
        <w:t>General and administrative expenses were $12.7 million for the six months ended June 30, 2023, compared to $13.2 million for the six months ended June 30, 2022. The decrease of $0.5 million, compared to the six months ended June 30, 2022, was primarily due to following:</w:t>
      </w:r>
    </w:p>
    <w:p>
      <w:pPr>
        <w:spacing w:after="0" w:line="38" w:lineRule="exact"/>
        <w:rPr>
          <w:sz w:val="20"/>
          <w:szCs w:val="20"/>
          <w:color w:val="auto"/>
        </w:rPr>
      </w:pPr>
    </w:p>
    <w:p>
      <w:pPr>
        <w:ind w:left="900" w:right="72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$0.5 million decrease due to facility related costs allocated to research as our new laboratory building in Princeton, New Jersey began operations.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$5.0 million for the six months ended June 30, 2023. The increase of $4.2 million compared to the six months ended June 30, 2022, is driven by increased interest rates from cash and investments in marketable securities and U.S treasuries during the three months ended June 30, 2023.</w:t>
      </w:r>
    </w:p>
    <w:p>
      <w:pPr>
        <w:spacing w:after="0" w:line="29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condition is summarized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As of June 30,</w:t>
            </w:r>
          </w:p>
        </w:tc>
        <w:tc>
          <w:tcPr>
            <w:tcW w:w="32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6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Change</w:t>
            </w:r>
          </w:p>
        </w:tc>
      </w:tr>
      <w:tr>
        <w:trPr>
          <w:trHeight w:val="237"/>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68,209</w:t>
            </w:r>
          </w:p>
        </w:tc>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108,297</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(40,088 )</w:t>
            </w:r>
          </w:p>
        </w:tc>
      </w:tr>
      <w:tr>
        <w:trPr>
          <w:trHeight w:val="249"/>
        </w:trPr>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Marketable securities - current</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118,878</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(13,879 )</w:t>
            </w:r>
          </w:p>
        </w:tc>
      </w:tr>
      <w:tr>
        <w:trPr>
          <w:trHeight w:val="243"/>
        </w:trPr>
        <w:tc>
          <w:tcPr>
            <w:tcW w:w="6500" w:type="dxa"/>
            <w:vAlign w:val="bottom"/>
          </w:tcPr>
          <w:p>
            <w:pPr>
              <w:ind w:left="120"/>
              <w:spacing w:after="0"/>
              <w:rPr>
                <w:sz w:val="20"/>
                <w:szCs w:val="20"/>
                <w:color w:val="auto"/>
              </w:rPr>
            </w:pPr>
            <w:r>
              <w:rPr>
                <w:rFonts w:ascii="Arial" w:cs="Arial" w:eastAsia="Arial" w:hAnsi="Arial"/>
                <w:sz w:val="18"/>
                <w:szCs w:val="18"/>
                <w:color w:val="auto"/>
              </w:rPr>
              <w:t>Marketable securities - noncurrent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31,757</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29,262</w:t>
            </w:r>
          </w:p>
        </w:tc>
        <w:tc>
          <w:tcPr>
            <w:tcW w:w="140" w:type="dxa"/>
            <w:vAlign w:val="bottom"/>
          </w:tcPr>
          <w:p>
            <w:pPr>
              <w:spacing w:after="0"/>
              <w:rPr>
                <w:sz w:val="21"/>
                <w:szCs w:val="21"/>
                <w:color w:val="auto"/>
              </w:rPr>
            </w:pPr>
          </w:p>
        </w:tc>
      </w:tr>
      <w:tr>
        <w:trPr>
          <w:trHeight w:val="277"/>
        </w:trPr>
        <w:tc>
          <w:tcPr>
            <w:tcW w:w="6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218,844</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243,549</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6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190,413</w:t>
            </w:r>
          </w:p>
        </w:tc>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247,006</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(56,593 )</w:t>
            </w:r>
          </w:p>
        </w:tc>
      </w:tr>
      <w:tr>
        <w:trPr>
          <w:trHeight w:val="249"/>
        </w:trPr>
        <w:tc>
          <w:tcPr>
            <w:tcW w:w="6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11,447</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10,832</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500" w:type="dxa"/>
            <w:vAlign w:val="bottom"/>
          </w:tcPr>
          <w:p>
            <w:pPr>
              <w:ind w:left="200"/>
              <w:spacing w:after="0"/>
              <w:rPr>
                <w:sz w:val="20"/>
                <w:szCs w:val="20"/>
                <w:color w:val="auto"/>
              </w:rPr>
            </w:pPr>
            <w:r>
              <w:rPr>
                <w:rFonts w:ascii="Arial" w:cs="Arial" w:eastAsia="Arial" w:hAnsi="Arial"/>
                <w:sz w:val="18"/>
                <w:szCs w:val="18"/>
                <w:color w:val="auto"/>
              </w:rPr>
              <w:t>Total working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178,966</w:t>
            </w:r>
          </w:p>
        </w:tc>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236,174</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(57,208 )</w:t>
            </w: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-831215</wp:posOffset>
            </wp:positionV>
            <wp:extent cx="216916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69160" cy="17970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8572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8572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2023, we had cash, cash equivalents, and marketable securities of $218.8 million and an accumulated deficit of $277.6 million. In September 2020, we completed an IPO of 13,529,750 shares of our common stock, which includes the exercise in full by the underwriters of their option to purchase 1,764,750 additional shares of common stock, at a public offering price of $18.00 per share for aggregate gross proceeds of $243.5 million. We received $223.2 million in net proceeds after deducting underwriting discounts and commissions and other offering expenses payable by us.</w:t>
      </w:r>
    </w:p>
    <w:p>
      <w:pPr>
        <w:spacing w:after="0" w:line="8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We have a shelf registration statement on Form S-3 on file with the SEC, which registers the offering, issuance, and sale of up to $200 million of various equity and debt securities and up to $150 million of common stock pursuant to our at-the-market equity offering program, dated October 4, 2021, or the ATM program. During the three months ended June 30, 2023, we sold 344,358 shares of common stock under our ATM program at a weighted average price of $6.07 per share for $2.0 million in proceeds, net of fees. As of June 30, 2023, we have approximately $148.0 million remaining in gross proceeds available for future issuances of common stock under the ATM Program.</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7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January 2021, we signed a lease for 50,581 square feet of office and laboratory space at One Research Way in Princeton, New Jersey. That lease term extends through 2032, has a five-year extension option, and is intended to replace our two existing facilities. Amounts related to future lease payments as of June 30, 2023, totaled $18.0 million, with $1.8 million to be paid within the next 12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8"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Due to our significant research and development expenditures, we have generated substantial operating losses in each period since inception. We have incurred an accumulated deficit of $277.6 million through June 30, 2023. We expect to incur substantial additional losses in the future as we expand our research and development activities. For the six months ended June 30, 2023 and 2022, our cash operating expenditures were $27.9 million and $31.7 million, respectively. We expect to increase our investment in operations in the remainder of 2023 and 2024. Based on our research and development plans, we expect that our cash, cash equivalents and marketable securities as of June 30, 2023 will be sufficient to fund our operations at least through 2024.</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based this estimate on assumptions that may prove to be wrong, however, and we could use our capital resources sooner than we expect.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900" w:right="78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future licenses and research and development programs and to establish new collaboration and/or in-licensing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900" w:right="500" w:hanging="383"/>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efforts to build out our new office and laboratory headquarters, enhance operational systems and hire additional personnel, including personnel to support development of our product candidates and satisfy our obligations as a public company.</w:t>
      </w:r>
    </w:p>
    <w:p>
      <w:pPr>
        <w:spacing w:after="0" w:line="3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curtail planned programs. Any of these actions could materially and adversely affect our business, financial condition, results of operations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57"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6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6"/>
              <w:spacing w:after="0" w:line="133"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6"/>
              <w:spacing w:after="0" w:line="133"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1"/>
                <w:szCs w:val="11"/>
                <w:color w:val="auto"/>
              </w:rPr>
            </w:pPr>
          </w:p>
        </w:tc>
      </w:tr>
      <w:tr>
        <w:trPr>
          <w:trHeight w:val="185"/>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4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(Unaudited)</w:t>
            </w:r>
          </w:p>
        </w:tc>
      </w:tr>
      <w:tr>
        <w:trPr>
          <w:trHeight w:val="23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(27,913</w:t>
            </w:r>
          </w:p>
        </w:tc>
        <w:tc>
          <w:tcPr>
            <w:tcW w:w="3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(31,677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20"/>
                <w:szCs w:val="20"/>
                <w:color w:val="auto"/>
              </w:rPr>
            </w:pP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(14,318 )</w:t>
            </w:r>
          </w:p>
        </w:tc>
        <w:tc>
          <w:tcPr>
            <w:tcW w:w="2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(54,104 )</w:t>
            </w: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43"/>
        </w:trPr>
        <w:tc>
          <w:tcPr>
            <w:tcW w:w="7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spacing w:after="0"/>
              <w:rPr>
                <w:sz w:val="21"/>
                <w:szCs w:val="21"/>
                <w:color w:val="auto"/>
              </w:rPr>
            </w:pPr>
          </w:p>
        </w:tc>
      </w:tr>
      <w:tr>
        <w:trPr>
          <w:trHeight w:val="25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(40,088 )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(85,377 )</w:t>
            </w:r>
          </w:p>
        </w:tc>
      </w:tr>
      <w:tr>
        <w:trPr>
          <w:trHeight w:val="20"/>
        </w:trPr>
        <w:tc>
          <w:tcPr>
            <w:tcW w:w="7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-342265</wp:posOffset>
            </wp:positionV>
            <wp:extent cx="85725"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-342265</wp:posOffset>
            </wp:positionV>
            <wp:extent cx="85725"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Net cash used in operating activities for the six months ended June 30, 2023, was $27.9 million, which consisted primarily of net loss of $36.6 million partially offset by non-cash charges of $4.8 million. Changes in our net operating assets increased operating cash by $3.9 million. The non-cash charges primarily consisted of stock-based compensation of $6.1 million, accretion of premiums on marketable securities of $1.7 million, depreciation of $0.5 million, and non-cash lease income of $0.2 million. The change in our net operating assets and liabilities was primarily due to a decrease in prepaid expenses and other assets, and an increase in outstanding payables and accrued expenses.</w:t>
      </w:r>
    </w:p>
    <w:p>
      <w:pPr>
        <w:spacing w:after="0" w:line="68"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Net cash used in operating activities for the six months ended June 30, 2022, was $31.7 million, which consisted primarily of net loss of $35.7 million partially offset by non-cash charges of $5.1 million. Changes in our net operating assets decreased operating cash by $1.0 million. The non-cash charges primarily consisted of stock-based compensation of $4.7 million, depreciation and amortization of $0.3 million, and non-cash lease expense of $0.2 million. The change in our net operating assets and liabilities was primarily due to an increase in prepaid expenses and other assets, a decrease in accrued expenses, a decrease in outstanding payables, and a decrease in operating lease right of use assets and liabilities driven by a cash reimbursement of $1.6 million for the buildout of the new office building in Princeton, New Jersey.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Our investing activities used $14.3 million of cash during the six months ended June 30, 2023, which consisted primarily of purchases of marketable securities of $129.6 million, along with purchase of property and equipment of $0.7 million, partially offset by maturities of marketable securities of $116.0 million.</w:t>
      </w:r>
    </w:p>
    <w:p>
      <w:pPr>
        <w:spacing w:after="0" w:line="76"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Our investing activities used $54.1 million of cash during the six months ended June 30, 2022, which consisted primarily of purchases of marketable securities of $149.2 million, along with purchase of property and equipment of $4.3 million partially offset by maturities of marketable securities of $99.4 million.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Our financing activities provided $2.1 million of cash during the six months ended June 30, 2023. This consisted of $2.0 million of common stock issued under our ATM program, net of issuance costs, and $0.1 million of proceeds from the exercise of stock options.</w:t>
      </w:r>
    </w:p>
    <w:p>
      <w:pPr>
        <w:spacing w:after="0" w:line="6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Our financing activities provided $0.4 million of cash during the six months ended June 30, 2022, which consisted primarily of proceeds from the exercise of stock options and issuance of common stock under the 2020 ESPP.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320"/>
        <w:spacing w:after="0" w:line="277" w:lineRule="auto"/>
        <w:rPr>
          <w:sz w:val="20"/>
          <w:szCs w:val="20"/>
          <w:color w:val="auto"/>
        </w:rPr>
      </w:pPr>
      <w:r>
        <w:rPr>
          <w:rFonts w:ascii="Arial" w:cs="Arial" w:eastAsia="Arial" w:hAnsi="Arial"/>
          <w:sz w:val="18"/>
          <w:szCs w:val="18"/>
          <w:color w:val="auto"/>
        </w:rPr>
        <w:t>accompanying notes. Although we believe that the estimates we use are reasonable, due to the inherent uncertainty involved in making those estimates, actual results reported in future periods could differ from those estimates.</w:t>
      </w:r>
    </w:p>
    <w:p>
      <w:pPr>
        <w:spacing w:after="0" w:line="6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six-month period ended June 30, 2023, there were no material changes to our critical accounting policies from those described in our audited financial statements for the year ended December 31, 2022, included in our Annual Report on Form 10-K filed with the SEC on March 1, 2023, except as noted below.</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68"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58" w:lineRule="exact"/>
        <w:rPr>
          <w:sz w:val="20"/>
          <w:szCs w:val="20"/>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7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62" w:lineRule="exact"/>
        <w:rPr>
          <w:sz w:val="20"/>
          <w:szCs w:val="20"/>
          <w:color w:val="auto"/>
        </w:rPr>
      </w:pPr>
    </w:p>
    <w:p>
      <w:pPr>
        <w:jc w:val="both"/>
        <w:ind w:right="440" w:firstLine="509"/>
        <w:spacing w:after="0" w:line="263"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firstLine="509"/>
        <w:spacing w:after="0" w:line="263" w:lineRule="auto"/>
        <w:rPr>
          <w:sz w:val="20"/>
          <w:szCs w:val="20"/>
          <w:color w:val="auto"/>
        </w:rPr>
      </w:pPr>
      <w:r>
        <w:rPr>
          <w:rFonts w:ascii="Arial" w:cs="Arial" w:eastAsia="Arial" w:hAnsi="Arial"/>
          <w:sz w:val="18"/>
          <w:szCs w:val="18"/>
          <w:color w:val="auto"/>
        </w:rPr>
        <w:t>Expected volatility was derived from the average historical stock volatility of our common stock over a period equivalent to the expected term of the stock-based awards if data was available, and over the longest period for which trading activity is available if data matching the expected term was unavailable.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For a description of recent accounting pronouncements, see Note 2 of the notes to our unaudited condensed financial statements for the six months ended June 30, 2023 included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color w:val="auto"/>
        </w:rPr>
        <w:t>We had cash, cash equivalents, and marketable securities of $218.8 million and restricted cash of $0.8 million as of June 30, 2023. The Company’s cash equivalents consist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57"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June 30, 2023.</w:t>
      </w:r>
    </w:p>
    <w:p>
      <w:pPr>
        <w:spacing w:after="0" w:line="7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are not currently involved in any litigation or legal proceedings that, in management’s opinion, are likely to have any material adverse effect on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There have been no material changes to the Company’s risk factors as set forth in Part I, Item 1A of the Company’s Annual Report on Form 10-K for the fiscal year ended December 31, 2022, as filed with the SEC on March 1, 2023, as supplemented by our Quarterly Report on Form 10-Q for the quarter ended March 31, 2023.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2022, as filed with the SEC on March 1, 2023 and our Quarterly Report on Form 10-Q for the quarter ended March 31, 2023, as filed with the SEC on May 10,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 Unregistered Sales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 Use of Proceeds</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ISI acted as joint book-running managers for the offering.</w:t>
      </w:r>
    </w:p>
    <w:p>
      <w:pPr>
        <w:spacing w:after="0" w:line="8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a shelf registration statement on Form S-3 (File No. 333-260012), which was declared effective by the SEC on April 28, 2022. The shelf registration statement consists of (i) a base prospectus pursuant to which we may offer and sell, from time to time, up to $200 million of shares of our common stock, shares of our preferred stock, various series of debt securities and warrants to purchase any of such securities in one or more registered offerings, and (ii) a prospectus supplement pursuant to which we may offer and sell, from time to time, up to $150 million of shares of common stock in "at-the-market" offerings. During the three months ended June 30, 2023, we sold 344,358 shares of common stock under our ATM program at a weighted average price of $6.07 per share, for total proceeds of $2.0 million, net of fees.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7" w:name="page28"/>
    <w:bookmarkEnd w:id="27"/>
    <w:p>
      <w:pPr>
        <w:jc w:val="center"/>
        <w:ind w:right="8059"/>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8019"/>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60" w:type="dxa"/>
            <w:vAlign w:val="bottom"/>
          </w:tcPr>
          <w:p>
            <w:pPr>
              <w:jc w:val="center"/>
              <w:ind w:right="173"/>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5120" w:type="dxa"/>
            <w:vAlign w:val="bottom"/>
            <w:gridSpan w:val="9"/>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580" w:type="dxa"/>
            <w:vAlign w:val="bottom"/>
            <w:vMerge w:val="restart"/>
          </w:tcPr>
          <w:p>
            <w:pPr>
              <w:jc w:val="center"/>
              <w:ind w:left="56"/>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6"/>
        </w:trPr>
        <w:tc>
          <w:tcPr>
            <w:tcW w:w="960" w:type="dxa"/>
            <w:vAlign w:val="bottom"/>
          </w:tcPr>
          <w:p>
            <w:pPr>
              <w:jc w:val="center"/>
              <w:ind w:right="193"/>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6"/>
                <w:szCs w:val="16"/>
                <w:color w:val="auto"/>
              </w:rPr>
            </w:pPr>
          </w:p>
        </w:tc>
        <w:tc>
          <w:tcPr>
            <w:tcW w:w="5120" w:type="dxa"/>
            <w:vAlign w:val="bottom"/>
            <w:gridSpan w:val="9"/>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5"/>
              </w:rPr>
              <w:t>3.1</w:t>
            </w:r>
          </w:p>
        </w:tc>
        <w:tc>
          <w:tcPr>
            <w:tcW w:w="5540" w:type="dxa"/>
            <w:vAlign w:val="bottom"/>
            <w:gridSpan w:val="10"/>
          </w:tcPr>
          <w:p>
            <w:pPr>
              <w:spacing w:after="0"/>
              <w:rPr>
                <w:rFonts w:ascii="Arial" w:cs="Arial" w:eastAsia="Arial" w:hAnsi="Arial"/>
                <w:sz w:val="18"/>
                <w:szCs w:val="18"/>
                <w:color w:val="0000FF"/>
              </w:rPr>
            </w:pPr>
            <w:hyperlink r:id="rId234">
              <w:r>
                <w:rPr>
                  <w:rFonts w:ascii="Arial" w:cs="Arial" w:eastAsia="Arial" w:hAnsi="Arial"/>
                  <w:sz w:val="18"/>
                  <w:szCs w:val="18"/>
                  <w:color w:val="0000FF"/>
                </w:rPr>
                <w:t>Amended and Restated Certificate of Incorporation of the Registrant</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80" w:type="dxa"/>
            <w:vAlign w:val="bottom"/>
          </w:tcPr>
          <w:p>
            <w:pPr>
              <w:jc w:val="center"/>
              <w:ind w:left="56"/>
              <w:spacing w:after="0"/>
              <w:rPr>
                <w:sz w:val="20"/>
                <w:szCs w:val="20"/>
                <w:color w:val="auto"/>
              </w:rPr>
            </w:pPr>
            <w:r>
              <w:rPr>
                <w:rFonts w:ascii="Arial" w:cs="Arial" w:eastAsia="Arial" w:hAnsi="Arial"/>
                <w:sz w:val="18"/>
                <w:szCs w:val="18"/>
                <w:color w:val="auto"/>
                <w:w w:val="88"/>
              </w:rPr>
              <w:t>September 29, 2020</w:t>
            </w:r>
          </w:p>
        </w:tc>
        <w:tc>
          <w:tcPr>
            <w:tcW w:w="0" w:type="dxa"/>
            <w:vAlign w:val="bottom"/>
          </w:tcPr>
          <w:p>
            <w:pPr>
              <w:spacing w:after="0"/>
              <w:rPr>
                <w:sz w:val="1"/>
                <w:szCs w:val="1"/>
                <w:color w:val="auto"/>
              </w:rPr>
            </w:pPr>
          </w:p>
        </w:tc>
      </w:tr>
      <w:tr>
        <w:trPr>
          <w:trHeight w:val="466"/>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5"/>
              </w:rPr>
              <w:t>3.2</w:t>
            </w:r>
          </w:p>
        </w:tc>
        <w:tc>
          <w:tcPr>
            <w:tcW w:w="4940" w:type="dxa"/>
            <w:vAlign w:val="bottom"/>
            <w:tcBorders>
              <w:top w:val="single" w:sz="8" w:color="0000FF"/>
            </w:tcBorders>
            <w:gridSpan w:val="4"/>
          </w:tcPr>
          <w:p>
            <w:pPr>
              <w:spacing w:after="0"/>
              <w:rPr>
                <w:rFonts w:ascii="Arial" w:cs="Arial" w:eastAsia="Arial" w:hAnsi="Arial"/>
                <w:sz w:val="18"/>
                <w:szCs w:val="18"/>
                <w:color w:val="0000FF"/>
              </w:rPr>
            </w:pPr>
            <w:hyperlink r:id="rId235">
              <w:r>
                <w:rPr>
                  <w:rFonts w:ascii="Arial" w:cs="Arial" w:eastAsia="Arial" w:hAnsi="Arial"/>
                  <w:sz w:val="18"/>
                  <w:szCs w:val="18"/>
                  <w:color w:val="0000FF"/>
                </w:rPr>
                <w:t>Amended and Restated Bylaws of the Registrant</w:t>
              </w:r>
            </w:hyperlink>
          </w:p>
        </w:tc>
        <w:tc>
          <w:tcPr>
            <w:tcW w:w="600" w:type="dxa"/>
            <w:vAlign w:val="bottom"/>
            <w:gridSpan w:val="6"/>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80" w:type="dxa"/>
            <w:vAlign w:val="bottom"/>
          </w:tcPr>
          <w:p>
            <w:pPr>
              <w:jc w:val="center"/>
              <w:ind w:left="56"/>
              <w:spacing w:after="0"/>
              <w:rPr>
                <w:sz w:val="20"/>
                <w:szCs w:val="20"/>
                <w:color w:val="auto"/>
              </w:rPr>
            </w:pPr>
            <w:r>
              <w:rPr>
                <w:rFonts w:ascii="Arial" w:cs="Arial" w:eastAsia="Arial" w:hAnsi="Arial"/>
                <w:sz w:val="18"/>
                <w:szCs w:val="18"/>
                <w:color w:val="auto"/>
                <w:w w:val="91"/>
              </w:rPr>
              <w:t>May 10, 2023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tcPr>
          <w:p>
            <w:pPr>
              <w:jc w:val="center"/>
              <w:ind w:right="173"/>
              <w:spacing w:after="0"/>
              <w:rPr>
                <w:sz w:val="20"/>
                <w:szCs w:val="20"/>
                <w:color w:val="auto"/>
              </w:rPr>
            </w:pPr>
            <w:r>
              <w:rPr>
                <w:rFonts w:ascii="Arial" w:cs="Arial" w:eastAsia="Arial" w:hAnsi="Arial"/>
                <w:sz w:val="18"/>
                <w:szCs w:val="18"/>
                <w:color w:val="auto"/>
                <w:w w:val="92"/>
              </w:rPr>
              <w:t>31.1+</w:t>
            </w:r>
          </w:p>
        </w:tc>
        <w:tc>
          <w:tcPr>
            <w:tcW w:w="55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0"/>
              </w:rPr>
              <w:t>15d-14(a) under the Securities Exchange Act of 1934, as Adopted Pursuant</w:t>
            </w:r>
          </w:p>
        </w:tc>
        <w:tc>
          <w:tcPr>
            <w:tcW w:w="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64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to Section 302 of the Sarbanes-Oxley Act of 2002.</w:t>
            </w:r>
          </w:p>
        </w:tc>
        <w:tc>
          <w:tcPr>
            <w:tcW w:w="190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173"/>
              <w:spacing w:after="0"/>
              <w:rPr>
                <w:sz w:val="20"/>
                <w:szCs w:val="20"/>
                <w:color w:val="auto"/>
              </w:rPr>
            </w:pPr>
            <w:r>
              <w:rPr>
                <w:rFonts w:ascii="Arial" w:cs="Arial" w:eastAsia="Arial" w:hAnsi="Arial"/>
                <w:sz w:val="18"/>
                <w:szCs w:val="18"/>
                <w:color w:val="auto"/>
                <w:w w:val="92"/>
              </w:rPr>
              <w:t>31.2+</w:t>
            </w:r>
          </w:p>
        </w:tc>
        <w:tc>
          <w:tcPr>
            <w:tcW w:w="54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0"/>
              </w:rPr>
              <w:t>15d-14(a) under the Securities Exchange Act of 1934, as Adopted Pursuant</w:t>
            </w:r>
          </w:p>
        </w:tc>
        <w:tc>
          <w:tcPr>
            <w:tcW w:w="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64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to Section 302 of the Sarbanes-Oxley Act of 2002.</w:t>
            </w:r>
          </w:p>
        </w:tc>
        <w:tc>
          <w:tcPr>
            <w:tcW w:w="190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3"/>
              </w:rPr>
              <w:t>32.1+†</w:t>
            </w:r>
          </w:p>
        </w:tc>
        <w:tc>
          <w:tcPr>
            <w:tcW w:w="53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w:t>
            </w:r>
          </w:p>
        </w:tc>
        <w:tc>
          <w:tcPr>
            <w:tcW w:w="1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540" w:type="dxa"/>
            <w:vAlign w:val="bottom"/>
            <w:gridSpan w:val="10"/>
          </w:tcPr>
          <w:p>
            <w:pPr>
              <w:spacing w:after="0" w:line="196" w:lineRule="exact"/>
              <w:rPr>
                <w:sz w:val="20"/>
                <w:szCs w:val="20"/>
                <w:color w:val="auto"/>
              </w:rPr>
            </w:pPr>
            <w:r>
              <w:rPr>
                <w:rFonts w:ascii="Arial" w:cs="Arial" w:eastAsia="Arial" w:hAnsi="Arial"/>
                <w:sz w:val="18"/>
                <w:szCs w:val="18"/>
                <w:color w:val="0000FF"/>
                <w:w w:val="96"/>
              </w:rPr>
              <w:t>1350, as Adopted Pursuant to Section 906 of the Sarbanes-Oxley Act of</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2002.</w:t>
            </w:r>
          </w:p>
        </w:tc>
        <w:tc>
          <w:tcPr>
            <w:tcW w:w="3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3"/>
              </w:rPr>
              <w:t>32.2+†</w:t>
            </w:r>
          </w:p>
        </w:tc>
        <w:tc>
          <w:tcPr>
            <w:tcW w:w="5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w:t>
            </w:r>
          </w:p>
        </w:tc>
        <w:tc>
          <w:tcPr>
            <w:tcW w:w="2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540" w:type="dxa"/>
            <w:vAlign w:val="bottom"/>
            <w:gridSpan w:val="10"/>
          </w:tcPr>
          <w:p>
            <w:pPr>
              <w:spacing w:after="0" w:line="196" w:lineRule="exact"/>
              <w:rPr>
                <w:sz w:val="20"/>
                <w:szCs w:val="20"/>
                <w:color w:val="auto"/>
              </w:rPr>
            </w:pPr>
            <w:r>
              <w:rPr>
                <w:rFonts w:ascii="Arial" w:cs="Arial" w:eastAsia="Arial" w:hAnsi="Arial"/>
                <w:sz w:val="18"/>
                <w:szCs w:val="18"/>
                <w:color w:val="0000FF"/>
                <w:w w:val="96"/>
              </w:rPr>
              <w:t>1350, as Adopted Pursuant to Section 906 of the Sarbanes-Oxley Act of</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2002.</w:t>
            </w:r>
          </w:p>
        </w:tc>
        <w:tc>
          <w:tcPr>
            <w:tcW w:w="3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2"/>
              </w:rPr>
              <w:t>101.INS</w:t>
            </w:r>
          </w:p>
        </w:tc>
        <w:tc>
          <w:tcPr>
            <w:tcW w:w="554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3"/>
              </w:rPr>
              <w:t>101.SCH</w:t>
            </w:r>
          </w:p>
        </w:tc>
        <w:tc>
          <w:tcPr>
            <w:tcW w:w="55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7"/>
              </w:rPr>
              <w:t>101.CAL</w:t>
            </w:r>
          </w:p>
        </w:tc>
        <w:tc>
          <w:tcPr>
            <w:tcW w:w="55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0"/>
              </w:rPr>
              <w:t>101.DEF</w:t>
            </w:r>
          </w:p>
        </w:tc>
        <w:tc>
          <w:tcPr>
            <w:tcW w:w="55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98"/>
              </w:rPr>
              <w:t>101.LAB</w:t>
            </w:r>
          </w:p>
        </w:tc>
        <w:tc>
          <w:tcPr>
            <w:tcW w:w="55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0" w:type="dxa"/>
            <w:vAlign w:val="bottom"/>
          </w:tcPr>
          <w:p>
            <w:pPr>
              <w:jc w:val="center"/>
              <w:ind w:right="193"/>
              <w:spacing w:after="0"/>
              <w:rPr>
                <w:sz w:val="20"/>
                <w:szCs w:val="20"/>
                <w:color w:val="auto"/>
              </w:rPr>
            </w:pPr>
            <w:r>
              <w:rPr>
                <w:rFonts w:ascii="Arial" w:cs="Arial" w:eastAsia="Arial" w:hAnsi="Arial"/>
                <w:sz w:val="18"/>
                <w:szCs w:val="18"/>
                <w:color w:val="auto"/>
                <w:w w:val="88"/>
              </w:rPr>
              <w:t>101.PRE</w:t>
            </w:r>
          </w:p>
        </w:tc>
        <w:tc>
          <w:tcPr>
            <w:tcW w:w="55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00" w:right="5000" w:hanging="753"/>
        <w:spacing w:after="0" w:line="277"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56" w:lineRule="exact"/>
        <w:rPr>
          <w:rFonts w:ascii="Arial" w:cs="Arial" w:eastAsia="Arial" w:hAnsi="Arial"/>
          <w:sz w:val="18"/>
          <w:szCs w:val="18"/>
          <w:color w:val="auto"/>
        </w:rPr>
      </w:pPr>
    </w:p>
    <w:p>
      <w:pPr>
        <w:jc w:val="both"/>
        <w:ind w:firstLine="8"/>
        <w:spacing w:after="0" w:line="259" w:lineRule="auto"/>
        <w:tabs>
          <w:tab w:leader="none" w:pos="1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-721995</wp:posOffset>
            </wp:positionV>
            <wp:extent cx="9512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29" w:name="page30"/>
    <w:bookmarkEnd w:id="2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80"/>
          </w:cols>
          <w:pgMar w:left="320" w:top="661"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9, 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PMV Pharmaceuticals, Inc.</w:t>
      </w:r>
    </w:p>
    <w:p>
      <w:pPr>
        <w:spacing w:after="0" w:line="283"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23495</wp:posOffset>
            </wp:positionV>
            <wp:extent cx="32664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30" w:lineRule="exact"/>
        <w:rPr>
          <w:sz w:val="20"/>
          <w:szCs w:val="20"/>
          <w:color w:val="auto"/>
        </w:rPr>
      </w:pPr>
    </w:p>
    <w:p>
      <w:pPr>
        <w:jc w:val="center"/>
        <w:ind w:left="-119"/>
        <w:spacing w:after="0"/>
        <w:rPr>
          <w:sz w:val="20"/>
          <w:szCs w:val="20"/>
          <w:color w:val="auto"/>
        </w:rPr>
      </w:pPr>
      <w:r>
        <w:rPr>
          <w:rFonts w:ascii="Arial" w:cs="Arial" w:eastAsia="Arial" w:hAnsi="Arial"/>
          <w:sz w:val="18"/>
          <w:szCs w:val="18"/>
          <w:color w:val="auto"/>
        </w:rPr>
        <w:t>David H. Mack, Ph.D.</w:t>
      </w:r>
    </w:p>
    <w:p>
      <w:pPr>
        <w:spacing w:after="0" w:line="36" w:lineRule="exact"/>
        <w:rPr>
          <w:sz w:val="20"/>
          <w:szCs w:val="20"/>
          <w:color w:val="auto"/>
        </w:rPr>
      </w:pPr>
    </w:p>
    <w:p>
      <w:pPr>
        <w:jc w:val="center"/>
        <w:ind w:left="-119"/>
        <w:spacing w:after="0"/>
        <w:rPr>
          <w:sz w:val="20"/>
          <w:szCs w:val="20"/>
          <w:color w:val="auto"/>
        </w:rPr>
      </w:pPr>
      <w:r>
        <w:rPr>
          <w:rFonts w:ascii="Arial" w:cs="Arial" w:eastAsia="Arial" w:hAnsi="Arial"/>
          <w:sz w:val="16"/>
          <w:szCs w:val="16"/>
          <w:color w:val="auto"/>
        </w:rPr>
        <w:t>President, Chief Executive Officer, and Director</w:t>
      </w:r>
    </w:p>
    <w:p>
      <w:pPr>
        <w:spacing w:after="0" w:line="59" w:lineRule="exact"/>
        <w:rPr>
          <w:sz w:val="20"/>
          <w:szCs w:val="20"/>
          <w:color w:val="auto"/>
        </w:rPr>
      </w:pPr>
    </w:p>
    <w:p>
      <w:pPr>
        <w:jc w:val="center"/>
        <w:ind w:left="-119"/>
        <w:spacing w:after="0"/>
        <w:rPr>
          <w:sz w:val="20"/>
          <w:szCs w:val="20"/>
          <w:color w:val="auto"/>
        </w:rPr>
      </w:pPr>
      <w:r>
        <w:rPr>
          <w:rFonts w:ascii="Arial" w:cs="Arial" w:eastAsia="Arial" w:hAnsi="Arial"/>
          <w:sz w:val="18"/>
          <w:szCs w:val="18"/>
          <w:color w:val="auto"/>
        </w:rPr>
        <w:t>(Principal Executive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PMV Pharmaceuticals, Inc.</w:t>
      </w:r>
    </w:p>
    <w:p>
      <w:pPr>
        <w:spacing w:after="0" w:line="283"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Winston Kung</w:t>
      </w:r>
    </w:p>
    <w:p>
      <w:pPr>
        <w:spacing w:after="0" w:line="3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-130175</wp:posOffset>
            </wp:positionV>
            <wp:extent cx="32664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3266440" cy="8890"/>
                    </a:xfrm>
                    <a:prstGeom prst="rect">
                      <a:avLst/>
                    </a:prstGeom>
                    <a:noFill/>
                  </pic:spPr>
                </pic:pic>
              </a:graphicData>
            </a:graphic>
          </wp:anchor>
        </w:drawing>
      </w:r>
    </w:p>
    <w:p>
      <w:pPr>
        <w:spacing w:after="0" w:line="1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Operating Officer and</w:t>
      </w:r>
    </w:p>
    <w:p>
      <w:pPr>
        <w:spacing w:after="0" w:line="23" w:lineRule="exact"/>
        <w:rPr>
          <w:sz w:val="20"/>
          <w:szCs w:val="20"/>
          <w:color w:val="auto"/>
        </w:rPr>
      </w:pPr>
    </w:p>
    <w:p>
      <w:pPr>
        <w:jc w:val="center"/>
        <w:ind w:left="-119"/>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119"/>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ectPr>
          <w:pgSz w:w="11900" w:h="16838" w:orient="portrait"/>
          <w:cols w:equalWidth="0" w:num="2">
            <w:col w:w="4920" w:space="720"/>
            <w:col w:w="5140"/>
          </w:cols>
          <w:pgMar w:left="320" w:top="661" w:right="799" w:bottom="1440" w:gutter="0" w:footer="0" w:header="0"/>
          <w:type w:val="continuous"/>
        </w:sectPr>
      </w:pPr>
    </w:p>
    <w:p>
      <w:pPr>
        <w:spacing w:after="0" w:line="228"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661" w:right="799" w:bottom="1440" w:gutter="0" w:footer="0" w:header="0"/>
          <w:type w:val="continuous"/>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PMV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020" w:val="left"/>
          <w:tab w:leader="none" w:pos="818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23495</wp:posOffset>
            </wp:positionV>
            <wp:extent cx="30264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3026410" cy="8255"/>
                    </a:xfrm>
                    <a:prstGeom prst="rect">
                      <a:avLst/>
                    </a:prstGeom>
                    <a:noFill/>
                  </pic:spPr>
                </pic:pic>
              </a:graphicData>
            </a:graphic>
          </wp:anchor>
        </w:drawing>
      </w:r>
    </w:p>
    <w:p>
      <w:pPr>
        <w:spacing w:after="0" w:line="26"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David H. Mack, Ph.D.</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President, Chief Executive Officer,</w:t>
      </w:r>
    </w:p>
    <w:p>
      <w:pPr>
        <w:spacing w:after="0" w:line="27"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and Director</w:t>
      </w:r>
    </w:p>
    <w:p>
      <w:pPr>
        <w:spacing w:after="0" w:line="9"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Winston Kung,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PMV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020" w:val="left"/>
          <w:tab w:leader="none" w:pos="82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23495</wp:posOffset>
            </wp:positionV>
            <wp:extent cx="30264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3026410" cy="8255"/>
                    </a:xfrm>
                    <a:prstGeom prst="rect">
                      <a:avLst/>
                    </a:prstGeom>
                    <a:noFill/>
                  </pic:spPr>
                </pic:pic>
              </a:graphicData>
            </a:graphic>
          </wp:anchor>
        </w:drawing>
      </w:r>
    </w:p>
    <w:p>
      <w:pPr>
        <w:spacing w:after="0" w:line="26"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Winston Kung</w:t>
      </w:r>
    </w:p>
    <w:p>
      <w:pPr>
        <w:spacing w:after="0" w:line="3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Chief Operating Officer</w:t>
      </w:r>
    </w:p>
    <w:p>
      <w:pPr>
        <w:spacing w:after="0" w:line="27"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June 30, 2023,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5660" w:val="left"/>
          <w:tab w:leader="none" w:pos="80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David H. Mack, Ph.D.</w:t>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June 30, 2023,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5660" w:val="left"/>
          <w:tab w:leader="none" w:pos="804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Winston Kung</w:t>
      </w:r>
    </w:p>
    <w:p>
      <w:pPr>
        <w:spacing w:after="0" w:line="3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Operating Officer</w:t>
      </w:r>
    </w:p>
    <w:p>
      <w:pPr>
        <w:spacing w:after="0" w:line="27"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34" Type="http://schemas.openxmlformats.org/officeDocument/2006/relationships/hyperlink" Target="https://www.sec.gov/Archives/edgar/data/1699382/000119312520257820/d95525dex31.htm" TargetMode="External"/><Relationship Id="rId235" Type="http://schemas.openxmlformats.org/officeDocument/2006/relationships/hyperlink" Target="https://www.sec.gov/Archives/edgar/data/1699382/000119312520257820/d9552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2023-08-09T07:13:11Z</dcterms:created>
  <dcterms:modified xsi:type="dcterms:W3CDTF">2023-08-09T07:13:11Z</dcterms:modified>
</cp:coreProperties>
</file>