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992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9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35.53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12,470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227,915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gridSpan w:val="13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05/11/2025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474,870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in this Form 4 was effected pursuant to a Rule 10b5-1 trading plan adopted by the reporting person on December 29, 2020.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shares are held of record by The Mack-Mulligan Revocable Trust, for which the Reporting Person serves as co-trustee.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shares are held of record by the Mack/Mulligan 2020 Irrevocable Descendants' Trust, for which the Reporting Person serves as co-trustee.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 shares subject to the option are fully vested and immediately exercisable.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8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David H. Mack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06/29/2021</w:t>
            </w:r>
          </w:p>
        </w:tc>
      </w:tr>
      <w:tr>
        <w:trPr>
          <w:trHeight w:val="22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164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2021-06-29T17:10:17Z</dcterms:created>
  <dcterms:modified xsi:type="dcterms:W3CDTF">2021-06-29T17:10:17Z</dcterms:modified>
</cp:coreProperties>
</file>