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Jalota Deepika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7"/>
        <w:spacing w:after="0"/>
        <w:rPr>
          <w:sz w:val="20"/>
          <w:szCs w:val="20"/>
          <w:color w:val="auto"/>
        </w:rPr>
      </w:pPr>
      <w:r>
        <w:rPr>
          <w:rFonts w:ascii="Arial" w:cs="Arial" w:eastAsia="Arial" w:hAnsi="Arial"/>
          <w:sz w:val="17"/>
          <w:szCs w:val="17"/>
          <w:color w:val="0000FF"/>
        </w:rPr>
        <w:t>SVP, Regulatory Affairs and QA</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08/17/2021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2,896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3.53</w:t>
            </w:r>
          </w:p>
        </w:tc>
        <w:tc>
          <w:tcPr>
            <w:tcW w:w="1400" w:type="dxa"/>
            <w:vAlign w:val="bottom"/>
            <w:gridSpan w:val="4"/>
          </w:tcPr>
          <w:p>
            <w:pPr>
              <w:jc w:val="right"/>
              <w:ind w:right="339"/>
              <w:spacing w:after="0"/>
              <w:rPr>
                <w:sz w:val="20"/>
                <w:szCs w:val="20"/>
                <w:color w:val="auto"/>
              </w:rPr>
            </w:pPr>
            <w:r>
              <w:rPr>
                <w:rFonts w:ascii="Arial" w:cs="Arial" w:eastAsia="Arial" w:hAnsi="Arial"/>
                <w:sz w:val="17"/>
                <w:szCs w:val="17"/>
                <w:color w:val="0000FF"/>
              </w:rPr>
              <w:t>2,896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08/17/2021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2,896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33.7756</w:t>
            </w:r>
            <w:r>
              <w:rPr>
                <w:rFonts w:ascii="Arial" w:cs="Arial" w:eastAsia="Arial" w:hAnsi="Arial"/>
                <w:sz w:val="21"/>
                <w:szCs w:val="21"/>
                <w:color w:val="008000"/>
                <w:w w:val="86"/>
                <w:vertAlign w:val="superscript"/>
              </w:rPr>
              <w:t>(2)</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49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3.53</w:t>
            </w:r>
          </w:p>
        </w:tc>
        <w:tc>
          <w:tcPr>
            <w:tcW w:w="2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3"/>
                <w:szCs w:val="13"/>
                <w:color w:val="0000FF"/>
              </w:rPr>
              <w:t>08/17/2021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2,896</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08/20/2029</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20" w:type="dxa"/>
            <w:vAlign w:val="bottom"/>
          </w:tcPr>
          <w:p>
            <w:pPr>
              <w:ind w:left="160"/>
              <w:spacing w:after="0" w:line="191" w:lineRule="exact"/>
              <w:rPr>
                <w:sz w:val="20"/>
                <w:szCs w:val="20"/>
                <w:color w:val="auto"/>
              </w:rPr>
            </w:pPr>
            <w:r>
              <w:rPr>
                <w:rFonts w:ascii="Arial" w:cs="Arial" w:eastAsia="Arial" w:hAnsi="Arial"/>
                <w:sz w:val="17"/>
                <w:szCs w:val="17"/>
                <w:color w:val="0000FF"/>
              </w:rPr>
              <w:t>2,896</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tcPr>
          <w:p>
            <w:pPr>
              <w:ind w:left="300"/>
              <w:spacing w:after="0"/>
              <w:rPr>
                <w:sz w:val="20"/>
                <w:szCs w:val="20"/>
                <w:color w:val="auto"/>
              </w:rPr>
            </w:pPr>
            <w:r>
              <w:rPr>
                <w:rFonts w:ascii="Arial" w:cs="Arial" w:eastAsia="Arial" w:hAnsi="Arial"/>
                <w:sz w:val="13"/>
                <w:szCs w:val="13"/>
                <w:color w:val="0000FF"/>
                <w:w w:val="90"/>
              </w:rPr>
              <w:t>87,320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29, 2020.</w:t>
      </w:r>
    </w:p>
    <w:p>
      <w:pPr>
        <w:spacing w:after="0" w:line="45" w:lineRule="exact"/>
        <w:rPr>
          <w:rFonts w:ascii="Arial" w:cs="Arial" w:eastAsia="Arial" w:hAnsi="Arial"/>
          <w:sz w:val="13"/>
          <w:szCs w:val="13"/>
          <w:color w:val="008000"/>
        </w:rPr>
      </w:pPr>
    </w:p>
    <w:p>
      <w:pPr>
        <w:ind w:left="40" w:right="1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$33.50 to $34.125, inclusive. The reporting person undertakes to provide to the Issuer, any security holder of the Issuer, or the staff of the Securities and Exchange Commission, upon request, full information regarding the number of shares sold at each separate price.</w:t>
      </w:r>
    </w:p>
    <w:p>
      <w:pPr>
        <w:sectPr>
          <w:pgSz w:w="11900" w:h="16838" w:orient="portrait"/>
          <w:cols w:equalWidth="0" w:num="1">
            <w:col w:w="11080"/>
          </w:cols>
          <w:pgMar w:left="460" w:top="222"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3. One-fourth of the shares subject to the option vested on June 10, 2020 and one forty-eighth of the shares subject to the option shall vest each month thereafter.</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5"/>
          <w:szCs w:val="15"/>
          <w:color w:val="0000FF"/>
        </w:rPr>
        <w:t>08/18/2021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19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2021-08-18T16:04:28Z</dcterms:created>
  <dcterms:modified xsi:type="dcterms:W3CDTF">2021-08-18T16:04:28Z</dcterms:modified>
</cp:coreProperties>
</file>