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178435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6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384810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255905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93345</wp:posOffset>
            </wp:positionV>
            <wp:extent cx="3394710"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47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Cranbury, New Jersey 08512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(609) 642-6670</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Stockholders of PMV Pharmaceuticals, Inc.:</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are pleased to invite you to attend the 2022 Annual Meeting Stockholders of PMV Pharmaceuticals, Inc. (the “Annual Meeting”) to be held on Thursday, June 2, 2022 at 10:00 a.m., Eastern. Due to continuing concerns surrounding the ongoing COVID-19 pandemic, the Annual Meeting will be a virtual meeting conducted exclusively via the Internet. There will not be a physical meeting location, and stockholders will not be able to attend the Annual Meeting in person. Details regarding admission to the Annual Meeting and the business to be conducted are more fully described in the accompanying Notice of Annual Meeting of Stockholders and proxy statement.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plan to virtually attend the Annual Meeting, we hope you will vote as soon as possible. You may vote over the Internet or by mailing a proxy or voting instruction card. Voting over the Internet or by written proxy will ensure your representation at the Annual Meeting regardless of whether you attend virtually. Please review the instructions on the proxy or voting instruction card regarding each of these voting options.</w:t>
      </w:r>
    </w:p>
    <w:p>
      <w:pPr>
        <w:spacing w:after="0" w:line="75" w:lineRule="exact"/>
        <w:rPr>
          <w:sz w:val="20"/>
          <w:szCs w:val="20"/>
          <w:color w:val="auto"/>
        </w:rPr>
      </w:pPr>
    </w:p>
    <w:p>
      <w:pPr>
        <w:ind w:left="300" w:right="479"/>
        <w:spacing w:after="0" w:line="256" w:lineRule="auto"/>
        <w:rPr>
          <w:sz w:val="20"/>
          <w:szCs w:val="20"/>
          <w:color w:val="auto"/>
        </w:rPr>
      </w:pPr>
      <w:r>
        <w:rPr>
          <w:rFonts w:ascii="Times New Roman" w:cs="Times New Roman" w:eastAsia="Times New Roman" w:hAnsi="Times New Roman"/>
          <w:sz w:val="18"/>
          <w:szCs w:val="18"/>
          <w:color w:val="auto"/>
        </w:rPr>
        <w:t>We are also pleased to furnish proxy materials to stockholders primarily over the Internet. This process expedites stockholders’ receipt of proxy materials, while lowering the costs of our Annual Meeting and conserving natural resources. On or around April 22, 2022, we will mail our stockholders a notice containing instructions on how to access our proxy materials and Annual Report for the fiscal year ended December 31, 2021 and vote online. The notice also provides instructions on how to vote online, by phone or by mail, and includes instructions on how you can receive a paper copy of proxy materials by mail.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this year’s Annual Meeting, the agenda includes the following proposals:</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ind w:left="33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Arnold Levine, Ph.D. and Charles M. Baum, M.D., Ph.D. as Class II directors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7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of our named executive officers.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6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approve, on a non-binding advisory basis, the frequency of future stockholder advisory votes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on the compensation of our named executive officers.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YEAR</w:t>
            </w:r>
          </w:p>
        </w:tc>
        <w:tc>
          <w:tcPr>
            <w:tcW w:w="0" w:type="dxa"/>
            <w:vAlign w:val="bottom"/>
          </w:tcPr>
          <w:p>
            <w:pPr>
              <w:spacing w:after="0"/>
              <w:rPr>
                <w:sz w:val="1"/>
                <w:szCs w:val="1"/>
                <w:color w:val="auto"/>
              </w:rPr>
            </w:pPr>
          </w:p>
        </w:tc>
      </w:tr>
      <w:tr>
        <w:trPr>
          <w:trHeight w:val="37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 accounting firm</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378"/>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PMV Pharmaceuticals.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108839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839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6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216"/>
        </w:trPr>
        <w:tc>
          <w:tcPr>
            <w:tcW w:w="1720" w:type="dxa"/>
            <w:vAlign w:val="bottom"/>
          </w:tcPr>
          <w:p>
            <w:pPr>
              <w:spacing w:after="0"/>
              <w:rPr>
                <w:sz w:val="18"/>
                <w:szCs w:val="18"/>
                <w:color w:val="auto"/>
              </w:rPr>
            </w:pPr>
          </w:p>
        </w:tc>
        <w:tc>
          <w:tcPr>
            <w:tcW w:w="666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r>
      <w:tr>
        <w:trPr>
          <w:trHeight w:val="216"/>
        </w:trPr>
        <w:tc>
          <w:tcPr>
            <w:tcW w:w="1720" w:type="dxa"/>
            <w:vAlign w:val="bottom"/>
          </w:tcPr>
          <w:p>
            <w:pPr>
              <w:spacing w:after="0"/>
              <w:rPr>
                <w:sz w:val="18"/>
                <w:szCs w:val="18"/>
                <w:color w:val="auto"/>
              </w:rPr>
            </w:pPr>
          </w:p>
        </w:tc>
        <w:tc>
          <w:tcPr>
            <w:tcW w:w="66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Cranbury, New Jersey 08512</w:t>
            </w:r>
          </w:p>
        </w:tc>
      </w:tr>
      <w:tr>
        <w:trPr>
          <w:trHeight w:val="216"/>
        </w:trPr>
        <w:tc>
          <w:tcPr>
            <w:tcW w:w="1720" w:type="dxa"/>
            <w:vAlign w:val="bottom"/>
          </w:tcPr>
          <w:p>
            <w:pPr>
              <w:spacing w:after="0"/>
              <w:rPr>
                <w:sz w:val="18"/>
                <w:szCs w:val="18"/>
                <w:color w:val="auto"/>
              </w:rPr>
            </w:pPr>
          </w:p>
        </w:tc>
        <w:tc>
          <w:tcPr>
            <w:tcW w:w="6660" w:type="dxa"/>
            <w:vAlign w:val="bottom"/>
            <w:gridSpan w:val="3"/>
          </w:tcPr>
          <w:p>
            <w:pPr>
              <w:ind w:left="240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16"/>
        </w:trPr>
        <w:tc>
          <w:tcPr>
            <w:tcW w:w="1720" w:type="dxa"/>
            <w:vAlign w:val="bottom"/>
          </w:tcPr>
          <w:p>
            <w:pPr>
              <w:spacing w:after="0"/>
              <w:rPr>
                <w:sz w:val="18"/>
                <w:szCs w:val="18"/>
                <w:color w:val="auto"/>
              </w:rPr>
            </w:pPr>
          </w:p>
        </w:tc>
        <w:tc>
          <w:tcPr>
            <w:tcW w:w="66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r>
      <w:tr>
        <w:trPr>
          <w:trHeight w:val="238"/>
        </w:trPr>
        <w:tc>
          <w:tcPr>
            <w:tcW w:w="1720" w:type="dxa"/>
            <w:vAlign w:val="bottom"/>
          </w:tcPr>
          <w:p>
            <w:pPr>
              <w:spacing w:after="0"/>
              <w:rPr>
                <w:sz w:val="20"/>
                <w:szCs w:val="20"/>
                <w:color w:val="auto"/>
              </w:rPr>
            </w:pPr>
          </w:p>
        </w:tc>
        <w:tc>
          <w:tcPr>
            <w:tcW w:w="6660" w:type="dxa"/>
            <w:vAlign w:val="bottom"/>
            <w:gridSpan w:val="3"/>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JUNE 2, 2022</w:t>
            </w:r>
          </w:p>
        </w:tc>
      </w:tr>
      <w:tr>
        <w:trPr>
          <w:trHeight w:val="389"/>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Time and Date</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10:00 a.m., Eastern, on Thursday, June 2, 2022.</w:t>
            </w:r>
          </w:p>
        </w:tc>
      </w:tr>
      <w:tr>
        <w:trPr>
          <w:trHeight w:val="513"/>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www.virtualshareholdermeeting.com/PMVP2022.</w:t>
            </w:r>
          </w:p>
        </w:tc>
      </w:tr>
      <w:tr>
        <w:trPr>
          <w:trHeight w:val="490"/>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Items of Business</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  To elect two Class II directors, Arnold Levine, Ph.D. and Charles M. Baum, M.D.,</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Ph.D., to hold office until our 2025 annual meeting of stockholders and until their</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respective successors are elected and qualified;</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1720" w:type="dxa"/>
            <w:vAlign w:val="bottom"/>
          </w:tcPr>
          <w:p>
            <w:pPr>
              <w:spacing w:after="0"/>
              <w:rPr>
                <w:sz w:val="20"/>
                <w:szCs w:val="20"/>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2.  To approve, on a non-binding advisory basis, the compensation of our named executive</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officers;</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1720" w:type="dxa"/>
            <w:vAlign w:val="bottom"/>
          </w:tcPr>
          <w:p>
            <w:pPr>
              <w:spacing w:after="0"/>
              <w:rPr>
                <w:sz w:val="20"/>
                <w:szCs w:val="20"/>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3.  To approve, on a non-binding advisory basis, the frequency of future stockholder</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advisory votes on the compensation of our named executive officers;</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1720" w:type="dxa"/>
            <w:vAlign w:val="bottom"/>
          </w:tcPr>
          <w:p>
            <w:pPr>
              <w:spacing w:after="0"/>
              <w:rPr>
                <w:sz w:val="20"/>
                <w:szCs w:val="20"/>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4.  To ratify the appointment of Ernst &amp; Young LLP as our independent registered public</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accounting firm for our fiscal year ending December 31, 2022; and</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 </w:t>
            </w:r>
          </w:p>
        </w:tc>
      </w:tr>
      <w:tr>
        <w:trPr>
          <w:trHeight w:val="233"/>
        </w:trPr>
        <w:tc>
          <w:tcPr>
            <w:tcW w:w="1720" w:type="dxa"/>
            <w:vAlign w:val="bottom"/>
          </w:tcPr>
          <w:p>
            <w:pPr>
              <w:spacing w:after="0"/>
              <w:rPr>
                <w:sz w:val="20"/>
                <w:szCs w:val="20"/>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5.  To conduct any other business properly brought before the Annual Meeting and any</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auto"/>
              </w:rPr>
              <w:t>adjournment or postponement thereof.</w:t>
            </w:r>
          </w:p>
        </w:tc>
      </w:tr>
      <w:tr>
        <w:trPr>
          <w:trHeight w:val="488"/>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Adjournment and</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Any action on the items of business described above may be considered at the Annual</w:t>
            </w:r>
          </w:p>
        </w:tc>
      </w:tr>
      <w:tr>
        <w:trPr>
          <w:trHeight w:val="205"/>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Postponements</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Meeting at the time and on the date specified above or at any time and date to which the</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Annual Meeting may be properly adjourned or postponed.</w:t>
            </w:r>
          </w:p>
        </w:tc>
      </w:tr>
      <w:tr>
        <w:trPr>
          <w:trHeight w:val="490"/>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You are entitled to notice of and to vote at the Annual Meeting and at any adjournment or</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postponement that may take place only if you were a stockholder as of the close of business</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on April 8, 2022.</w:t>
            </w:r>
          </w:p>
        </w:tc>
      </w:tr>
      <w:tr>
        <w:trPr>
          <w:trHeight w:val="488"/>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Availability of Proxy</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i w:val="1"/>
                <w:iCs w:val="1"/>
                <w:color w:val="auto"/>
              </w:rPr>
              <w:t>The Notice of Internet Availability of Proxy Materials containing instructions on how to</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Materials ad Annual</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i w:val="1"/>
                <w:iCs w:val="1"/>
                <w:color w:val="auto"/>
              </w:rPr>
              <w:t>access our proxy statement, notice of annual meeting, form of proxy and our annual report, is</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Report</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i w:val="1"/>
                <w:iCs w:val="1"/>
                <w:color w:val="auto"/>
              </w:rPr>
              <w:t>first being sent or given on or about April 22, 2022 to all stockholders entitled to vote at the</w:t>
            </w:r>
          </w:p>
        </w:tc>
      </w:tr>
      <w:tr>
        <w:trPr>
          <w:trHeight w:val="228"/>
        </w:trPr>
        <w:tc>
          <w:tcPr>
            <w:tcW w:w="1720" w:type="dxa"/>
            <w:vAlign w:val="bottom"/>
          </w:tcPr>
          <w:p>
            <w:pPr>
              <w:spacing w:after="0"/>
              <w:rPr>
                <w:sz w:val="19"/>
                <w:szCs w:val="19"/>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w:t>
            </w:r>
          </w:p>
        </w:tc>
      </w:tr>
      <w:tr>
        <w:trPr>
          <w:trHeight w:val="513"/>
        </w:trPr>
        <w:tc>
          <w:tcPr>
            <w:tcW w:w="1720" w:type="dxa"/>
            <w:vAlign w:val="bottom"/>
          </w:tcPr>
          <w:p>
            <w:pPr>
              <w:spacing w:after="0"/>
              <w:rPr>
                <w:sz w:val="24"/>
                <w:szCs w:val="24"/>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proxy materials and our annual report can be accessed by visiting ir.pmvpharma.com.</w:t>
            </w:r>
          </w:p>
        </w:tc>
      </w:tr>
      <w:tr>
        <w:trPr>
          <w:trHeight w:val="490"/>
        </w:trPr>
        <w:tc>
          <w:tcPr>
            <w:tcW w:w="1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Whether or not you plan to attend the Annual Meeting, we</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encourage you to read this proxy statement and submit your proxy or voting instructions as</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soon as possible. You may submit your proxy or voting instruction card for the Annual</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Meeting by completing, signing, dating and returning your proxy or voting instruction card in</w:t>
            </w:r>
          </w:p>
        </w:tc>
      </w:tr>
      <w:tr>
        <w:trPr>
          <w:trHeight w:val="200"/>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the pre-addressed envelope provided, or, in most cases, by using the Internet. For specific</w:t>
            </w:r>
          </w:p>
        </w:tc>
      </w:tr>
      <w:tr>
        <w:trPr>
          <w:trHeight w:val="203"/>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instructions on how to vote your shares, please refer to the section entitled “</w:t>
            </w:r>
            <w:r>
              <w:rPr>
                <w:rFonts w:ascii="Times New Roman" w:cs="Times New Roman" w:eastAsia="Times New Roman" w:hAnsi="Times New Roman"/>
                <w:sz w:val="17"/>
                <w:szCs w:val="17"/>
                <w:i w:val="1"/>
                <w:iCs w:val="1"/>
                <w:color w:val="auto"/>
              </w:rPr>
              <w:t>Proxy Statement</w:t>
            </w:r>
          </w:p>
        </w:tc>
      </w:tr>
      <w:tr>
        <w:trPr>
          <w:trHeight w:val="189"/>
        </w:trPr>
        <w:tc>
          <w:tcPr>
            <w:tcW w:w="1720" w:type="dxa"/>
            <w:vAlign w:val="bottom"/>
          </w:tcPr>
          <w:p>
            <w:pPr>
              <w:spacing w:after="0"/>
              <w:rPr>
                <w:sz w:val="16"/>
                <w:szCs w:val="16"/>
                <w:color w:val="auto"/>
              </w:rPr>
            </w:pPr>
          </w:p>
        </w:tc>
        <w:tc>
          <w:tcPr>
            <w:tcW w:w="666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7"/>
                <w:szCs w:val="17"/>
                <w:i w:val="1"/>
                <w:iCs w:val="1"/>
                <w:color w:val="auto"/>
              </w:rPr>
              <w:t>Questions and Answers</w:t>
            </w:r>
            <w:r>
              <w:rPr>
                <w:rFonts w:ascii="Times New Roman" w:cs="Times New Roman" w:eastAsia="Times New Roman" w:hAnsi="Times New Roman"/>
                <w:sz w:val="17"/>
                <w:szCs w:val="17"/>
                <w:color w:val="auto"/>
              </w:rPr>
              <w:t>” beginning on page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0000EE"/>
              </w:rPr>
              <w:t>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accompanying proxy statement and the</w:t>
            </w: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8"/>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instructions on the proxy or voting instruction card. You can revoke a proxy prior to its</w:t>
            </w:r>
          </w:p>
        </w:tc>
      </w:tr>
      <w:tr>
        <w:trPr>
          <w:trHeight w:val="202"/>
        </w:trPr>
        <w:tc>
          <w:tcPr>
            <w:tcW w:w="1720" w:type="dxa"/>
            <w:vAlign w:val="bottom"/>
          </w:tcPr>
          <w:p>
            <w:pPr>
              <w:spacing w:after="0"/>
              <w:rPr>
                <w:sz w:val="17"/>
                <w:szCs w:val="17"/>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exercise at the Annual Meeting by following the instructions in the accompanying proxy</w:t>
            </w:r>
          </w:p>
        </w:tc>
      </w:tr>
      <w:tr>
        <w:trPr>
          <w:trHeight w:val="226"/>
        </w:trPr>
        <w:tc>
          <w:tcPr>
            <w:tcW w:w="1720" w:type="dxa"/>
            <w:vAlign w:val="bottom"/>
          </w:tcPr>
          <w:p>
            <w:pPr>
              <w:spacing w:after="0"/>
              <w:rPr>
                <w:sz w:val="19"/>
                <w:szCs w:val="19"/>
                <w:color w:val="auto"/>
              </w:rPr>
            </w:pPr>
          </w:p>
        </w:tc>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statement.</w:t>
            </w:r>
          </w:p>
        </w:tc>
      </w:tr>
    </w:tbl>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31127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Robert Ticktin</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2, 2022:</w:t>
      </w:r>
    </w:p>
    <w:p>
      <w:pPr>
        <w:spacing w:after="0" w:line="9" w:lineRule="exact"/>
        <w:rPr>
          <w:sz w:val="20"/>
          <w:szCs w:val="20"/>
          <w:color w:val="auto"/>
        </w:rPr>
      </w:pPr>
    </w:p>
    <w:p>
      <w:pPr>
        <w:jc w:val="center"/>
        <w:ind w:left="1780" w:right="1240"/>
        <w:spacing w:after="0" w:line="255" w:lineRule="auto"/>
        <w:rPr>
          <w:sz w:val="20"/>
          <w:szCs w:val="20"/>
          <w:color w:val="auto"/>
        </w:rPr>
      </w:pPr>
      <w:r>
        <w:rPr>
          <w:rFonts w:ascii="Times New Roman" w:cs="Times New Roman" w:eastAsia="Times New Roman" w:hAnsi="Times New Roman"/>
          <w:sz w:val="18"/>
          <w:szCs w:val="18"/>
          <w:b w:val="1"/>
          <w:bCs w:val="1"/>
          <w:color w:val="auto"/>
        </w:rPr>
        <w:t>This Notice of 2022 Annual Stockholders’ Meeting and Proxy Statement and Fiscal Year 2021 Annual Report on Form 10-K are available at http://www.proxyvote.com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23" w:gutter="0" w:footer="0" w:header="0"/>
        </w:sectPr>
      </w:pPr>
    </w:p>
    <w:bookmarkStart w:id="3" w:name="page4"/>
    <w:bookmarkEnd w:id="3"/>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ABOUT THE PROXY MATERIALS AND OUR ANNUAL MEETING</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6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DIRECTORS AND CORPORATE GOVERNANCE</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Composition</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Nominees for Election to a Three-Year Term Ending at the 2025 Annual Meeting</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Directors Continuing in Office</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Board of Directors Diversity Matrix (as of March 31, 2022)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10</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Committees and Meetings</w:t>
            </w:r>
          </w:p>
        </w:tc>
        <w:tc>
          <w:tcPr>
            <w:tcW w:w="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Identifying and Evaluating Director Nominees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13</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Role of the Board in Risk Oversight</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Stockholder Recommendations and Nominations to our Board of Directors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13</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Corporate Governance Guidelines and Code of Business Conduct and Ethics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14</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Outside Director Compensation Policy</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15</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Scientific Advisory Board</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Indemnification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17</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18</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Process and Procedure for Compensation Decisions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Summary</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Compensation Philosophy</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Determination Process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Pay Components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Severance and Change in Control Protections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Taxation of Parachute Payments and Deferred Compensation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Recovery (“Clawback”) Policy</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Employment Arrangements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26</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 and Accounting Considerations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27</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Compensation Risk Assessment</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27</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Policy Prohibiting Hedging or Pledging of Securities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28</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Grants of Plan-Based Awards for Fiscal 2021</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r>
      <w:tr>
        <w:trPr>
          <w:trHeight w:val="75"/>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2021 Year-End</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30</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Option Exercises and Stock Vested for Fiscal 2021</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31</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401(k) Plan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31</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31</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33</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BENEFICIAL OWNERSHIP OF SHARES OF COMMON STOCK</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34</w:t>
            </w: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38</w:t>
            </w: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Party Transactions Policy</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38</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Transactions and Relationships with Directors, Officers and 5% Stockholders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38</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Consulting Agreement with Arnold Levine, Ph.D.</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38</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6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sz w:val="20"/>
                <w:szCs w:val="20"/>
                <w:color w:val="auto"/>
              </w:rPr>
            </w:pPr>
            <w:r>
              <w:rPr>
                <w:rFonts w:ascii="Times New Roman" w:cs="Times New Roman" w:eastAsia="Times New Roman" w:hAnsi="Times New Roman"/>
                <w:sz w:val="18"/>
                <w:szCs w:val="18"/>
                <w:color w:val="0000EE"/>
              </w:rPr>
              <w:t>Scientific Advisory Board – Richard Heyman, Ph.D.</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38</w:t>
            </w:r>
          </w:p>
        </w:tc>
      </w:tr>
      <w:tr>
        <w:trPr>
          <w:trHeight w:val="20"/>
        </w:trPr>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-9840595</wp:posOffset>
            </wp:positionV>
            <wp:extent cx="4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91" w:orient="portrait"/>
          <w:cols w:equalWidth="0" w:num="1">
            <w:col w:w="9019"/>
          </w:cols>
          <w:pgMar w:left="1440" w:top="263" w:right="1440" w:bottom="0" w:gutter="0" w:footer="0" w:header="0"/>
        </w:sectPr>
      </w:pPr>
    </w:p>
    <w:bookmarkStart w:id="4" w:name="page5"/>
    <w:bookmarkEnd w:id="4"/>
    <w:p>
      <w:pPr>
        <w:ind w:left="480"/>
        <w:spacing w:after="0"/>
        <w:tabs>
          <w:tab w:leader="none" w:pos="8460" w:val="left"/>
        </w:tabs>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t>Investors’ Rights Agreement</w:t>
      </w:r>
      <w:r>
        <w:rPr>
          <w:sz w:val="20"/>
          <w:szCs w:val="20"/>
          <w:color w:val="auto"/>
        </w:rPr>
        <w:tab/>
      </w:r>
      <w:r>
        <w:rPr>
          <w:rFonts w:ascii="Times New Roman" w:cs="Times New Roman" w:eastAsia="Times New Roman" w:hAnsi="Times New Roman"/>
          <w:sz w:val="18"/>
          <w:szCs w:val="18"/>
          <w:u w:val="single" w:color="auto"/>
          <w:color w:val="0000EE"/>
        </w:rPr>
        <w:t>38</w:t>
      </w:r>
    </w:p>
    <w:p>
      <w:pPr>
        <w:sectPr>
          <w:pgSz w:w="11900" w:h="16838" w:orient="portrait"/>
          <w:cols w:equalWidth="0" w:num="1">
            <w:col w:w="9019"/>
          </w:cols>
          <w:pgMar w:left="1440" w:top="229"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type w:val="continuous"/>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180" w:type="dxa"/>
            <w:vAlign w:val="bottom"/>
            <w:shd w:val="clear" w:color="auto" w:fill="CCEEFF"/>
          </w:tcPr>
          <w:p>
            <w:pPr>
              <w:spacing w:after="0"/>
              <w:rPr>
                <w:sz w:val="20"/>
                <w:szCs w:val="20"/>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Indemnification of Directors and Officers</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39</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PROPOSAL NO. 1: ELECTION OF CLASS II DIRECTORS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40</w:t>
            </w:r>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Number of Directors; Board Structure</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40</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Nominees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40</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40</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40</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 NON-BINDING ADVISORY VOTE TO APPROVE THE COMPENSATION OF OUR</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680" w:type="dxa"/>
            <w:vAlign w:val="bottom"/>
            <w:tcBorders>
              <w:top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41</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41</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7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PROPOSAL NO. 3: NON-BINDING ADVISORY VOTE ON THE FREQUENCY OF FUTURE</w:t>
            </w:r>
          </w:p>
        </w:tc>
        <w:tc>
          <w:tcPr>
            <w:tcW w:w="1080" w:type="dxa"/>
            <w:vAlign w:val="bottom"/>
            <w:gridSpan w:val="5"/>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ADVISORY VOTES ON THE COMPENSATION OF OUR NAMED EXECUTIVE</w:t>
            </w:r>
          </w:p>
        </w:tc>
        <w:tc>
          <w:tcPr>
            <w:tcW w:w="4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OFFICERS</w:t>
            </w:r>
          </w:p>
        </w:tc>
        <w:tc>
          <w:tcPr>
            <w:tcW w:w="3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42</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42</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0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PROPOSAL NO. 4: RATIFICATION OF APPOINTMENT OF INDEPENDENT REGISTERED PUBLIC</w:t>
            </w:r>
          </w:p>
        </w:tc>
        <w:tc>
          <w:tcPr>
            <w:tcW w:w="42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94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300" w:type="dxa"/>
            <w:vAlign w:val="bottom"/>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Audit and Audit-Related Fees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43</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Auditor Independence</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Audit Committee Policy on Pre-Approval of Audit and Permissible Non-Audit Services of Independent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440" w:type="dxa"/>
            <w:vAlign w:val="bottom"/>
            <w:tcBorders>
              <w:top w:val="single" w:sz="8" w:color="0000EE"/>
            </w:tcBorders>
            <w:gridSpan w:val="19"/>
          </w:tcPr>
          <w:p>
            <w:pPr>
              <w:ind w:left="180"/>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500" w:type="dxa"/>
            <w:vAlign w:val="bottom"/>
            <w:gridSpan w:val="4"/>
          </w:tcPr>
          <w:p>
            <w:pPr>
              <w:spacing w:after="0"/>
              <w:rPr>
                <w:sz w:val="17"/>
                <w:szCs w:val="17"/>
                <w:color w:val="auto"/>
              </w:rPr>
            </w:pPr>
          </w:p>
        </w:tc>
        <w:tc>
          <w:tcPr>
            <w:tcW w:w="3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43</w:t>
            </w:r>
          </w:p>
        </w:tc>
      </w:tr>
      <w:tr>
        <w:trPr>
          <w:trHeight w:val="74"/>
        </w:trPr>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Board Recommendation</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44</w:t>
            </w:r>
          </w:p>
        </w:tc>
      </w:tr>
      <w:tr>
        <w:trPr>
          <w:trHeight w:val="74"/>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46</w:t>
            </w:r>
          </w:p>
        </w:tc>
      </w:tr>
      <w:tr>
        <w:trPr>
          <w:trHeight w:val="75"/>
        </w:trPr>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Stockholder Proposals or Director Nominations for 2023 Annual Meeting</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Availability of Amended and Restated Bylaws</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46</w:t>
            </w:r>
          </w:p>
        </w:tc>
      </w:tr>
      <w:tr>
        <w:trPr>
          <w:trHeight w:val="75"/>
        </w:trPr>
        <w:tc>
          <w:tcPr>
            <w:tcW w:w="1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2021 Annual Report</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46</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5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-5434330</wp:posOffset>
            </wp:positionV>
            <wp:extent cx="4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Cranbury, New Jersey 08512</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at 10:00 am, Eastern, on Thursday, June 2, 2022</w:t>
      </w:r>
    </w:p>
    <w:p>
      <w:pPr>
        <w:spacing w:after="0" w:line="99" w:lineRule="exact"/>
        <w:rPr>
          <w:sz w:val="20"/>
          <w:szCs w:val="20"/>
          <w:color w:val="auto"/>
        </w:rPr>
      </w:pPr>
    </w:p>
    <w:p>
      <w:pPr>
        <w:ind w:left="300" w:right="339"/>
        <w:spacing w:after="0" w:line="312" w:lineRule="auto"/>
        <w:rPr>
          <w:sz w:val="20"/>
          <w:szCs w:val="20"/>
          <w:color w:val="auto"/>
        </w:rPr>
      </w:pPr>
      <w:r>
        <w:rPr>
          <w:rFonts w:ascii="Times New Roman" w:cs="Times New Roman" w:eastAsia="Times New Roman" w:hAnsi="Times New Roman"/>
          <w:sz w:val="17"/>
          <w:szCs w:val="17"/>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ANNUAL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18"/>
          <w:szCs w:val="18"/>
          <w:color w:val="auto"/>
        </w:rPr>
        <w:t>The board of directors of PMV Pharmaceuticals, Inc., a Delaware corporation (“PMV Pharmaceuticals,” the “Company,” “we,” “us,” or “our”), has made these proxy materials available to you on the Internet or, upon your request, by delivering printed versions of these materials to you by mail, in connection with the solicitation of proxies for use at our 2022 Annual Meeting of Stockholders (the “Annual Meeting”) which will take place on Thursday, June 2, 2022 at 10:00 a.m., Eastern.</w:t>
      </w:r>
    </w:p>
    <w:p>
      <w:pPr>
        <w:spacing w:after="0" w:line="179"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printed proxy materials?</w:t>
      </w:r>
    </w:p>
    <w:p>
      <w:pPr>
        <w:spacing w:after="0" w:line="5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Pursuant to the “notice and access” rules adopted by the U.S. Securities and Exchange Commission (the “SEC”), we have elected to provide stockholders access to our proxy materials over the Internet. Accordingly, we sent a Notice of Internet Availability of Proxy Materials (the “Notice”) to all of our stockholders as of April 8, 2022 (the “Record Date”). The Notice includes instructions on how to access our proxy materials over the Internet and how to request a printed copy of these materials. Internet distribution of our proxy materials is designed to expedite receipt by stockholders, lower the cost of the Annual Meeting and conserve natural resources. However, if you would prefer to receive paper copies of proxy materials, please follow the instructions included in the Notice.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stockholders to vote on the following proposals to:</w:t>
      </w:r>
    </w:p>
    <w:p>
      <w:pPr>
        <w:spacing w:after="0" w:line="77"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Arnold Levine, Ph.D. and Charles M. Baum, M.D., Ph.D. as Class II directors;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76"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frequency of future stockholder advisory votes on the compensation of our named executive officers, as disclosed in this proxy statement;</w:t>
      </w:r>
    </w:p>
    <w:p>
      <w:pPr>
        <w:spacing w:after="0" w:line="1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our independent registered public accounting firm for the fiscal year ending December 31, 2022; and</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Annual Meeting.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these proposals?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7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Arnold Levine, Ph.D. and Charles M. Baum, M.D., Ph.D. as Class II directors;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of our named executive officers;</w:t>
      </w:r>
    </w:p>
    <w:p>
      <w:pPr>
        <w:spacing w:after="0" w:line="76"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as the preferred frequency for future advisory non-binding votes to approve the compensation of our named executive officers; and</w:t>
      </w:r>
    </w:p>
    <w:p>
      <w:pPr>
        <w:spacing w:after="0" w:line="1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Holders of our common stock as of the Record Date are entitled to receive the Notice and may vote their shares at the Annual Meeting. As of the Record Date, there were 45,516,392 shares of our common stock outstanding. Each share of common stock is entitled to one vote on each matter properly brought before the Annual Meeting. Stockholders are not permitted to cumulate votes with respect to the election of directors.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1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American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&amp; Trust Company, LLC, then you are considered the stockholder of record with respect to those shares, and the Notice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75"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Street Name Stockholders. </w:t>
      </w:r>
      <w:r>
        <w:rPr>
          <w:rFonts w:ascii="Times New Roman" w:cs="Times New Roman" w:eastAsia="Times New Roman" w:hAnsi="Times New Roman"/>
          <w:sz w:val="18"/>
          <w:szCs w:val="18"/>
          <w:color w:val="auto"/>
        </w:rPr>
        <w:t>If your shares are held in a brokerage account or by a broker, bank or other nominee,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instructions for accessing proxy materials and voting can be found in the Notice that you received either by mail or e-mail. In order to access proxy materials and vote, you will need the control number provided on the Notice. There are four ways a stockholder of record can vote:</w:t>
      </w:r>
    </w:p>
    <w:p>
      <w:pPr>
        <w:spacing w:after="0" w:line="66" w:lineRule="exact"/>
        <w:rPr>
          <w:sz w:val="20"/>
          <w:szCs w:val="20"/>
          <w:color w:val="auto"/>
        </w:rPr>
      </w:pPr>
    </w:p>
    <w:p>
      <w:pPr>
        <w:ind w:left="1000" w:right="4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You may vote over the Internet by following the instructions provided in the Notice or if 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5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You can vote by telephone by following the instructions in the Notice or if you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copies of proxy materials, the instructions provided in the proxy card.</w:t>
      </w:r>
    </w:p>
    <w:p>
      <w:pPr>
        <w:spacing w:after="0" w:line="50" w:lineRule="exact"/>
        <w:rPr>
          <w:rFonts w:ascii="Times New Roman" w:cs="Times New Roman" w:eastAsia="Times New Roman" w:hAnsi="Times New Roman"/>
          <w:sz w:val="18"/>
          <w:szCs w:val="18"/>
          <w:color w:val="auto"/>
        </w:rPr>
      </w:pPr>
    </w:p>
    <w:p>
      <w:pPr>
        <w:ind w:left="1000" w:right="53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you can vote by mailing your proxy card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w:t>
      </w:r>
    </w:p>
    <w:p>
      <w:pPr>
        <w:spacing w:after="0" w:line="50" w:lineRule="exact"/>
        <w:rPr>
          <w:rFonts w:ascii="Times New Roman" w:cs="Times New Roman" w:eastAsia="Times New Roman" w:hAnsi="Times New Roman"/>
          <w:sz w:val="18"/>
          <w:szCs w:val="18"/>
          <w:color w:val="auto"/>
        </w:rPr>
      </w:pPr>
    </w:p>
    <w:p>
      <w:pPr>
        <w:ind w:left="1000" w:right="439" w:hanging="348"/>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meeting</w:t>
      </w:r>
      <w:r>
        <w:rPr>
          <w:rFonts w:ascii="Times New Roman" w:cs="Times New Roman" w:eastAsia="Times New Roman" w:hAnsi="Times New Roman"/>
          <w:sz w:val="18"/>
          <w:szCs w:val="18"/>
          <w:color w:val="auto"/>
        </w:rPr>
        <w:t>: If you are a stockholder as of the Record Date, you may vote online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follow the provided instructions to join the Annual Meeting at www.virtualshareholdermeeting.com/PMVP2022, starting at 10:00 a.m., Eastern on Thursday, June 2, 2022. The webcast will open 15 minutes before the start of the Annual Meeting. Submitting a proxy will not prevent a stockholder from attending the Annual Meeting, revoking their earlier-submitted proxy, and voting in person. You may also be represented by another person at the Annual Meeting by executing a legal proxy designating that person.</w:t>
      </w:r>
    </w:p>
    <w:p>
      <w:pPr>
        <w:spacing w:after="0" w:line="77"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 order to be counted, proxies submitted by telephone or Internet must be received by 11:59 p.m., Eastern on Wednesday, June 1, 2022. If you vote by telephone or Internet, you do not need to return your proxy card or voting instruction card. Proxies submitted by mail must be received before the start of the virtual Annual Meeting.</w:t>
      </w:r>
    </w:p>
    <w:p>
      <w:pPr>
        <w:spacing w:after="0" w:line="68"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you are a street name stockholder, then you will receive voting instructions from your broker, bank or other nominee. The availability of telephone or Internet voting options will depend on the voting process of your broker, bank or other nominee. We therefore recommend that you follow the voting instructions in the materials you receive. If your voting instruction form or the Notice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All shares that have been properly voted and not revoked will be cast as votes at the Annual Meeting.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What happens if I decide to attend the virtual Annual Meeting, but I have already voted or submitted a proxy covering my shares?</w:t>
      </w:r>
    </w:p>
    <w:p>
      <w:pPr>
        <w:spacing w:after="0" w:line="5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You may still attend the virtual Annual Meeting. Please be aware that attendance at the Annual Meeting will not, by itself, revoke a proxy.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Annual Meeting will be a completely “virtual meeting” of shareholders. You will be able to attend the Annual Meeting, vote and submit your questions during the Annual Meeting via live webcast by visiting www.virtualshareholdermeeting.com/PMVP2022.</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the Annual Meeting a virtual, online meeting?</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light of the COVID-19 pandemic, among other reasons, the Annual Meeting will be held in virtual meeting format only. Additionally, by conducting our Annual Meeting solely online via the internet, we eliminate many of the costs associated with a physical meeting. We also anticipate that a virtual meeting will provide greater accessibility for stockholders, encourage stockholder participation from around the world, and improve our ability to communicate more effectively with our stockholders during the Annual Meeting.</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121"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347"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49" w:lineRule="exact"/>
        <w:rPr>
          <w:sz w:val="20"/>
          <w:szCs w:val="20"/>
          <w:color w:val="auto"/>
        </w:rPr>
      </w:pPr>
    </w:p>
    <w:p>
      <w:pPr>
        <w:ind w:left="300" w:right="6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w:t>
      </w:r>
      <w:r>
        <w:rPr>
          <w:rFonts w:ascii="Times New Roman" w:cs="Times New Roman" w:eastAsia="Times New Roman" w:hAnsi="Times New Roman"/>
          <w:sz w:val="18"/>
          <w:szCs w:val="18"/>
          <w:color w:val="auto"/>
        </w:rPr>
        <w:t>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52"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Class II director nominee named in this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as the preferred frequency for future advisory non-binding votes to approve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our fiscal year ending December 31, 2022.</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52"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Street Name Stockholders. </w:t>
      </w:r>
      <w:r>
        <w:rPr>
          <w:rFonts w:ascii="Times New Roman" w:cs="Times New Roman" w:eastAsia="Times New Roman" w:hAnsi="Times New Roman"/>
          <w:sz w:val="18"/>
          <w:szCs w:val="18"/>
          <w:color w:val="auto"/>
        </w:rPr>
        <w:t>Brokers, banks and other nominees holding shares of common stock in street name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are 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2022.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 xml:space="preserve">Stockholder of Record. </w:t>
      </w:r>
      <w:r>
        <w:rPr>
          <w:rFonts w:ascii="Times New Roman" w:cs="Times New Roman" w:eastAsia="Times New Roman" w:hAnsi="Times New Roman"/>
          <w:sz w:val="17"/>
          <w:szCs w:val="17"/>
          <w:color w:val="auto"/>
        </w:rPr>
        <w:t>If you are a stockholder of record, you can change your vote or revoke your proxy before the</w:t>
      </w:r>
    </w:p>
    <w:p>
      <w:pPr>
        <w:spacing w:after="0" w:line="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by:</w:t>
      </w:r>
    </w:p>
    <w:p>
      <w:pPr>
        <w:spacing w:after="0" w:line="99" w:lineRule="exact"/>
        <w:rPr>
          <w:sz w:val="20"/>
          <w:szCs w:val="20"/>
          <w:color w:val="auto"/>
        </w:rPr>
      </w:pPr>
    </w:p>
    <w:p>
      <w:pPr>
        <w:ind w:left="1000" w:right="5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 or telephone (subject to the applicable deadlines for each method as set forth above);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and returning a later-dated proxy card, which must be received prior to the Annual Meeting; or</w:t>
      </w:r>
    </w:p>
    <w:p>
      <w:pPr>
        <w:spacing w:after="0" w:line="128" w:lineRule="exact"/>
        <w:rPr>
          <w:rFonts w:ascii="Times New Roman" w:cs="Times New Roman" w:eastAsia="Times New Roman" w:hAnsi="Times New Roman"/>
          <w:sz w:val="17"/>
          <w:szCs w:val="17"/>
          <w:color w:val="auto"/>
        </w:rPr>
      </w:pPr>
    </w:p>
    <w:p>
      <w:pPr>
        <w:jc w:val="both"/>
        <w:ind w:left="1000" w:right="33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our corporate secretary at PMV Pharmaceuticals, Inc., 8 Clarke Drive, Suite 3, Cranbury, New Jersey 08512, Attention: Corporate Secretary, which must be received prior to the Annual Meeting.</w:t>
      </w:r>
    </w:p>
    <w:p>
      <w:pPr>
        <w:spacing w:after="0" w:line="66" w:lineRule="exact"/>
        <w:rPr>
          <w:sz w:val="20"/>
          <w:szCs w:val="20"/>
          <w:color w:val="auto"/>
        </w:rPr>
      </w:pPr>
    </w:p>
    <w:p>
      <w:pPr>
        <w:ind w:left="300" w:right="3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Street Name Stockholders. </w:t>
      </w:r>
      <w:r>
        <w:rPr>
          <w:rFonts w:ascii="Times New Roman" w:cs="Times New Roman" w:eastAsia="Times New Roman" w:hAnsi="Times New Roman"/>
          <w:sz w:val="18"/>
          <w:szCs w:val="18"/>
          <w:color w:val="auto"/>
        </w:rPr>
        <w:t>If you are a street name stockholder, then your broker, bank or other nominee can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with instructions on how to change or revoke your proxy.</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meeting?</w:t>
      </w:r>
    </w:p>
    <w:p>
      <w:pPr>
        <w:spacing w:after="0" w:line="121" w:lineRule="exact"/>
        <w:rPr>
          <w:sz w:val="20"/>
          <w:szCs w:val="20"/>
          <w:color w:val="auto"/>
        </w:rPr>
      </w:pPr>
    </w:p>
    <w:p>
      <w:pPr>
        <w:jc w:val="both"/>
        <w:ind w:left="300" w:right="779"/>
        <w:spacing w:after="0" w:line="261"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on the Annual Meeting log-in page. Technical support will be available starting at 9:30 a.m., Eastern, on Thursday, June 2, 2022.</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participate in, and ask questions during the virtual Annual Meeting online?</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Any stockholder can attend the virtual Annual Meeting live online at www.virtualshareholdermeeting.com/PMVP2022. The meeting will start at 10:00 a.m., Eastern, on Thursday, June 2, 2022. Stockholders attending the virtual Annual Meeting will be afforded the same rights and opportunities to participate as they would at an in-person meeting.</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order to enter the Annual Meeting, you will need the 16-digit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a “street name.” Shares held in your name as the shareholder of record may be voted electronically during the Annual Meeting. Shares for which you are the beneficial owner but not the shareholder of record also may be voted electronically during the Annual Meeting. Even if you plan to attend the Annual Meeting online, we recommend that you also vote by proxy as described above so that your vote will be counted if you later decide not to attend the Annual Meeting. We urge you to submit your proxy as soon as possible. We recommend that you log in before 10:00 a.m., Eastern, to ensure you are logged in when the Annual Meeting starts. Online check-in will begin at 9:45 a.m., Eastern, and you should also allow ample time for the online check-in procedures.</w:t>
      </w:r>
    </w:p>
    <w:p>
      <w:pPr>
        <w:spacing w:after="0" w:line="8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If you would like to submit a question during the Annual Meeting, you may log in at www.virtualshareholdermeeting.com/PMVP2022 using your 16-digit control number, click on the “Q&amp;A” button to open the panel, enter your question in the field labelled “ASK a question” and click “SUBMIT.”</w:t>
      </w:r>
    </w:p>
    <w:p>
      <w:pPr>
        <w:spacing w:after="0" w:line="68"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8" w:lineRule="exact"/>
        <w:rPr>
          <w:sz w:val="20"/>
          <w:szCs w:val="20"/>
          <w:color w:val="auto"/>
        </w:rPr>
      </w:pPr>
    </w:p>
    <w:p>
      <w:pPr>
        <w:ind w:left="1000" w:right="4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or by calling the toll-free number listed there during the Annual Meeting.</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as of the Record Date for the Annual Meeting and their proxy holders may submit questions or comments.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David H. Mack,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Annual Meeting and/or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2000" w:right="1680" w:hanging="348"/>
        <w:spacing w:after="0" w:line="266" w:lineRule="auto"/>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6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fellow stockholders and Annual Meeting participants.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audio or video recordings of the Annual Meeting are permitted.</w:t>
      </w:r>
    </w:p>
    <w:p>
      <w:pPr>
        <w:spacing w:after="0" w:line="2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can I do if I change my mind after I vote my shares?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before it is exercised by:</w:t>
      </w:r>
    </w:p>
    <w:p>
      <w:pPr>
        <w:spacing w:after="0" w:line="117" w:lineRule="exact"/>
        <w:rPr>
          <w:sz w:val="20"/>
          <w:szCs w:val="20"/>
          <w:color w:val="auto"/>
        </w:rPr>
      </w:pPr>
    </w:p>
    <w:p>
      <w:pPr>
        <w:ind w:left="2000" w:hanging="348"/>
        <w:spacing w:after="0"/>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Corporate Secretary of the Company;</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delivery of a valid, later-dated proxy or a later-dated vote on the Internet; or</w:t>
      </w:r>
    </w:p>
    <w:p>
      <w:pPr>
        <w:spacing w:after="0" w:line="117" w:lineRule="exact"/>
        <w:rPr>
          <w:rFonts w:ascii="Times New Roman" w:cs="Times New Roman" w:eastAsia="Times New Roman" w:hAnsi="Times New Roman"/>
          <w:sz w:val="18"/>
          <w:szCs w:val="18"/>
          <w:color w:val="auto"/>
        </w:rPr>
      </w:pPr>
    </w:p>
    <w:p>
      <w:pPr>
        <w:ind w:left="2000" w:right="1400" w:hanging="348"/>
        <w:spacing w:after="0" w:line="282" w:lineRule="auto"/>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 person at the virtual Annual Meeting; however, simply attending the virtual meeting will not, by itself, revoke your proxy.</w:t>
      </w:r>
    </w:p>
    <w:p>
      <w:pPr>
        <w:spacing w:after="0" w:line="54" w:lineRule="exact"/>
        <w:rPr>
          <w:sz w:val="20"/>
          <w:szCs w:val="20"/>
          <w:color w:val="auto"/>
        </w:rPr>
      </w:pPr>
    </w:p>
    <w:p>
      <w:pPr>
        <w:jc w:val="both"/>
        <w:ind w:left="1300" w:right="1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you should follow the instructions of your bank, broker or other nominee to change or revoke your voting instructions. You may also vote in person at the Annual Meeting if you obtain a legal proxy as described in the answer to the previous question.</w:t>
      </w: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121" w:lineRule="exact"/>
        <w:rPr>
          <w:sz w:val="20"/>
          <w:szCs w:val="20"/>
          <w:color w:val="auto"/>
        </w:rPr>
      </w:pPr>
    </w:p>
    <w:p>
      <w:pPr>
        <w:ind w:left="1300" w:right="1360"/>
        <w:spacing w:after="0" w:line="253" w:lineRule="auto"/>
        <w:rPr>
          <w:sz w:val="20"/>
          <w:szCs w:val="20"/>
          <w:color w:val="auto"/>
        </w:rPr>
      </w:pPr>
      <w:r>
        <w:rPr>
          <w:rFonts w:ascii="Times New Roman" w:cs="Times New Roman" w:eastAsia="Times New Roman" w:hAnsi="Times New Roman"/>
          <w:sz w:val="18"/>
          <w:szCs w:val="18"/>
          <w:color w:val="auto"/>
        </w:rPr>
        <w:t>Proxies are solicited on behalf of the Company and our board of directors. David H. Mack, Ph.D., our President, Chief Executive Officer and Director, and Winston Kung, our Chief Operating Officer and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Annual Meeting?</w:t>
      </w:r>
    </w:p>
    <w:p>
      <w:pPr>
        <w:spacing w:after="0" w:line="121" w:lineRule="exact"/>
        <w:rPr>
          <w:sz w:val="20"/>
          <w:szCs w:val="20"/>
          <w:color w:val="auto"/>
        </w:rPr>
      </w:pPr>
    </w:p>
    <w:p>
      <w:pPr>
        <w:ind w:left="1300" w:right="1340"/>
        <w:spacing w:after="0" w:line="25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online during the Annual Meeting at www.virtualshareholdermeeting.com/PMVP2022, for those stockholders attending the Annual Meeting. A list of names of stockholders of record entitled to vote at the Annual Meeting will be made available for examination by any stockholder for any purpose germane to the meeting for a period of at least ten days prior to the Annual Meeting between the hours of 9:30 a.m. and 4:30 p.m., Eastern, at our principal executive offices at 8 Clarke Drive, Suite 3, Cranbury, New Jersey 08512, by contacting the Corporate Secretary of the Company.</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How many shares are required to approve the proposals being voted upon at the Annual Meeting?</w:t>
      </w:r>
    </w:p>
    <w:p>
      <w:pPr>
        <w:spacing w:after="0" w:line="121" w:lineRule="exact"/>
        <w:rPr>
          <w:sz w:val="20"/>
          <w:szCs w:val="20"/>
          <w:color w:val="auto"/>
        </w:rPr>
      </w:pPr>
    </w:p>
    <w:p>
      <w:pPr>
        <w:ind w:left="1300" w:right="1420"/>
        <w:spacing w:after="0" w:line="261" w:lineRule="auto"/>
        <w:rPr>
          <w:sz w:val="20"/>
          <w:szCs w:val="20"/>
          <w:color w:val="auto"/>
        </w:rPr>
      </w:pPr>
      <w:r>
        <w:rPr>
          <w:rFonts w:ascii="Times New Roman" w:cs="Times New Roman" w:eastAsia="Times New Roman" w:hAnsi="Times New Roman"/>
          <w:sz w:val="18"/>
          <w:szCs w:val="18"/>
          <w:color w:val="auto"/>
        </w:rPr>
        <w:t>The presence of the holders of a majority of the outstanding shares of common stock entitled to vote at the Annual Meeting, present in person or represented by proxy, is necessary to constitute a quorum. Assuming there is a proper quorum of shares represented at the Annual Meeting, the voting requirements for approval of the proposals at the Annual Meeting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48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Vote required</w:t>
            </w:r>
          </w:p>
        </w:tc>
      </w:tr>
      <w:tr>
        <w:trPr>
          <w:trHeight w:val="50"/>
        </w:trPr>
        <w:tc>
          <w:tcPr>
            <w:tcW w:w="1300" w:type="dxa"/>
            <w:vAlign w:val="bottom"/>
          </w:tcPr>
          <w:p>
            <w:pPr>
              <w:spacing w:after="0"/>
              <w:rPr>
                <w:sz w:val="4"/>
                <w:szCs w:val="4"/>
                <w:color w:val="auto"/>
              </w:rPr>
            </w:pPr>
          </w:p>
        </w:tc>
        <w:tc>
          <w:tcPr>
            <w:tcW w:w="60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77"/>
        </w:trPr>
        <w:tc>
          <w:tcPr>
            <w:tcW w:w="13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of directors</w:t>
            </w:r>
          </w:p>
        </w:tc>
        <w:tc>
          <w:tcPr>
            <w:tcW w:w="34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Plurality of votes cast</w:t>
            </w:r>
          </w:p>
        </w:tc>
      </w:tr>
      <w:tr>
        <w:trPr>
          <w:trHeight w:val="378"/>
        </w:trPr>
        <w:tc>
          <w:tcPr>
            <w:tcW w:w="13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34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360"/>
        </w:trPr>
        <w:tc>
          <w:tcPr>
            <w:tcW w:w="13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Frequency for future advisory non-binding votes to approve the compensation of</w:t>
            </w:r>
          </w:p>
        </w:tc>
        <w:tc>
          <w:tcPr>
            <w:tcW w:w="34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Highest number of votes cast</w:t>
            </w:r>
          </w:p>
        </w:tc>
      </w:tr>
      <w:tr>
        <w:trPr>
          <w:trHeight w:val="234"/>
        </w:trPr>
        <w:tc>
          <w:tcPr>
            <w:tcW w:w="1300" w:type="dxa"/>
            <w:vAlign w:val="bottom"/>
          </w:tcPr>
          <w:p>
            <w:pPr>
              <w:spacing w:after="0"/>
              <w:rPr>
                <w:sz w:val="20"/>
                <w:szCs w:val="20"/>
                <w:color w:val="auto"/>
              </w:rPr>
            </w:pPr>
          </w:p>
        </w:tc>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named executive officers</w:t>
            </w: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130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Ratification of Ernst &amp; Young LLP as our independent registered public accounting</w:t>
            </w:r>
          </w:p>
        </w:tc>
        <w:tc>
          <w:tcPr>
            <w:tcW w:w="348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Majority of votes cast</w:t>
            </w:r>
          </w:p>
        </w:tc>
      </w:tr>
      <w:tr>
        <w:trPr>
          <w:trHeight w:val="234"/>
        </w:trPr>
        <w:tc>
          <w:tcPr>
            <w:tcW w:w="1300" w:type="dxa"/>
            <w:vAlign w:val="bottom"/>
          </w:tcPr>
          <w:p>
            <w:pPr>
              <w:spacing w:after="0"/>
              <w:rPr>
                <w:sz w:val="20"/>
                <w:szCs w:val="20"/>
                <w:color w:val="auto"/>
              </w:rPr>
            </w:pPr>
          </w:p>
        </w:tc>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firm for fiscal year 2021</w:t>
            </w: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7360" w:type="dxa"/>
            <w:vAlign w:val="bottom"/>
            <w:gridSpan w:val="2"/>
          </w:tcPr>
          <w:p>
            <w:pPr>
              <w:jc w:val="right"/>
              <w:ind w:right="1733"/>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6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At the date of this proxy statement, we did not know of any matters to be raised at the Annual Meeting other than those referred to in this proxy statement. If other matters are properly presented at the Annual Meeting for consideration, the proxy holders named on the proxy card will have the discretion to vote on those matters for you.</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ind w:left="300" w:right="619"/>
        <w:spacing w:after="0" w:line="256" w:lineRule="auto"/>
        <w:rPr>
          <w:sz w:val="20"/>
          <w:szCs w:val="20"/>
          <w:color w:val="auto"/>
        </w:rPr>
      </w:pPr>
      <w:r>
        <w:rPr>
          <w:rFonts w:ascii="Times New Roman" w:cs="Times New Roman" w:eastAsia="Times New Roman" w:hAnsi="Times New Roman"/>
          <w:sz w:val="18"/>
          <w:szCs w:val="18"/>
          <w:color w:val="auto"/>
        </w:rPr>
        <w:t>We will pay the cost of soliciting proxies. Our directors, senior executives or employees, acting without special compensation, may also solicit proxies. Proxies may be solicited by personal interview, mail, electronic transmission, facsimile transmission or telephone. We are required to send copies of proxy-related materials or additional solicitation materials to brokers, fiduciaries and custodians who will forward these materials to the beneficial owners of our shares. On request, we will reimburse brokers and other persons representing beneficial owners of shares for their reasonable expenses in forwarding these materials to beneficial owners.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PMV Pharmaceuticals has designated Lou Larsen, a representative from Broadridge Financial Solutions, Inc., as the Inspector of Election who will tabulate the votes.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contact PMV Pharmaceuticals’ transfer agent?</w:t>
      </w:r>
    </w:p>
    <w:p>
      <w:pPr>
        <w:spacing w:after="0" w:line="121"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You may contact our transfer agent, American Stock Transfer &amp; Trust Company, LLC, by telephone at (800) 937-5449, or by writing American Stock Transfer &amp; Trust Company, LLC, at 6201 15th Avenue, Brooklyn, New York 11219.</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printed proxy materials?</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receive more than one Notice or more than one set of printed proxy materials, then your shares may be registered in more than one name and/or are registered in different accounts. Please follow the voting instructions on each Notice or each set of printed proxy materials, as applicable, to ensure that all of your shares are voted.</w:t>
      </w:r>
    </w:p>
    <w:p>
      <w:pPr>
        <w:spacing w:after="0" w:line="172" w:lineRule="exact"/>
        <w:rPr>
          <w:sz w:val="20"/>
          <w:szCs w:val="20"/>
          <w:color w:val="auto"/>
        </w:rPr>
      </w:pPr>
    </w:p>
    <w:p>
      <w:pPr>
        <w:ind w:left="300" w:right="339"/>
        <w:spacing w:after="0" w:line="317" w:lineRule="auto"/>
        <w:rPr>
          <w:sz w:val="20"/>
          <w:szCs w:val="20"/>
          <w:color w:val="auto"/>
        </w:rPr>
      </w:pPr>
      <w:r>
        <w:rPr>
          <w:rFonts w:ascii="Times New Roman" w:cs="Times New Roman" w:eastAsia="Times New Roman" w:hAnsi="Times New Roman"/>
          <w:sz w:val="17"/>
          <w:szCs w:val="17"/>
          <w:b w:val="1"/>
          <w:bCs w:val="1"/>
          <w:color w:val="auto"/>
        </w:rPr>
        <w:t>I share an address with another stockholder, and we received only one copy of the Notice or proxy statement and annual report. How may I obtain an additional copy of the Notice or proxy statement and annual report?</w:t>
      </w:r>
    </w:p>
    <w:p>
      <w:pPr>
        <w:spacing w:after="0" w:line="28"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which we can deliver a single copy of the Notice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if applicable, the proxy statement and annual report, to any stockholder at a shared address to which we delivered a single copy of these documents. To receive a separate copy, or, if you are receiving multiple copies, to request that we only send a single copy of next year’s Notice proxy statement and annual report, as applicable, you may contact us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Cranbury, New Jersey 08512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(609) 642-6670</w:t>
      </w:r>
    </w:p>
    <w:p>
      <w:pPr>
        <w:spacing w:after="0" w:line="99" w:lineRule="exact"/>
        <w:rPr>
          <w:sz w:val="20"/>
          <w:szCs w:val="20"/>
          <w:color w:val="auto"/>
        </w:rPr>
      </w:pPr>
    </w:p>
    <w:p>
      <w:pPr>
        <w:ind w:left="300" w:right="1319"/>
        <w:spacing w:after="0" w:line="282" w:lineRule="auto"/>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CORPORATE GOVERNANCE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Our directors are divided into three classes serving staggered three-year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75" w:lineRule="exact"/>
        <w:rPr>
          <w:sz w:val="20"/>
          <w:szCs w:val="20"/>
          <w:color w:val="auto"/>
        </w:rPr>
      </w:pPr>
    </w:p>
    <w:p>
      <w:pPr>
        <w:ind w:left="300" w:right="739"/>
        <w:spacing w:after="0" w:line="266" w:lineRule="auto"/>
        <w:rPr>
          <w:sz w:val="20"/>
          <w:szCs w:val="20"/>
          <w:color w:val="auto"/>
        </w:rPr>
      </w:pPr>
      <w:r>
        <w:rPr>
          <w:rFonts w:ascii="Times New Roman" w:cs="Times New Roman" w:eastAsia="Times New Roman" w:hAnsi="Times New Roman"/>
          <w:sz w:val="18"/>
          <w:szCs w:val="18"/>
          <w:color w:val="auto"/>
        </w:rPr>
        <w:t>The principal occupations and certain other information about the nominees and the additional members of our board of directors (including the skills and qualifications that led to the conclusion that they should serve as directors) are set forth below.</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Term</w:t>
            </w:r>
          </w:p>
        </w:tc>
      </w:tr>
      <w:tr>
        <w:trPr>
          <w:trHeight w:val="148"/>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Director</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for Which</w:t>
            </w:r>
          </w:p>
        </w:tc>
      </w:tr>
      <w:tr>
        <w:trPr>
          <w:trHeight w:val="170"/>
        </w:trPr>
        <w:tc>
          <w:tcPr>
            <w:tcW w:w="2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80" w:type="dxa"/>
            <w:vAlign w:val="bottom"/>
          </w:tcPr>
          <w:p>
            <w:pPr>
              <w:spacing w:after="0"/>
              <w:rPr>
                <w:sz w:val="14"/>
                <w:szCs w:val="14"/>
                <w:color w:val="auto"/>
              </w:rPr>
            </w:pPr>
          </w:p>
        </w:tc>
        <w:tc>
          <w:tcPr>
            <w:tcW w:w="2520" w:type="dxa"/>
            <w:vAlign w:val="bottom"/>
            <w:gridSpan w:val="2"/>
          </w:tcPr>
          <w:p>
            <w:pPr>
              <w:ind w:left="920"/>
              <w:spacing w:after="0"/>
              <w:rPr>
                <w:sz w:val="20"/>
                <w:szCs w:val="20"/>
                <w:color w:val="auto"/>
              </w:rPr>
            </w:pPr>
            <w:r>
              <w:rPr>
                <w:rFonts w:ascii="Times New Roman" w:cs="Times New Roman" w:eastAsia="Times New Roman" w:hAnsi="Times New Roman"/>
                <w:sz w:val="13"/>
                <w:szCs w:val="13"/>
                <w:b w:val="1"/>
                <w:bCs w:val="1"/>
                <w:color w:val="auto"/>
              </w:rPr>
              <w:t>Position(s)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Since</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Expires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Nominated</w:t>
            </w:r>
          </w:p>
        </w:tc>
      </w:tr>
      <w:tr>
        <w:trPr>
          <w:trHeight w:val="57"/>
        </w:trPr>
        <w:tc>
          <w:tcPr>
            <w:tcW w:w="2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98"/>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Nominees for Director</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r>
      <w:tr>
        <w:trPr>
          <w:trHeight w:val="251"/>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3"/>
              </w:rPr>
              <w:t>II</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Class II 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1"/>
                <w:szCs w:val="21"/>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2025</w:t>
            </w: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311"/>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Charles M. Baum, M.D., Ph.D.</w:t>
            </w:r>
            <w:r>
              <w:rPr>
                <w:rFonts w:ascii="Times New Roman" w:cs="Times New Roman" w:eastAsia="Times New Roman" w:hAnsi="Times New Roman"/>
                <w:sz w:val="26"/>
                <w:szCs w:val="26"/>
                <w:color w:val="auto"/>
                <w:vertAlign w:val="superscript"/>
              </w:rPr>
              <w:t>(2)(3)</w:t>
            </w:r>
          </w:p>
        </w:tc>
        <w:tc>
          <w:tcPr>
            <w:tcW w:w="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3"/>
              </w:rPr>
              <w:t>II</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II 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2025</w:t>
            </w:r>
          </w:p>
        </w:tc>
      </w:tr>
      <w:tr>
        <w:trPr>
          <w:trHeight w:val="310"/>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David H. Mack, Ph.D.</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President, Chief Executive Officer</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1"/>
                <w:szCs w:val="21"/>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and Class III Director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311"/>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Heyman, Ph.D.</w:t>
            </w:r>
            <w:r>
              <w:rPr>
                <w:rFonts w:ascii="Times New Roman" w:cs="Times New Roman" w:eastAsia="Times New Roman" w:hAnsi="Times New Roman"/>
                <w:sz w:val="26"/>
                <w:szCs w:val="26"/>
                <w:color w:val="auto"/>
                <w:vertAlign w:val="superscript"/>
              </w:rPr>
              <w:t>(1)(2)(3)</w:t>
            </w:r>
          </w:p>
        </w:tc>
        <w:tc>
          <w:tcPr>
            <w:tcW w:w="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Chairperson and Class III 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310"/>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Laurie Stelzer</w:t>
            </w:r>
            <w:r>
              <w:rPr>
                <w:rFonts w:ascii="Times New Roman" w:cs="Times New Roman" w:eastAsia="Times New Roman" w:hAnsi="Times New Roman"/>
                <w:sz w:val="26"/>
                <w:szCs w:val="26"/>
                <w:color w:val="auto"/>
                <w:vertAlign w:val="superscript"/>
              </w:rPr>
              <w:t>(1)(2)</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Class III 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Pr>
          <w:p>
            <w:pPr>
              <w:spacing w:after="0"/>
              <w:rPr>
                <w:sz w:val="24"/>
                <w:szCs w:val="24"/>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31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Thilo Schroeder, Ph.D.</w:t>
            </w:r>
            <w:r>
              <w:rPr>
                <w:rFonts w:ascii="Times New Roman" w:cs="Times New Roman" w:eastAsia="Times New Roman" w:hAnsi="Times New Roman"/>
                <w:sz w:val="26"/>
                <w:szCs w:val="26"/>
                <w:color w:val="auto"/>
                <w:vertAlign w:val="superscript"/>
              </w:rPr>
              <w:t>(1)(3)</w:t>
            </w:r>
          </w:p>
        </w:tc>
        <w:tc>
          <w:tcPr>
            <w:tcW w:w="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I</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Class I Director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Kirsten Flowers</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w:t>
            </w: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26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Class I Director</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21"/>
                <w:szCs w:val="21"/>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2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50"/>
        </w:trPr>
        <w:tc>
          <w:tcPr>
            <w:tcW w:w="2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2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-2313940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-2313940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-2313940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-2313940</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-2313940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-2313940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corporate governance and nominating committee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Ending at the 2025 Annual Meeting</w:t>
      </w:r>
    </w:p>
    <w:p>
      <w:pPr>
        <w:spacing w:after="0" w:line="117" w:lineRule="exact"/>
        <w:rPr>
          <w:sz w:val="20"/>
          <w:szCs w:val="20"/>
          <w:color w:val="auto"/>
        </w:rPr>
      </w:pPr>
    </w:p>
    <w:p>
      <w:pPr>
        <w:ind w:left="300" w:right="33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Arnold Levine, Ph.D.</w:t>
      </w:r>
      <w:r>
        <w:rPr>
          <w:rFonts w:ascii="Times New Roman" w:cs="Times New Roman" w:eastAsia="Times New Roman" w:hAnsi="Times New Roman"/>
          <w:sz w:val="17"/>
          <w:szCs w:val="17"/>
          <w:color w:val="auto"/>
        </w:rPr>
        <w:t>has served as a member of our board of directors since June 2013. Since 2011, Dr. Levine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a Professor Emeritus at The Simons Center for Systems Biology at the Institute for Advanced Study in Princeton, New Jersey.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 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M. Baum, M.D., Ph.D. </w:t>
      </w:r>
      <w:r>
        <w:rPr>
          <w:rFonts w:ascii="Times New Roman" w:cs="Times New Roman" w:eastAsia="Times New Roman" w:hAnsi="Times New Roman"/>
          <w:sz w:val="18"/>
          <w:szCs w:val="18"/>
          <w:color w:val="auto"/>
        </w:rPr>
        <w:t>has served as a member of our board of directors since April 2021. Dr. Baum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President and Chief Executive Officer from November 2012 to September of 2021 and now serves as President, Founder and Head of Research and Development and a member of the board of directors of Mirati Therapeutics Inc. (Nasdaq: MRTX). From June 2003 to September 2012, Dr. Baum worked at Pfizer Inc. (NYSE: PFE) (“Pfizer”) as Senior Vice President for Biotherapeutic Clinical Research within Pfizer’s Worldwide Research</w:t>
      </w:r>
    </w:p>
    <w:p>
      <w:pPr>
        <w:spacing w:after="0" w:line="3" w:lineRule="exact"/>
        <w:rPr>
          <w:sz w:val="20"/>
          <w:szCs w:val="20"/>
          <w:color w:val="auto"/>
        </w:rPr>
      </w:pPr>
    </w:p>
    <w:p>
      <w:pPr>
        <w:ind w:left="300" w:right="359" w:hanging="8"/>
        <w:spacing w:after="0" w:line="251" w:lineRule="auto"/>
        <w:tabs>
          <w:tab w:leader="none" w:pos="4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division and as Vice President and Head of Oncology Development and Chief Medical Officer for Pfizer’s Biotherapeutics and Bioinnovation Center. From 2000 to 2003, Dr. Baum was responsible for the development of several oncology compounds at Schering-Plough Corporation (acquired by Merck). Dr. Baum’s career has included academic and hospital positions at Stanford University and Emory University, as well as positions of increasing responsibility within the pharmaceutical industry at SyStemix, Inc. (acquired by Novartis AG), G.D. Searle &amp; Company (acquired by Pfizer), Schering-Plough Corporation (acquired by Merck) and Pfizer. Dr. Baum received his M.D. and Ph.D. (Immunology) degrees from Washington University School of Medicine in St. Louis, Missouri and completed his post-doctoral training at Stanford University. We believe that Dr. Baum is qualified to serve on our board of directors because of the perspective and executive-level experience he provides in the biotechnology industry as well as his experience serving on the board of directors of public companies.</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1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H. Mack, Ph.D. </w:t>
      </w:r>
      <w:r>
        <w:rPr>
          <w:rFonts w:ascii="Times New Roman" w:cs="Times New Roman" w:eastAsia="Times New Roman" w:hAnsi="Times New Roman"/>
          <w:sz w:val="18"/>
          <w:szCs w:val="18"/>
          <w:color w:val="auto"/>
        </w:rPr>
        <w:t>has served as a member of our board of directors since June 2013 and as our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since July 2013. Previously, Dr. Mack was a general partner at Alta Partners, a venture capital firm focusing on investments in biotechnology and life sciences companies, from 2002 to 2013.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7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Richard Heyman, Ph.D. </w:t>
      </w:r>
      <w:r>
        <w:rPr>
          <w:rFonts w:ascii="Times New Roman" w:cs="Times New Roman" w:eastAsia="Times New Roman" w:hAnsi="Times New Roman"/>
          <w:sz w:val="17"/>
          <w:szCs w:val="17"/>
          <w:color w:val="auto"/>
        </w:rPr>
        <w:t>has served as a member of our board of directors and as our Chairperson of our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since June 2020. Dr. Heyman has served on the board of directors of ORIC Pharmaceuticals (Nasdaq: ORIC), a clinical-stage biopharmaceutical company, since March 2015 and was appointed the chairman of the board of directors in May 2018. Dr. Heyman also served as ORIC Pharmaceuticals’ President and Chief Executive Officer, from November 2015 to May 2016, and as Acting President and Chief Executive Officer, from November 2017 to May 2018. Since June 2015, he has served as the Chairman and Co-Founder of Metacrine, Inc. (Nasdaq: MTCR), a clinical-stage biotechnology company. Since 2019, Dr. Heyman has served as a venture partner for Arch Ventures, a venture capital firm. Dr. Heyman also serves on the board of directors of Amunix Inc., a biopharmaceutical company and Gritstone Oncology, Inc. (Nasdaq: GRTS), a clinical-stage biotechnology company. From August</w:t>
      </w:r>
    </w:p>
    <w:p>
      <w:pPr>
        <w:spacing w:after="0" w:line="2" w:lineRule="exact"/>
        <w:rPr>
          <w:sz w:val="20"/>
          <w:szCs w:val="20"/>
          <w:color w:val="auto"/>
        </w:rPr>
      </w:pPr>
    </w:p>
    <w:p>
      <w:pPr>
        <w:ind w:left="300" w:right="379"/>
        <w:spacing w:after="0" w:line="251" w:lineRule="auto"/>
        <w:rPr>
          <w:sz w:val="20"/>
          <w:szCs w:val="20"/>
          <w:color w:val="auto"/>
        </w:rPr>
      </w:pPr>
      <w:r>
        <w:rPr>
          <w:rFonts w:ascii="Times New Roman" w:cs="Times New Roman" w:eastAsia="Times New Roman" w:hAnsi="Times New Roman"/>
          <w:sz w:val="18"/>
          <w:szCs w:val="18"/>
          <w:color w:val="auto"/>
        </w:rPr>
        <w:t>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is also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81"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Thilo Schroeder, Ph.D. </w:t>
      </w:r>
      <w:r>
        <w:rPr>
          <w:rFonts w:ascii="Times New Roman" w:cs="Times New Roman" w:eastAsia="Times New Roman" w:hAnsi="Times New Roman"/>
          <w:sz w:val="18"/>
          <w:szCs w:val="18"/>
          <w:color w:val="auto"/>
        </w:rPr>
        <w:t>has served as a member of our board of directors since November 2019. Dr. Schroeder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at Nextech Invest Ltd. and has worked there since July 2012. Dr. Schroeder began his career at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340"/>
        <w:spacing w:after="0" w:line="271" w:lineRule="auto"/>
        <w:rPr>
          <w:sz w:val="20"/>
          <w:szCs w:val="20"/>
          <w:color w:val="auto"/>
        </w:rPr>
      </w:pPr>
      <w:r>
        <w:rPr>
          <w:rFonts w:ascii="Times New Roman" w:cs="Times New Roman" w:eastAsia="Times New Roman" w:hAnsi="Times New Roman"/>
          <w:sz w:val="17"/>
          <w:szCs w:val="17"/>
          <w:color w:val="auto"/>
        </w:rPr>
        <w:t>pioneering cancer immunology company Micromet (acquired by Amgen Inc.) while studying at Ecole Supérieure de Biotechnologie de Strasbourg (ESBS) and conducting research at the University of Sydney. Dr. Schroeder currently serves as a member of the board of directors of Revolution Medicines, Inc. (Nasdaq: RVMD), Circle Pharma, Inc., Silverback Therapeutics, Inc. (Nasdaq: SBTX) and MOMA Therapeutics. Dr. Schroeder was previously a member of the board of directors of ImaginAb, Inc., Blueprint Medicines Corporation (Nasdaq: BPMC), IDEAYA Biosciences, Inc. (Nasdaq: IDYA) and Peloton Therapeutics, Inc. (acquired by Merck &amp; Co., Inc.).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61" w:lineRule="exact"/>
        <w:rPr>
          <w:sz w:val="20"/>
          <w:szCs w:val="20"/>
          <w:color w:val="auto"/>
        </w:rPr>
      </w:pPr>
    </w:p>
    <w:p>
      <w:pPr>
        <w:ind w:left="1300" w:right="1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Laurie Stelzer </w:t>
      </w:r>
      <w:r>
        <w:rPr>
          <w:rFonts w:ascii="Times New Roman" w:cs="Times New Roman" w:eastAsia="Times New Roman" w:hAnsi="Times New Roman"/>
          <w:sz w:val="18"/>
          <w:szCs w:val="18"/>
          <w:color w:val="auto"/>
        </w:rPr>
        <w:t>has served as a member of our board of directors since August 2020. Ms. Stelzer formerly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Vice President and Chief Financial Officer of Arena Pharmaceuticals, Inc. (acquired by Pfizer Inc. (NYSE: PFE)), a biopharmaceutical company, from March 2020 until the recent completion of Pfizer’s acquisition. She also serves on the board of directors of Surface Oncology, Inc. (Nasdaq: SURF), a clinical-stage immuno-oncology company.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87" w:lineRule="exact"/>
        <w:rPr>
          <w:sz w:val="20"/>
          <w:szCs w:val="20"/>
          <w:color w:val="auto"/>
        </w:rPr>
      </w:pPr>
    </w:p>
    <w:p>
      <w:pPr>
        <w:ind w:left="1300" w:right="13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Kirsten Flowers </w:t>
      </w:r>
      <w:r>
        <w:rPr>
          <w:rFonts w:ascii="Times New Roman" w:cs="Times New Roman" w:eastAsia="Times New Roman" w:hAnsi="Times New Roman"/>
          <w:sz w:val="18"/>
          <w:szCs w:val="18"/>
          <w:color w:val="auto"/>
        </w:rPr>
        <w:t>has served as a member of our board of directors since January 2022. Ms. Flowers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Commercial Officer of Kura Oncology, Inc., a clinical-stage biopharmaceutical company, since January 2020. She also serves as a member of the board of directors of Reform Biologics Inc., a biologic formulations company, since September 2021. Prior to joining Kura Oncology, Inc., Ms. Flowers was the Senior Vice President of Commercial Operations at Array Biopharma, Inc. (acquired by Pfizer Inc. (NYSE: PFE)) from April 2018 to October 2019 and was the Vice President of Global Marketing from August 2017 to April 2018. Previously,</w:t>
      </w:r>
    </w:p>
    <w:p>
      <w:pPr>
        <w:spacing w:after="0" w:line="4" w:lineRule="exact"/>
        <w:rPr>
          <w:sz w:val="20"/>
          <w:szCs w:val="20"/>
          <w:color w:val="auto"/>
        </w:rPr>
      </w:pPr>
    </w:p>
    <w:p>
      <w:pPr>
        <w:ind w:left="1300" w:right="1340"/>
        <w:spacing w:after="0" w:line="252" w:lineRule="auto"/>
        <w:rPr>
          <w:sz w:val="20"/>
          <w:szCs w:val="20"/>
          <w:color w:val="auto"/>
        </w:rPr>
      </w:pPr>
      <w:r>
        <w:rPr>
          <w:rFonts w:ascii="Times New Roman" w:cs="Times New Roman" w:eastAsia="Times New Roman" w:hAnsi="Times New Roman"/>
          <w:sz w:val="18"/>
          <w:szCs w:val="18"/>
          <w:color w:val="auto"/>
        </w:rPr>
        <w:t>Ms. Flowers was at Pfizer Inc. (NYSE: PFE) and held several leadership positions, including Group Leader for the United States oncology business. Ms. Flowers has more than 15 years of pharmaceutical and biotech experience. Ms. Flowers received her B.S. in Molecular &amp; Cellular Biology / Psychology from the University of Arizona and her M.B.A. from Harvard Business School. We believe that Ms. Flowers is qualified to serve on our board of directors because of her extensive executive and commercial experience in the biopharmaceutical and biotechnology industries.</w:t>
      </w:r>
    </w:p>
    <w:p>
      <w:pPr>
        <w:spacing w:after="0" w:line="2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Board of Directors Diversity Matrix (as of March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7</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Gender Identity:</w:t>
            </w:r>
          </w:p>
        </w:tc>
        <w:tc>
          <w:tcPr>
            <w:tcW w:w="7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160" w:type="dxa"/>
            <w:vAlign w:val="bottom"/>
            <w:gridSpan w:val="2"/>
            <w:vMerge w:val="restart"/>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Not Disclosed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2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Directors based on Gender Identity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categories below:</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Disclosed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jc w:val="right"/>
              <w:ind w:right="453"/>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-2682240</wp:posOffset>
            </wp:positionV>
            <wp:extent cx="205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-2682240</wp:posOffset>
            </wp:positionV>
            <wp:extent cx="205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-2682240</wp:posOffset>
            </wp:positionV>
            <wp:extent cx="205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-2682240</wp:posOffset>
            </wp:positionV>
            <wp:extent cx="2057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rules of Nasdaq, independent directors must comprise a majority of a listed company’s board of directors. In addition, the rules of Nasdaq require that, subject to specified exceptions and phase-in periods, each member of a listed company’s audit, compensation and corporate governance and nominating committees be independent. Audit committee members must also satisfy the independence criteria set forth in Rule 10A-3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75"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8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Thilo Schroeder, Ph.D., Laurie Stelzer, Charles M. Baum, M.D., Ph.D. and Kirsten Flowers, representing five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 Dr. Levine is not independent because he provides general consulting and advisory services to us, serves as a member of our scientific advisory board (“SAB”) and, within the last three fiscal years, received compensation for his consulting and advisory services, as well as for his SAB service, in excess of Nasdaq’s minimum independence thresholds.</w:t>
      </w:r>
    </w:p>
    <w:p>
      <w:pPr>
        <w:spacing w:after="0" w:line="7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There are no family relationships among any of our directors or executive officers.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Our board of directors is currently chaired by Richard Heyman, Ph.D.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David H. Mack, Ph.D. serves as our Chief Executive Officer while Dr. Heyman serves as the chairperson of our board of directors, but is not an officer. We currently expect and intend the positions of chairperson of our board of directors and Chief Executive Officer to continue to be held by two individuals in the future. We believe that our board leadership structure is appropriate for our Company, particularly where we have a majority of independent directors who are all actively involved in meetings of the board of directors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its committees, which include activate engagement with management for oversight of our key risk areas. In addition, our board of directors, including our leadership, is comprised of individuals who have expertise in research, product and clinical development, finance, accounting, commercialization, corporate development and general management of other biopharmaceutical companies.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ind w:left="300" w:right="319"/>
        <w:spacing w:after="0" w:line="273" w:lineRule="auto"/>
        <w:rPr>
          <w:sz w:val="20"/>
          <w:szCs w:val="20"/>
          <w:color w:val="auto"/>
        </w:rPr>
      </w:pPr>
      <w:r>
        <w:rPr>
          <w:rFonts w:ascii="Times New Roman" w:cs="Times New Roman" w:eastAsia="Times New Roman" w:hAnsi="Times New Roman"/>
          <w:sz w:val="17"/>
          <w:szCs w:val="17"/>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Each of the audit, compensation, and corporate governance and nominating committees is a standing committee and operates pursuant to a separate written charter adopted by our board of directors that is available on the Investors section of the Company’s website at ir.pmvpharma.com. The inclusion of our website address in this proxy statement does not include or incorporate by reference into this proxy statement the information on or accessible through our website.</w:t>
      </w:r>
    </w:p>
    <w:p>
      <w:pPr>
        <w:spacing w:after="0" w:line="63"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met seven times during fiscal year 2021. During fiscal year 2021, each of our directors attended 75% or more of the aggregate of (a) the total number of meetings of the board of directors held while a director (during the period in which the director served on the board of directors) and (b) the total number of meetings held by all committees on which the director served (during the period in which the director served on such committees). Pursuant to our corporate governance guidelines, each director is encouraged to attend each annual meeting of stockholders.</w:t>
      </w:r>
    </w:p>
    <w:p>
      <w:pPr>
        <w:spacing w:after="0" w:line="7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our board of directors at the annual meetings of stockholders, we encourage, but do not require, directors to attend. Two of our seven directors attended our 2021 annual meeting of stockholders.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audit committee consists of Ms. Stelzer, Dr. Heyman and Dr. Schroeder. Ms. Stelzer is the chairperson of the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also:</w:t>
      </w:r>
    </w:p>
    <w:p>
      <w:pPr>
        <w:spacing w:after="0" w:line="80"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and hires the independent registered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and performance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audit and non-audit services and fees;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that the SEC requires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reports and communications from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 and disclosure controls and procedure;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on risk assessment and risk management;</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 conflicts of interest situations, and approve or prohibit any involvement in matters that may involve a conflict of interest or taking of a corporate opportunity;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person transactions; and</w:t>
      </w:r>
    </w:p>
    <w:p>
      <w:pPr>
        <w:spacing w:after="0" w:line="117" w:lineRule="exact"/>
        <w:rPr>
          <w:rFonts w:ascii="Times New Roman" w:cs="Times New Roman" w:eastAsia="Times New Roman" w:hAnsi="Times New Roman"/>
          <w:sz w:val="18"/>
          <w:szCs w:val="18"/>
          <w:color w:val="auto"/>
        </w:rPr>
      </w:pPr>
    </w:p>
    <w:p>
      <w:pPr>
        <w:jc w:val="both"/>
        <w:ind w:left="1000" w:right="9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68"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rules of the SEC and Nasdaq listing rules. Our audit committee’s written charter may be located on our website at ir.pmvpharma.com. The audit committee met seven times in fiscal year 2021.</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Dr. Heyman, Ms. Stelzer and Dr. Baum, each of whom meets the requirements for independence under current Nasdaq listing standards and SEC rules and regulations. Dr. Heyman is the chairperson of the compensation committee. Each member of the compensation committee is also a non-employee director, as defined pursuant to Rule 16b-3 promulgated under the Exchange Act. The compensation committee oversees our compensation policies, plans and benefits programs. Our compensation committee also:</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our overall compensation philosophy and compensation policies, plans and benefits programs;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recommends to the board of directors for approval, compensation for our executive officers and directors;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compensation committee report that the SEC will require to be included in our annual proxy statement;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equity compensation plans.</w:t>
      </w:r>
    </w:p>
    <w:p>
      <w:pPr>
        <w:spacing w:after="0" w:line="117"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right, in its sole discretion, to retain or obtain the advice of compensation consultants, independent legal counsel and other advisers.</w:t>
      </w:r>
    </w:p>
    <w:p>
      <w:pPr>
        <w:spacing w:after="0" w:line="54" w:lineRule="exact"/>
        <w:rPr>
          <w:sz w:val="20"/>
          <w:szCs w:val="20"/>
          <w:color w:val="auto"/>
        </w:rPr>
      </w:pPr>
    </w:p>
    <w:p>
      <w:pPr>
        <w:ind w:left="300" w:right="759"/>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rules of the SEC and Nasdaq listing rules. Our compensation committee’s written charter may be located on our website at ir.pmvpharma.com. The compensation committee met four times in fiscal year 2021.</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121"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The corporate governance and nominating committee consists of Dr. Baum, Dr. Heyman and Dr. Schroeder, each of whom meets the requirements for independence under current Nasdaq listing standards and SEC rules and regulations. Dr. Baum is the chairperson of the corporate governance and nominating committee. The corporate governance and nominating committee oversees and assists our board of directors in reviewing and recommending nominees for election as directors. Among other matters, our corporate governance and nominating committee also:</w:t>
      </w:r>
    </w:p>
    <w:p>
      <w:pPr>
        <w:spacing w:after="0" w:line="60"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makes recommendations to our board of directors regarding nominees for election to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our board of directors regarding the composition of our board of directors and its committees;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 to our board of directors with respect to management succession planning;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including providing oversight for our sustainability related to Environmental, Social and Governance programs, reporting and policy initiatives;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of directors and individual members.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operates under a written charter that satisfies applicable rules of the SEC and Nasdaq listing rules. Our corporate governance and nominating committee’s written charter may be located on our website at ir.pmvpharma.com. The corporate governance and nominating committee met five times in fiscal year 2021.</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Identifying and Evaluating Director Nominees</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Our board of directors has delegated to the corporate governance and nominating committee the responsibility of identifying individuals qualified to become members of the board of directors and recommending to the board of directors nominees to fill vacancies and newly created directorships and the nominees to stand for election as directors. If the corporate governance and nominating committee determines that an additional or replacement director is required, it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of directors or management.</w:t>
      </w:r>
    </w:p>
    <w:p>
      <w:pPr>
        <w:spacing w:after="0" w:line="84"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the corporate governance and nominating committee will consider the current size and composition of the board of directors and the needs of the board of directors and its committees. Some of the factors that our corporate governance and nominating committee considers include, without limitation, character, integrity, judgment, diversity, including diversity in terms of gender, race, ethnicity and experience, independence, area of expertise, corporate experience, length of service, potential conflicts of interest, other commitments and similar factors.</w:t>
      </w:r>
    </w:p>
    <w:p>
      <w:pPr>
        <w:spacing w:after="0" w:line="7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Nominees must also have the highest personal and professional ethics and integrity, proven achievement and competence in the nominee’s field and the ability to exercise sound business judgment, skills that are complementary to those of the existing board of directors, the ability to assist and support management and make significant contributions to the Company’s success, and an understanding of the fiduciary responsibilities that are required of a member of the board of directors and the commitment of time and energy necessary to diligently carry out those responsibilities.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operational, cybersecurity, credit and liquidity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identifying, evaluating and recommending to our board of directors’ nominees for election and the composition of our board of directors and its committees. Although each committee is responsible for evaluating certain risks and overseeing the management of such risks, our board of directors is regularly informed on risks related to our overall operations as a clinical stage precision oncology company, as well as through discussions from committee members about their respective areas of risk oversight. The board of directors’ allocation of risk oversight responsibility may change from time to time based on the evolving needs of the Company.</w:t>
      </w:r>
    </w:p>
    <w:p>
      <w:pPr>
        <w:spacing w:after="0" w:line="8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board of directors believes its current leadership structure supports the risk oversight function of the board. Given the operating experience of our board members, either as executive officers or members of the board of directors of other biopharmaceutical companies, we believe that our board leadership structure has the requisite experience and expertise to oversee the board of directors’ risk oversight function There is also open communication between management and directors through periodic reviews of our key risk areas and mitigation steps to reduce our risk exposure, and all directors are actively involved in the risk oversight function.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our Board of Directors</w:t>
      </w:r>
    </w:p>
    <w:p>
      <w:pPr>
        <w:spacing w:after="0" w:line="121" w:lineRule="exact"/>
        <w:rPr>
          <w:sz w:val="20"/>
          <w:szCs w:val="20"/>
          <w:color w:val="auto"/>
        </w:rPr>
      </w:pPr>
    </w:p>
    <w:p>
      <w:pPr>
        <w:ind w:left="300" w:right="599"/>
        <w:spacing w:after="0" w:line="281" w:lineRule="auto"/>
        <w:rPr>
          <w:sz w:val="20"/>
          <w:szCs w:val="20"/>
          <w:color w:val="auto"/>
        </w:rPr>
      </w:pPr>
      <w:r>
        <w:rPr>
          <w:rFonts w:ascii="Times New Roman" w:cs="Times New Roman" w:eastAsia="Times New Roman" w:hAnsi="Times New Roman"/>
          <w:sz w:val="17"/>
          <w:szCs w:val="17"/>
          <w:color w:val="auto"/>
        </w:rPr>
        <w:t>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w:t>
      </w:r>
    </w:p>
    <w:p>
      <w:pPr>
        <w:spacing w:after="0" w:line="68"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 stockholder that wants to recommend a candidate to our board of directors should direct the recommendation in writing by letter to our corporate secretary at PMV Pharmaceuticals, Inc., 8 Clarke Drive, Suite 3, Cranbury, New Jersey 08512,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corporate governance and nominating committee has discretion to decide which individuals to recommend for nomination as directors.</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Times New Roman" w:cs="Times New Roman" w:eastAsia="Times New Roman" w:hAnsi="Times New Roman"/>
          <w:sz w:val="18"/>
          <w:szCs w:val="18"/>
          <w:i w:val="1"/>
          <w:iCs w:val="1"/>
          <w:color w:val="auto"/>
        </w:rPr>
        <w:t>Other Matters—Stockholder Proposals or Director Nominations for 2023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300" w:right="379"/>
        <w:spacing w:after="0" w:line="269" w:lineRule="auto"/>
        <w:rPr>
          <w:sz w:val="20"/>
          <w:szCs w:val="20"/>
          <w:color w:val="auto"/>
        </w:rPr>
      </w:pPr>
      <w:r>
        <w:rPr>
          <w:rFonts w:ascii="Times New Roman" w:cs="Times New Roman" w:eastAsia="Times New Roman" w:hAnsi="Times New Roman"/>
          <w:sz w:val="17"/>
          <w:szCs w:val="17"/>
          <w:color w:val="auto"/>
        </w:rPr>
        <w:t>Stockholders and other interested parties wishing to communicate directly with our non-management directors, may do so by writing and sending the correspondence to our General Counsel by mail to our principal executive offices at PMV Pharmaceuticals, Inc., 8 Clarke Drive, Suite 3, Cranbury, New Jersey 08512. Our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General Counsel will route such communications to the appropriate director(s) or, if none is specified, then to the chairperson of the board of directors. These policies and procedures do not apply to communications to non-management directors from our officers or directors who are stockholders or stockholder proposals submitted pursuant to Rule 14a-8 under the Exchange Act.</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ir.pmvpharma.com. We will post amendments to our code of business conduct and ethics or any waivers of our code of business conduct and ethics for directors and executive officers on the same website.</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2021, the members of our compensation committee were Dr. Heyman and Peter Thompson, M.D.</w:t>
      </w:r>
    </w:p>
    <w:p>
      <w:pPr>
        <w:spacing w:after="0" w:line="27"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Dr. Thompson resigned from our board of directors on January 5, 2022. Dr. Thompson’s resignation was not related to any disagreement with the Company on any matter relating to its operations, policies or practices. None of the members of the fiscal year 2021 compensation committee (Dr. Heyman and Dr. Thompson) has been an officer or employee of PMV Pharmaceuticals or any of our subsidiaries at any time.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Outside Director Compensation Policy</w:t>
      </w:r>
    </w:p>
    <w:p>
      <w:pPr>
        <w:spacing w:after="0" w:line="121" w:lineRule="exact"/>
        <w:rPr>
          <w:sz w:val="20"/>
          <w:szCs w:val="20"/>
          <w:color w:val="auto"/>
        </w:rPr>
      </w:pPr>
    </w:p>
    <w:p>
      <w:pPr>
        <w:ind w:left="1300" w:right="1300"/>
        <w:spacing w:after="0" w:line="252" w:lineRule="auto"/>
        <w:rPr>
          <w:sz w:val="20"/>
          <w:szCs w:val="20"/>
          <w:color w:val="auto"/>
        </w:rPr>
      </w:pPr>
      <w:r>
        <w:rPr>
          <w:rFonts w:ascii="Times New Roman" w:cs="Times New Roman" w:eastAsia="Times New Roman" w:hAnsi="Times New Roman"/>
          <w:sz w:val="18"/>
          <w:szCs w:val="18"/>
          <w:color w:val="auto"/>
        </w:rPr>
        <w:t>We adopted an outside director compensation policy (the “Director Compensation Policy”) that became effective upon the closing of our initial public offering in September 2020, and is subject to an annual review by our compensation committee in consultation with our compensation consultant and recommendation for any revisions to our board of directors. No changes to our Director Compensation Policy were made in fiscal year 2021. In fiscal year 2022, the Company intends to increase director compensation to remain consistent with companies similar to its industry and market capitalization. Such increase would be in the form of stock options to purchase shares of our common stock to further align the interests of our directors with our stockholders. Under the current Director Compensation Policy, each non-employee director will be eligible to receive compensation for his or her service consisting of the following cash and equity components. Our board of directors has the discretion to revise non-employee director compensation as it deems necessary or appropriate. Under our Director Compensation Policy, each non-employee director upon first becoming a non-employee director automatically receives an initial option to purchase 32,667 shares of common stock. The initial option vests in 36 equal, monthly installments after the grant date, subject to continued service through the vesting date. Additionally, each non-employee director automatically receives an annual option to purchase 16,333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3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non-employee directors are entitled to receive the following cash compensation for their services: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600" w:type="dxa"/>
            <w:vAlign w:val="bottom"/>
            <w:gridSpan w:val="2"/>
            <w:vMerge w:val="continue"/>
          </w:tcPr>
          <w:p>
            <w:pPr>
              <w:spacing w:after="0"/>
              <w:rPr>
                <w:sz w:val="16"/>
                <w:szCs w:val="16"/>
                <w:color w:val="auto"/>
              </w:rPr>
            </w:pP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Base Director Fee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Additional Chairperson Fee</w:t>
            </w: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 of the Audit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 of the Compensation Committee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 of the Corporate Governance and Nominating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$ 8,000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Additional Committee Member Fee (excluding chairpersons)</w:t>
            </w:r>
          </w:p>
        </w:tc>
        <w:tc>
          <w:tcPr>
            <w:tcW w:w="8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$ 7,500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Governance and Nominating Committee</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8640" w:type="dxa"/>
            <w:vAlign w:val="bottom"/>
            <w:gridSpan w:val="2"/>
          </w:tcPr>
          <w:p>
            <w:pPr>
              <w:jc w:val="right"/>
              <w:ind w:right="2952"/>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-2476500</wp:posOffset>
            </wp:positionV>
            <wp:extent cx="1631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for Fiscal Year Ending 2021</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total compensation awarded to, earned by or paid to our non-employee directors for their service on our board of directors, for the fiscal year ending December 31, 2021. Directors who are also our employees receive no additional compensation for their service as directors. For the fiscal year ending December 31, 2021, Dr. Mack was an employee and executive officer of the company and therefore, did not receive compensation as a director.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additional information regarding Dr. Mack’s compensation. Ms. Flowers did not serve as a member of our board of directors during fiscal year ending December 31, 2021.</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Value and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Nonqualified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Fees Paid or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Earned in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Cash ($)</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Awards ($)</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Awards ($)</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Compensation ($)</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Earnings ($)</w:t>
            </w:r>
          </w:p>
        </w:tc>
        <w:tc>
          <w:tcPr>
            <w:tcW w:w="1780" w:type="dxa"/>
            <w:vAlign w:val="bottom"/>
            <w:gridSpan w:val="3"/>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Compensation ($)   Total ($)</w:t>
            </w:r>
          </w:p>
        </w:tc>
      </w:tr>
      <w:tr>
        <w:trPr>
          <w:trHeight w:val="56"/>
        </w:trPr>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98"/>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Heyman, Ph.D.</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96,500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345,280</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441,780</w:t>
            </w:r>
          </w:p>
        </w:tc>
      </w:tr>
      <w:tr>
        <w:trPr>
          <w:trHeight w:val="311"/>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Arnold Levine, Ph.D.</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345,280</w:t>
            </w:r>
          </w:p>
        </w:tc>
        <w:tc>
          <w:tcPr>
            <w:tcW w:w="8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6"/>
                <w:szCs w:val="26"/>
                <w:color w:val="auto"/>
                <w:vertAlign w:val="superscript"/>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485,280</w:t>
            </w:r>
          </w:p>
        </w:tc>
      </w:tr>
      <w:tr>
        <w:trPr>
          <w:trHeight w:val="310"/>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Thilo Schroeder, Ph.D.</w:t>
            </w:r>
            <w:r>
              <w:rPr>
                <w:rFonts w:ascii="Times New Roman" w:cs="Times New Roman" w:eastAsia="Times New Roman" w:hAnsi="Times New Roman"/>
                <w:sz w:val="26"/>
                <w:szCs w:val="26"/>
                <w:color w:val="auto"/>
                <w:vertAlign w:val="superscript"/>
              </w:rPr>
              <w:t>(2)</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1"/>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Thompson, M.D.</w:t>
            </w:r>
            <w:r>
              <w:rPr>
                <w:rFonts w:ascii="Times New Roman" w:cs="Times New Roman" w:eastAsia="Times New Roman" w:hAnsi="Times New Roman"/>
                <w:sz w:val="26"/>
                <w:szCs w:val="26"/>
                <w:color w:val="auto"/>
                <w:vertAlign w:val="superscript"/>
              </w:rPr>
              <w:t>(3)</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53,000</w:t>
            </w:r>
          </w:p>
        </w:tc>
        <w:tc>
          <w:tcPr>
            <w:tcW w:w="80" w:type="dxa"/>
            <w:vAlign w:val="bottom"/>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345,280</w:t>
            </w:r>
          </w:p>
        </w:tc>
        <w:tc>
          <w:tcPr>
            <w:tcW w:w="8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398,280</w:t>
            </w:r>
          </w:p>
        </w:tc>
      </w:tr>
      <w:tr>
        <w:trPr>
          <w:trHeight w:val="290"/>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Laurie Stelzer</w:t>
            </w: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55,000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345,280</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400,280</w:t>
            </w:r>
          </w:p>
        </w:tc>
      </w:tr>
      <w:tr>
        <w:trPr>
          <w:trHeight w:val="38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M. Baum, M.D., Ph.D.</w:t>
            </w:r>
          </w:p>
        </w:tc>
        <w:tc>
          <w:tcPr>
            <w:tcW w:w="72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1,070,383</w:t>
            </w:r>
            <w:r>
              <w:rPr>
                <w:rFonts w:ascii="Times New Roman" w:cs="Times New Roman" w:eastAsia="Times New Roman" w:hAnsi="Times New Roman"/>
                <w:sz w:val="26"/>
                <w:szCs w:val="26"/>
                <w:color w:val="auto"/>
                <w:w w:val="97"/>
                <w:vertAlign w:val="superscript"/>
              </w:rPr>
              <w:t>(4)</w:t>
            </w:r>
          </w:p>
        </w:tc>
        <w:tc>
          <w:tcPr>
            <w:tcW w:w="8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1,100,383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-1245235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-1245235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-1245235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-1245235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-1245235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-1245235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-1245235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91440</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9" w:lineRule="exact"/>
        <w:rPr>
          <w:sz w:val="20"/>
          <w:szCs w:val="20"/>
          <w:color w:val="auto"/>
        </w:rPr>
      </w:pPr>
    </w:p>
    <w:p>
      <w:pPr>
        <w:ind w:left="640" w:right="4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Levine received an annual compensation of $100,000 pursuant to a consulting agreement. For additional information regarding our consulting agreement with Dr. Levine, see “</w:t>
      </w:r>
      <w:r>
        <w:rPr>
          <w:rFonts w:ascii="Times New Roman" w:cs="Times New Roman" w:eastAsia="Times New Roman" w:hAnsi="Times New Roman"/>
          <w:sz w:val="14"/>
          <w:szCs w:val="14"/>
          <w:i w:val="1"/>
          <w:iCs w:val="1"/>
          <w:color w:val="auto"/>
        </w:rPr>
        <w:t>Certain Relationships and Related Person Transactions—Consulting Agreement with Arnold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Levine, Ph.D.</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Schroeder waived his rights to fees that he was entitled to receive.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Thompson served on our board of directors until January 2022.</w:t>
      </w:r>
    </w:p>
    <w:p>
      <w:pPr>
        <w:spacing w:after="0" w:line="41" w:lineRule="exact"/>
        <w:rPr>
          <w:rFonts w:ascii="Times New Roman" w:cs="Times New Roman" w:eastAsia="Times New Roman" w:hAnsi="Times New Roman"/>
          <w:sz w:val="14"/>
          <w:szCs w:val="14"/>
          <w:color w:val="auto"/>
        </w:rPr>
      </w:pPr>
    </w:p>
    <w:p>
      <w:pPr>
        <w:ind w:left="640" w:right="419" w:hanging="348"/>
        <w:spacing w:after="0" w:line="229"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Baum joined our board of directors in April 2021, and in accordance with our Outside Director Compensation Policy, he received his initial grant of 32,667 options. In June 2021, Dr. Baum also received the annual grant of 16,333 options awarded to all of our directors following our 2021 Annual Meeting. However, we subsequently determined that the options to purchase 3,172 shares of common stock were not validly granted pursuant to our 2020 Equity Incentive Plan because the aggregate equity compensation received by Dr. Baum for fiscal year 2021 exceeded the limit of equity compensation that could be granted to him within fiscal year 2021. In April 2022, Dr. Baum agreed to forfeit these excess stock options, and as of the date of this proxy statement, Dr. Baum holds options to purchase an aggregate of 45,828 shares of common stock.</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Flowers did not serve as a member of our board of directors during fiscal year 2021.</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90"/>
        </w:trPr>
        <w:tc>
          <w:tcPr>
            <w:tcW w:w="5820" w:type="dxa"/>
            <w:vAlign w:val="bottom"/>
            <w:gridSpan w:val="2"/>
            <w:vMerge w:val="continue"/>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50"/>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13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222,060</w:t>
            </w:r>
          </w:p>
        </w:tc>
        <w:tc>
          <w:tcPr>
            <w:tcW w:w="0" w:type="dxa"/>
            <w:vAlign w:val="bottom"/>
          </w:tcPr>
          <w:p>
            <w:pPr>
              <w:spacing w:after="0"/>
              <w:rPr>
                <w:sz w:val="1"/>
                <w:szCs w:val="1"/>
                <w:color w:val="auto"/>
              </w:rPr>
            </w:pPr>
          </w:p>
        </w:tc>
      </w:tr>
      <w:tr>
        <w:trPr>
          <w:trHeight w:val="27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22,144</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8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Thilo Schroeder, Ph.D.</w:t>
            </w:r>
            <w:r>
              <w:rPr>
                <w:rFonts w:ascii="Times New Roman" w:cs="Times New Roman" w:eastAsia="Times New Roman" w:hAnsi="Times New Roman"/>
                <w:sz w:val="29"/>
                <w:szCs w:val="29"/>
                <w:color w:val="auto"/>
                <w:vertAlign w:val="superscript"/>
              </w:rPr>
              <w:t>(1)</w:t>
            </w: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Peter Thompson, M.D.</w:t>
            </w:r>
            <w:r>
              <w:rPr>
                <w:rFonts w:ascii="Times New Roman" w:cs="Times New Roman" w:eastAsia="Times New Roman" w:hAnsi="Times New Roman"/>
                <w:sz w:val="29"/>
                <w:szCs w:val="29"/>
                <w:color w:val="auto"/>
                <w:vertAlign w:val="superscript"/>
              </w:rPr>
              <w:t>(2)</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13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42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 Baum, M.D., Ph.D.</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49,000</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-1311910</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-1311910</wp:posOffset>
            </wp:positionV>
            <wp:extent cx="120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Schroeder waived his rights to company equity awards that he was entitled to receive.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Thompson served on our board of directors until January 2022.</w:t>
      </w:r>
    </w:p>
    <w:p>
      <w:pPr>
        <w:spacing w:after="0" w:line="41" w:lineRule="exact"/>
        <w:rPr>
          <w:rFonts w:ascii="Times New Roman" w:cs="Times New Roman" w:eastAsia="Times New Roman" w:hAnsi="Times New Roman"/>
          <w:sz w:val="14"/>
          <w:szCs w:val="14"/>
          <w:color w:val="auto"/>
        </w:rPr>
      </w:pPr>
    </w:p>
    <w:p>
      <w:pPr>
        <w:ind w:left="640" w:right="799" w:hanging="348"/>
        <w:spacing w:after="0" w:line="261" w:lineRule="auto"/>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regarding the stock options granted to Dr. Baum in 2021, see Footnote 4 to the fiscal year 2021 directors compensation table immediately above.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We have established a scientific advisory board composed of leading academic and industry scientists. We seek advice and input from these scientists on an ad hoc basis, individually or as a group, to provide scientific and clinical feedback and advice related to our research and development platform and programs. The members of our advisory board consist of experts across a range of key disciplines relevant to our programs. Except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Drs. Heyman and Levine,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 Effective September 1, 2021, Dr. Heyman agreed to waive any future scientific advisory compensation he is otherwise entitled to be paid for those services to us.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 See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Transactions—Indemnification of Directors and Officers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300" w:right="579"/>
        <w:spacing w:after="0" w:line="269" w:lineRule="auto"/>
        <w:rPr>
          <w:sz w:val="20"/>
          <w:szCs w:val="20"/>
          <w:color w:val="auto"/>
        </w:rPr>
      </w:pPr>
      <w:r>
        <w:rPr>
          <w:rFonts w:ascii="Times New Roman" w:cs="Times New Roman" w:eastAsia="Times New Roman" w:hAnsi="Times New Roman"/>
          <w:sz w:val="17"/>
          <w:szCs w:val="17"/>
          <w:color w:val="auto"/>
        </w:rPr>
        <w:t>The following table sets forth certain information about our executive officers as of March 31, 2022. Information regarding Dr. Mack, who also serves as a director, is set forth above under “</w:t>
      </w:r>
      <w:r>
        <w:rPr>
          <w:rFonts w:ascii="Times New Roman" w:cs="Times New Roman" w:eastAsia="Times New Roman" w:hAnsi="Times New Roman"/>
          <w:sz w:val="17"/>
          <w:szCs w:val="17"/>
          <w:i w:val="1"/>
          <w:iCs w:val="1"/>
          <w:color w:val="auto"/>
        </w:rPr>
        <w:t>Board of Directors and Corporate</w:t>
      </w:r>
    </w:p>
    <w:p>
      <w:pPr>
        <w:ind w:left="300"/>
        <w:spacing w:after="0"/>
        <w:rPr>
          <w:sz w:val="20"/>
          <w:szCs w:val="20"/>
          <w:color w:val="auto"/>
        </w:rPr>
      </w:pPr>
      <w:r>
        <w:rPr>
          <w:rFonts w:ascii="Times New Roman" w:cs="Times New Roman" w:eastAsia="Times New Roman" w:hAnsi="Times New Roman"/>
          <w:sz w:val="18"/>
          <w:szCs w:val="18"/>
          <w:i w:val="1"/>
          <w:iCs w:val="1"/>
          <w:color w:val="auto"/>
        </w:rPr>
        <w:t>Governance—Continuing Directors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50"/>
        </w:trPr>
        <w:tc>
          <w:tcPr>
            <w:tcW w:w="3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r>
        <w:trPr>
          <w:trHeight w:val="298"/>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r>
      <w:tr>
        <w:trPr>
          <w:trHeight w:val="40"/>
        </w:trPr>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40" w:type="dxa"/>
            <w:vAlign w:val="bottom"/>
          </w:tcPr>
          <w:p>
            <w:pPr>
              <w:spacing w:after="0"/>
              <w:rPr>
                <w:sz w:val="3"/>
                <w:szCs w:val="3"/>
                <w:color w:val="auto"/>
              </w:rPr>
            </w:pPr>
          </w:p>
        </w:tc>
      </w:tr>
      <w:tr>
        <w:trPr>
          <w:trHeight w:val="277"/>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4"/>
                <w:szCs w:val="24"/>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Regulatory and Quality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-753745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-753745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left="300" w:right="299"/>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Winston Kung </w:t>
      </w:r>
      <w:r>
        <w:rPr>
          <w:rFonts w:ascii="Times New Roman" w:cs="Times New Roman" w:eastAsia="Times New Roman" w:hAnsi="Times New Roman"/>
          <w:sz w:val="18"/>
          <w:szCs w:val="18"/>
          <w:color w:val="auto"/>
        </w:rPr>
        <w:t>has served as our Chief Operating Officer and Chief Financial Officer since December 2017.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2013 to 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Leila Alland, M.D. </w:t>
      </w:r>
      <w:r>
        <w:rPr>
          <w:rFonts w:ascii="Times New Roman" w:cs="Times New Roman" w:eastAsia="Times New Roman" w:hAnsi="Times New Roman"/>
          <w:sz w:val="18"/>
          <w:szCs w:val="18"/>
          <w:color w:val="auto"/>
        </w:rPr>
        <w:t>has served as our Chief Medical Officer since December 2019. Over the past 20+ years,</w:t>
      </w:r>
    </w:p>
    <w:p>
      <w:pPr>
        <w:spacing w:after="0" w:line="6" w:lineRule="exact"/>
        <w:rPr>
          <w:sz w:val="20"/>
          <w:szCs w:val="20"/>
          <w:color w:val="auto"/>
        </w:rPr>
      </w:pPr>
    </w:p>
    <w:p>
      <w:pPr>
        <w:ind w:left="300" w:right="339"/>
        <w:spacing w:after="0" w:line="230" w:lineRule="auto"/>
        <w:rPr>
          <w:sz w:val="20"/>
          <w:szCs w:val="20"/>
          <w:color w:val="auto"/>
        </w:rPr>
      </w:pPr>
      <w:r>
        <w:rPr>
          <w:rFonts w:ascii="Times New Roman" w:cs="Times New Roman" w:eastAsia="Times New Roman" w:hAnsi="Times New Roman"/>
          <w:sz w:val="18"/>
          <w:szCs w:val="18"/>
          <w:color w:val="auto"/>
        </w:rPr>
        <w:t>Dr. Alland has worked on a broad range of oncology products from early to late stage development and contributed to multiple successful drug approvals. Dr. Alland served as the Chief Medical Officer at Affimed (Nasdaq: AFMD) from March 2018 to November 2019 and as the Chief Medical Officer at Tarveda Therapeutics, a privately held biotechnology company, from January 2016 to March 2018. Dr. Alland also held leadership positions, including as the Vice President and Head of Oncology Early Clinical Development at AstraZeneca (NYSE: AZN) from October 2013 to December 2015, and also held leadership positions at Bristol Myers Squibb (NYSE: BMY) from April 2006 to September 2013, Novartis International AG (NYSE: NVS) from November 2003 to March 2006 and Schering-Plough Corporation from June 2001 to November 2003. From September 1994 to June 2000, Dr. Alland served as Assistant Professor of Pediatrics at Albert Einstein College of Medicine, where she was awarded the James S. McDonnell Foundation Scholar Award and pursued basic cancer research. Dr. Alland currently serves on the board of directors of Abeona Therapeutics Inc. (Nasdaq: ABEO), Jubilant Therapeutics Inc., and sits on the Scientific Advisory Council of Columbia University’s Center for Radiological Research. In addition, Dr. Alland serves as a reviewer for the Cancer Prevention and Research Institute of Texas.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83" w:lineRule="exact"/>
        <w:rPr>
          <w:sz w:val="20"/>
          <w:szCs w:val="20"/>
          <w:color w:val="auto"/>
        </w:rPr>
      </w:pPr>
    </w:p>
    <w:p>
      <w:pPr>
        <w:ind w:left="300" w:right="339"/>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Deepika Jalota, Pharm.D. </w:t>
      </w:r>
      <w:r>
        <w:rPr>
          <w:rFonts w:ascii="Times New Roman" w:cs="Times New Roman" w:eastAsia="Times New Roman" w:hAnsi="Times New Roman"/>
          <w:sz w:val="18"/>
          <w:szCs w:val="18"/>
          <w:color w:val="auto"/>
        </w:rPr>
        <w:t>has served as our Chief Regulatory and Quality Officer since February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our Senior Vice President, Regulatory Affairs and Quality Assurance from June 2019 to February 2021. 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In this Compensation Discussion and Analysis (“CD&amp;A”), we provide an overview of our executive compensation philosophy and objectives as well as a description of the material components of our executive compensation program. This CD&amp;A is intended to be read in conjunction with the tables which immediately follow this section, which provide further historical compensation information. During fiscal year 2021, there were only four executive officers of the Company. Our named executive officers, consisting of our principal executive officer, principal financial officer and the two most highly compensated executive officers (other than our principal executive officer and principal financial officer), as of December 31, 2021, were:</w:t>
      </w:r>
    </w:p>
    <w:p>
      <w:pPr>
        <w:spacing w:after="0" w:line="81"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 Mack, Ph.D.,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Winston Kung, our Chief Operating Officer and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Leila Alland, M.D., our Chief Medical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Deepika Jalota, Pharm.D., our Chief Regulatory and Quality Officer.</w:t>
      </w:r>
    </w:p>
    <w:p>
      <w:pPr>
        <w:spacing w:after="0" w:line="117"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This CD&amp;A also analyzes how and why the compensation committee of our board of directors (the “compensation committee”) arrived at the specific compensation decisions for our named executive officers in fiscal 2021 and discusses the key factors that the compensation committee considered in determining their compensation.</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Process and Procedure for Compensation Decisions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Our compensation committee is primarily responsible for establishing and reviewing our general compensation strategy. In addition, the compensation committee, with the assistance of our Head of Human Resources, oversees our compensation and benefit plans and policies, administers our equity incentive plans and reviews and approves annually all compensation decisions relating to all of our executive officers, including our Chief Executive Officer. The compensation committee considers recommendations from our Chief Executive Officer regarding the compensation of our executive officers other than himself. Under its charter, our compensation committee has the right, in its sole discretion, to retain or obtain the advice of compensation consultants, independent legal counsel and other advisers.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Background and 2021 Business Highlights</w:t>
      </w:r>
    </w:p>
    <w:p>
      <w:pPr>
        <w:spacing w:after="0" w:line="11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In addition, we are expanding the utilization of our platform to target certain cancers where wild-type p53 function is silenced.</w:t>
      </w:r>
    </w:p>
    <w:p>
      <w:pPr>
        <w:spacing w:after="0" w:line="79"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In 2021, despite disruptions related to COVID-19, we continued to grow and made substantial progress, including the following significant accomplishments:</w:t>
      </w:r>
    </w:p>
    <w:p>
      <w:pPr>
        <w:spacing w:after="0" w:line="13" w:lineRule="exact"/>
        <w:rPr>
          <w:sz w:val="20"/>
          <w:szCs w:val="20"/>
          <w:color w:val="auto"/>
        </w:rPr>
      </w:pPr>
    </w:p>
    <w:p>
      <w:pPr>
        <w:ind w:left="1000" w:right="10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Activated all of our targeted clinical sites for the Phase 1 portion of our Phase 1/2 clinical trial of PC14586, our lead product candidate;</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enrolled patients in our PC14586 Phase 1 clinical trial;</w:t>
      </w:r>
    </w:p>
    <w:p>
      <w:pPr>
        <w:spacing w:after="0" w:line="90"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comprehensive development plan for the combination of PC14586 with a PD-1 checkpoint inhibitor;</w:t>
      </w:r>
    </w:p>
    <w:p>
      <w:pPr>
        <w:spacing w:after="0" w:line="1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pipeline by advancing WIP1 (Wild-Type p53-Induced Phosphatase) inhibitor program, into lead optimization;</w:t>
      </w:r>
    </w:p>
    <w:p>
      <w:pPr>
        <w:spacing w:after="0" w:line="1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our leadership team and organization to support advancement of our lead product candidate and expansion of our pipeline to include wild-type p53-related targets; and</w:t>
      </w:r>
    </w:p>
    <w:p>
      <w:pPr>
        <w:spacing w:after="0" w:line="26"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our strong balance sheet and cash position, with $314.1 million in cash, cash equivalents, and marketable securities as of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Key 2021 Compensation Decisions</w:t>
      </w:r>
    </w:p>
    <w:p>
      <w:pPr>
        <w:spacing w:after="0" w:line="119"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Aligned with our results and performance in 2021 as outlined above, we took several actions related to our pay program:</w:t>
      </w:r>
    </w:p>
    <w:p>
      <w:pPr>
        <w:spacing w:after="0" w:line="27" w:lineRule="exact"/>
        <w:rPr>
          <w:sz w:val="20"/>
          <w:szCs w:val="20"/>
          <w:color w:val="auto"/>
        </w:rPr>
      </w:pPr>
    </w:p>
    <w:p>
      <w:pPr>
        <w:ind w:left="1000" w:right="7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moderate adjustments to the base salaries of our executives based on our regular review of factors including roles, responsibilities and market practices;</w:t>
      </w:r>
    </w:p>
    <w:p>
      <w:pPr>
        <w:spacing w:after="0" w:line="1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bonus paid out at 125% of target since we successfully achieved and exceeded our 2021 corporate goals, as more fully described below under “</w:t>
      </w:r>
      <w:r>
        <w:rPr>
          <w:rFonts w:ascii="Times New Roman" w:cs="Times New Roman" w:eastAsia="Times New Roman" w:hAnsi="Times New Roman"/>
          <w:sz w:val="18"/>
          <w:szCs w:val="18"/>
          <w:i w:val="1"/>
          <w:iCs w:val="1"/>
          <w:color w:val="auto"/>
        </w:rPr>
        <w:t>Executive Compensation—Annual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Incentives</w:t>
      </w:r>
      <w:r>
        <w:rPr>
          <w:rFonts w:ascii="Times New Roman" w:cs="Times New Roman" w:eastAsia="Times New Roman" w:hAnsi="Times New Roman"/>
          <w:sz w:val="18"/>
          <w:szCs w:val="18"/>
          <w:color w:val="auto"/>
        </w:rPr>
        <w:t>”; and</w:t>
      </w:r>
    </w:p>
    <w:p>
      <w:pPr>
        <w:spacing w:after="0" w:line="27" w:lineRule="exact"/>
        <w:rPr>
          <w:rFonts w:ascii="Times New Roman" w:cs="Times New Roman" w:eastAsia="Times New Roman" w:hAnsi="Times New Roman"/>
          <w:sz w:val="18"/>
          <w:szCs w:val="18"/>
          <w:color w:val="auto"/>
        </w:rPr>
      </w:pPr>
    </w:p>
    <w:p>
      <w:pPr>
        <w:ind w:left="1000" w:right="999" w:hanging="348"/>
        <w:spacing w:after="0" w:line="312" w:lineRule="auto"/>
        <w:tabs>
          <w:tab w:leader="none" w:pos="10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granted stock options to our executive officers to motivate and retain them, as well as provide alignment with the interests of our stockholders, in line with our philosophy as detailed below.</w:t>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Compensation Governance Highlights</w:t>
      </w:r>
    </w:p>
    <w:p>
      <w:pPr>
        <w:spacing w:after="0" w:line="11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We maintain sound governance standards consistent with our executive compensation policies and practices and we seek to adhere to the best practices for compensation and corporate governance purposes. The compensation committee and in certain cases, our board of directors, evaluates our executive compensation program regularly to ensure that it supports our short-term and long-term goals given the dynamic nature of our business and the market in which we compete for executive talent as well as protect our stockholders’ interests. The following policies and practices were in effect during 2021:</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61595</wp:posOffset>
            </wp:positionV>
            <wp:extent cx="5349240" cy="1371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1371600"/>
                    </a:xfrm>
                    <a:prstGeom prst="rect">
                      <a:avLst/>
                    </a:prstGeom>
                    <a:noFill/>
                  </pic:spPr>
                </pic:pic>
              </a:graphicData>
            </a:graphic>
          </wp:anchor>
        </w:drawing>
      </w:r>
    </w:p>
    <w:p>
      <w:pPr>
        <w:spacing w:after="0" w:line="176" w:lineRule="exact"/>
        <w:rPr>
          <w:sz w:val="20"/>
          <w:szCs w:val="20"/>
          <w:color w:val="auto"/>
        </w:rPr>
      </w:pPr>
    </w:p>
    <w:p>
      <w:pPr>
        <w:ind w:left="760" w:right="439" w:hanging="383"/>
        <w:spacing w:after="0" w:line="268" w:lineRule="auto"/>
        <w:tabs>
          <w:tab w:leader="none" w:pos="76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Independent Compensation Committee and Board of Directors Approval</w:t>
      </w:r>
      <w:r>
        <w:rPr>
          <w:rFonts w:ascii="Times New Roman" w:cs="Times New Roman" w:eastAsia="Times New Roman" w:hAnsi="Times New Roman"/>
          <w:sz w:val="18"/>
          <w:szCs w:val="18"/>
          <w:color w:val="auto"/>
        </w:rPr>
        <w:t>.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comprised solely of independent directors. In addition, certain executive compensation decisions at the board of directors’ level are made by independent directors.</w:t>
      </w:r>
    </w:p>
    <w:p>
      <w:pPr>
        <w:spacing w:after="0" w:line="76" w:lineRule="exact"/>
        <w:rPr>
          <w:rFonts w:ascii="MS PGothic" w:cs="MS PGothic" w:eastAsia="MS PGothic" w:hAnsi="MS PGothic"/>
          <w:sz w:val="18"/>
          <w:szCs w:val="18"/>
          <w:color w:val="auto"/>
        </w:rPr>
      </w:pPr>
    </w:p>
    <w:p>
      <w:pPr>
        <w:ind w:left="760" w:right="439" w:hanging="383"/>
        <w:spacing w:after="0" w:line="268" w:lineRule="auto"/>
        <w:tabs>
          <w:tab w:leader="none" w:pos="76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Independent Compensation Committee Advisor</w:t>
      </w:r>
      <w:r>
        <w:rPr>
          <w:rFonts w:ascii="Times New Roman" w:cs="Times New Roman" w:eastAsia="Times New Roman" w:hAnsi="Times New Roman"/>
          <w:sz w:val="18"/>
          <w:szCs w:val="18"/>
          <w:color w:val="auto"/>
        </w:rPr>
        <w:t>. The compensation committee’s own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consultant assisted with its compensation review for 2021. This consultant performed no other services for us.</w:t>
      </w:r>
    </w:p>
    <w:p>
      <w:pPr>
        <w:spacing w:after="0" w:line="76" w:lineRule="exact"/>
        <w:rPr>
          <w:rFonts w:ascii="MS PGothic" w:cs="MS PGothic" w:eastAsia="MS PGothic" w:hAnsi="MS PGothic"/>
          <w:sz w:val="18"/>
          <w:szCs w:val="18"/>
          <w:color w:val="auto"/>
        </w:rPr>
      </w:pPr>
    </w:p>
    <w:p>
      <w:pPr>
        <w:ind w:left="760" w:right="779" w:hanging="383"/>
        <w:spacing w:after="0" w:line="286" w:lineRule="auto"/>
        <w:tabs>
          <w:tab w:leader="none" w:pos="760" w:val="left"/>
        </w:tabs>
        <w:numPr>
          <w:ilvl w:val="0"/>
          <w:numId w:val="2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Executive Compensation Program Review</w:t>
      </w:r>
      <w:r>
        <w:rPr>
          <w:rFonts w:ascii="Times New Roman" w:cs="Times New Roman" w:eastAsia="Times New Roman" w:hAnsi="Times New Roman"/>
          <w:sz w:val="18"/>
          <w:szCs w:val="18"/>
          <w:color w:val="auto"/>
        </w:rPr>
        <w:t>. The compensation committee conducts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and approval of our compensation program.</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Executive Compensation Policies and Practices</w:t>
      </w:r>
    </w:p>
    <w:p>
      <w:pPr>
        <w:spacing w:after="0" w:line="11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Our compensation philosophy and related corporate governance policies and practices are complemented by several specific compensation practices designed to align our executive compensation with long-term stockholder interests,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3188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3188970"/>
                    </a:xfrm>
                    <a:prstGeom prst="rect">
                      <a:avLst/>
                    </a:prstGeom>
                    <a:noFill/>
                  </pic:spPr>
                </pic:pic>
              </a:graphicData>
            </a:graphic>
          </wp:anchor>
        </w:drawing>
      </w:r>
    </w:p>
    <w:p>
      <w:pPr>
        <w:spacing w:after="0" w:line="125" w:lineRule="exact"/>
        <w:rPr>
          <w:sz w:val="20"/>
          <w:szCs w:val="20"/>
          <w:color w:val="auto"/>
        </w:rPr>
      </w:pPr>
    </w:p>
    <w:p>
      <w:pPr>
        <w:jc w:val="both"/>
        <w:ind w:left="760" w:right="939" w:hanging="383"/>
        <w:spacing w:after="0" w:line="268"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Compensation At-Risk</w:t>
      </w:r>
      <w:r>
        <w:rPr>
          <w:rFonts w:ascii="Times New Roman" w:cs="Times New Roman" w:eastAsia="Times New Roman" w:hAnsi="Times New Roman"/>
          <w:sz w:val="18"/>
          <w:szCs w:val="18"/>
          <w:color w:val="auto"/>
        </w:rPr>
        <w:t>. Our executive compensation program is designed so a significant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is “at risk” based on our performance through our short-term cash and long-term equity incentive compensation opportunities.</w:t>
      </w:r>
    </w:p>
    <w:p>
      <w:pPr>
        <w:spacing w:after="0" w:line="76" w:lineRule="exact"/>
        <w:rPr>
          <w:rFonts w:ascii="MS PGothic" w:cs="MS PGothic" w:eastAsia="MS PGothic" w:hAnsi="MS PGothic"/>
          <w:sz w:val="18"/>
          <w:szCs w:val="18"/>
          <w:color w:val="auto"/>
        </w:rPr>
      </w:pPr>
    </w:p>
    <w:p>
      <w:pPr>
        <w:ind w:left="760" w:right="799" w:hanging="383"/>
        <w:spacing w:after="0" w:line="268"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Tax Reimbursements for Severance or Change in Control Payments</w:t>
      </w:r>
      <w:r>
        <w:rPr>
          <w:rFonts w:ascii="Times New Roman" w:cs="Times New Roman" w:eastAsia="Times New Roman" w:hAnsi="Times New Roman"/>
          <w:sz w:val="18"/>
          <w:szCs w:val="18"/>
          <w:color w:val="auto"/>
        </w:rPr>
        <w:t>. We do not provide any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payments (including “gross-ups”) on any severance or change in control payments or benefits.</w:t>
      </w:r>
    </w:p>
    <w:p>
      <w:pPr>
        <w:spacing w:after="0" w:line="76" w:lineRule="exact"/>
        <w:rPr>
          <w:rFonts w:ascii="MS PGothic" w:cs="MS PGothic" w:eastAsia="MS PGothic" w:hAnsi="MS PGothic"/>
          <w:sz w:val="18"/>
          <w:szCs w:val="18"/>
          <w:color w:val="auto"/>
        </w:rPr>
      </w:pPr>
    </w:p>
    <w:p>
      <w:pPr>
        <w:ind w:left="760" w:right="559" w:hanging="383"/>
        <w:spacing w:after="0" w:line="268"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Special Retirement Plans</w:t>
      </w:r>
      <w:r>
        <w:rPr>
          <w:rFonts w:ascii="Times New Roman" w:cs="Times New Roman" w:eastAsia="Times New Roman" w:hAnsi="Times New Roman"/>
          <w:sz w:val="18"/>
          <w:szCs w:val="18"/>
          <w:color w:val="auto"/>
        </w:rPr>
        <w:t>. We do not offer, nor do we have plans to provide, pension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plans or nonqualified deferred compensation plans or arrangements exclusively to our executive officers.</w:t>
      </w:r>
    </w:p>
    <w:p>
      <w:pPr>
        <w:spacing w:after="0" w:line="76" w:lineRule="exact"/>
        <w:rPr>
          <w:rFonts w:ascii="MS PGothic" w:cs="MS PGothic" w:eastAsia="MS PGothic" w:hAnsi="MS PGothic"/>
          <w:sz w:val="18"/>
          <w:szCs w:val="18"/>
          <w:color w:val="auto"/>
        </w:rPr>
      </w:pPr>
    </w:p>
    <w:p>
      <w:pPr>
        <w:ind w:left="760" w:right="499" w:hanging="383"/>
        <w:spacing w:after="0" w:line="286"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Special Health or Welfare Benefits</w:t>
      </w:r>
      <w:r>
        <w:rPr>
          <w:rFonts w:ascii="Times New Roman" w:cs="Times New Roman" w:eastAsia="Times New Roman" w:hAnsi="Times New Roman"/>
          <w:sz w:val="18"/>
          <w:szCs w:val="18"/>
          <w:color w:val="auto"/>
        </w:rPr>
        <w:t>. Our executive officers participate in the same company-sponsored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and welfare benefits programs as our other full-time, salaried employees.</w:t>
      </w:r>
    </w:p>
    <w:p>
      <w:pPr>
        <w:spacing w:after="0" w:line="60" w:lineRule="exact"/>
        <w:rPr>
          <w:rFonts w:ascii="MS PGothic" w:cs="MS PGothic" w:eastAsia="MS PGothic" w:hAnsi="MS PGothic"/>
          <w:sz w:val="18"/>
          <w:szCs w:val="18"/>
          <w:color w:val="auto"/>
        </w:rPr>
      </w:pPr>
    </w:p>
    <w:p>
      <w:pPr>
        <w:ind w:left="760" w:right="459" w:hanging="383"/>
        <w:spacing w:after="0" w:line="286"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Hedging and Pledging Prohibited</w:t>
      </w:r>
      <w:r>
        <w:rPr>
          <w:rFonts w:ascii="Times New Roman" w:cs="Times New Roman" w:eastAsia="Times New Roman" w:hAnsi="Times New Roman"/>
          <w:sz w:val="18"/>
          <w:szCs w:val="18"/>
          <w:color w:val="auto"/>
        </w:rPr>
        <w:t>. We prohibit our employees, including our named executive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from pledging our securities or engaging in hedging transactions.</w:t>
      </w:r>
    </w:p>
    <w:p>
      <w:pPr>
        <w:spacing w:after="0" w:line="60" w:lineRule="exact"/>
        <w:rPr>
          <w:rFonts w:ascii="MS PGothic" w:cs="MS PGothic" w:eastAsia="MS PGothic" w:hAnsi="MS PGothic"/>
          <w:sz w:val="18"/>
          <w:szCs w:val="18"/>
          <w:color w:val="auto"/>
        </w:rPr>
      </w:pPr>
    </w:p>
    <w:p>
      <w:pPr>
        <w:ind w:left="760" w:right="659" w:hanging="383"/>
        <w:spacing w:after="0" w:line="317" w:lineRule="auto"/>
        <w:tabs>
          <w:tab w:leader="none" w:pos="760" w:val="left"/>
        </w:tabs>
        <w:numPr>
          <w:ilvl w:val="0"/>
          <w:numId w:val="23"/>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Multi-Year Vesting Requirements</w:t>
      </w:r>
      <w:r>
        <w:rPr>
          <w:rFonts w:ascii="Times New Roman" w:cs="Times New Roman" w:eastAsia="Times New Roman" w:hAnsi="Times New Roman"/>
          <w:sz w:val="17"/>
          <w:szCs w:val="17"/>
          <w:color w:val="auto"/>
        </w:rPr>
        <w:t>. The equity awards granted to our named executive officers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vest over multi-year periods, consistent with current market practice and our retention objectives.</w:t>
      </w:r>
    </w:p>
    <w:p>
      <w:pPr>
        <w:spacing w:after="0" w:line="37" w:lineRule="exact"/>
        <w:rPr>
          <w:rFonts w:ascii="MS PGothic" w:cs="MS PGothic" w:eastAsia="MS PGothic" w:hAnsi="MS PGothic"/>
          <w:sz w:val="17"/>
          <w:szCs w:val="17"/>
          <w:color w:val="auto"/>
        </w:rPr>
      </w:pPr>
    </w:p>
    <w:p>
      <w:pPr>
        <w:ind w:left="760" w:right="459" w:hanging="383"/>
        <w:spacing w:after="0" w:line="262" w:lineRule="auto"/>
        <w:tabs>
          <w:tab w:leader="none" w:pos="7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Single Trigger Change in Control Arrangements</w:t>
      </w:r>
      <w:r>
        <w:rPr>
          <w:rFonts w:ascii="Times New Roman" w:cs="Times New Roman" w:eastAsia="Times New Roman" w:hAnsi="Times New Roman"/>
          <w:sz w:val="18"/>
          <w:szCs w:val="18"/>
          <w:color w:val="auto"/>
        </w:rPr>
        <w:t>. There are no payments and benefits that are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as a result of change in control in PMV Pharmaceuticals. All change in control payments and benefits are based on a “double-trigger” arrangement (that is, they require both a change in control of PMV Pharmaceuticals plus an involuntary termination of employment before payments and benefits are paid).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Overview Executive Compensation Program</w:t>
      </w:r>
    </w:p>
    <w:p>
      <w:pPr>
        <w:spacing w:after="0" w:line="11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be competitive and appropriately balance our goals of attracting, motivating, rewarding, and retaining our executive officers and driving company performance. To align our executive officers’ interests with those of our stockholders and to motivate and reward individual initiative and effort, a substantial portion of each executive officer’s total target annual direct compensation opportunity is “at-risk,” meaning the amounts paid to each executive officer will vary based on our company performance and their contributions to that performance.</w:t>
      </w:r>
    </w:p>
    <w:p>
      <w:pPr>
        <w:spacing w:after="0" w:line="7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In 2021, we continued to emphasize long-term incentive compensation in order to enhance the alignment between the interests of our executive officers and stockholders and provide incentives for our executive officers to drive long-term company growth and stockholder value.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Engagement</w:t>
      </w:r>
    </w:p>
    <w:p>
      <w:pPr>
        <w:spacing w:after="0" w:line="119" w:lineRule="exact"/>
        <w:rPr>
          <w:sz w:val="20"/>
          <w:szCs w:val="20"/>
          <w:color w:val="auto"/>
        </w:rPr>
      </w:pPr>
    </w:p>
    <w:p>
      <w:pPr>
        <w:jc w:val="both"/>
        <w:ind w:left="300" w:right="679"/>
        <w:spacing w:after="0" w:line="266" w:lineRule="auto"/>
        <w:rPr>
          <w:sz w:val="20"/>
          <w:szCs w:val="20"/>
          <w:color w:val="auto"/>
        </w:rPr>
      </w:pPr>
      <w:r>
        <w:rPr>
          <w:rFonts w:ascii="Times New Roman" w:cs="Times New Roman" w:eastAsia="Times New Roman" w:hAnsi="Times New Roman"/>
          <w:sz w:val="18"/>
          <w:szCs w:val="18"/>
          <w:color w:val="auto"/>
        </w:rPr>
        <w:t>We are committed to engagement with stockholders. We review any feedback we receive from our stockholders about our executive compensation program to ensure that we understand key matters of interest to them, and to enable us to take that feedback into consideration for our compensation decisions.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Our compensation committee believes a well-designed compensation program should align executive interests with the drivers of growth and stockholder returns by supporting the achievement of our primary business goals, and our ability to attract and retain employees whose talents, expertise, leadership and contributions are expected to sustain growth in long-term stockholder value. Consequently, we maintain an ongoing commitment to corporate governance principles and strong performance orientation in our compensation program. Our compensation committee regularly reviews our compensation policies and program design overall, to ensure that they are aligned with the interests of our stockholders and our business goals, and that the total compensation paid to our employees and directors is fair, reasonable and competitive.</w:t>
      </w:r>
    </w:p>
    <w:p>
      <w:pPr>
        <w:spacing w:after="0" w:line="84"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color w:val="auto"/>
        </w:rPr>
        <w:t>In transitioning from a private company following our initial public offering in 2020, we have made gradual changes to our executive compensation program to adopt practices that are appropriate for the Company given our business, industry, growth and other factors. Our compensation committee and board of directors believe it appropriate to continue to fine tune our executive compensation program but generally have avoided dramatic changes since we became a publicly traded company. We engaged an independent compensation consultant prior to our initial public offering to assist our compensation committee in determining executive compensation and establishing our compensation philosophy for our executive officers, which seeks to place cash compensation at generally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equity awards within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range of our peer group companies.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the Compensation Committee and Board of Directors</w:t>
      </w:r>
    </w:p>
    <w:p>
      <w:pPr>
        <w:spacing w:after="0" w:line="11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total compensation of our executive officers. In this capacity, our compensation committee designs, implements, reviews and approves all compensation for our Chief Executive Officer and our other executive officers. The compensation committee formally met four times during fiscal year 2021, and also met informally on occasion, to review and discuss matters related to compensation of our employees and executive officers. Some of these meetings were held with members of management in attendance and some were held in closed session. Most of the meetings also included representatives from our compensation consultant (as described below). Typically, the compensation committee reports to the board of directors on its discussions and on occasion recommends to the board of directors, or seeks input from the board of directors regarding, the decisions to be made and other actions to be taken with regard to our executive officers’ compensation. Our compensation committee’s recommendations regarding executive compensation are based on the compensation committee’s assessment of the performance of the Company and each individual executive officer, as well as other factors, such as prevailing industry trends and the competitive market for executive talent. The compensation committee typically makes the final decisions regarding executive compensation.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1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Our Chief Executive Officer and our Head of Human Resources, in consultation with our compensation consultant, typically make recommendations to our compensation committee, attend certain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committee meetings and are involved in the process for determining our executive officers’ compensation, provided that our Chief Executive Officer does not make recommendations as to his own compensation or participate in compensation committee discussions of his own compensation. Our compensation committee considers management’s recommendations but is not required to follow any recommendations and may adjust compensation up or down as it determines in its discretion. Our compensation committee reviews the recommendations and other data and makes recommendations to the board of directors as to each executive officer’s total compensation, as well as each individual pay component.</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Role of Independent Compensation Consultant</w:t>
      </w:r>
    </w:p>
    <w:p>
      <w:pPr>
        <w:spacing w:after="0" w:line="11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compensation committee has authority to appoint and retain a compensation consultant. The fees for services rendered by the compensation consultant are paid by the Company. For executive compensation decisions for fiscal year 2021, our compensation committee engaged Radford, which is part of the Rewards Solutions practice at Aon plc (“Radford”), as its independent compensation consultant to advise on executive compensation matters including: overall compensation program design, peer group development and updates, and collecting market data to inform our compensation programs for our executives and members of our board of directors. We develop our compensation programs after reviewing publicly available compensation data and we also subscribe to Radford’s various global annual and specialized life sciences and general industry surveys on an ongoing basis. Our compensation consultant advised the compensation committee on all of the principal aspects of executive compensation. Representatives from our compensation consultant attend meetings of the compensation committee when requested to do so. Our compensation consultant reports directly to our compensation committee and not to management, although it meets with management for purposes of gathering information for its analyses and recommendations. Our compensation committee has assessed the independence of our compensation consultant consistent with Nasdaq listing standards and has concluded that the engagement of our compensation consultant does not raise any conflict of interest.</w:t>
      </w:r>
    </w:p>
    <w:p>
      <w:pPr>
        <w:spacing w:after="0" w:line="88"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In January 2022, the compensation committee engaged Pearl Meyer &amp; Partners, LLC (“Pearl Meyer”) as its independent compensation consultant to advise on executive officer and board of directors’ compensation matters going forward.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Use of a Peer Group</w:t>
      </w:r>
    </w:p>
    <w:p>
      <w:pPr>
        <w:spacing w:after="0" w:line="11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The compensation committee approves a peer group of companies as a reference group to provide a broad perspective on competitive pay levels and practices. The peers are reviewed on an annual basis in light of the fast-moving changes at PMV Pharmaceuticals and our industry. We undertake this review with the assistance and recommendations of the compensation committee’s compensation consultant.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July 2020, the compensation committee approved a peer group for use in making 2021 compensation decisions.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used the following criteria in determining the appropriate peers:</w:t>
      </w:r>
    </w:p>
    <w:p>
      <w:pPr>
        <w:spacing w:after="0" w:line="95"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Sector </w:t>
      </w:r>
      <w:r>
        <w:rPr>
          <w:rFonts w:ascii="Times New Roman" w:cs="Times New Roman" w:eastAsia="Times New Roman" w:hAnsi="Times New Roman"/>
          <w:sz w:val="18"/>
          <w:szCs w:val="18"/>
          <w:color w:val="auto"/>
        </w:rPr>
        <w:t>– U.S. oncology companies;</w:t>
      </w:r>
    </w:p>
    <w:p>
      <w:pPr>
        <w:spacing w:after="0" w:line="117" w:lineRule="exact"/>
        <w:rPr>
          <w:rFonts w:ascii="Times New Roman" w:cs="Times New Roman" w:eastAsia="Times New Roman" w:hAnsi="Times New Roman"/>
          <w:sz w:val="18"/>
          <w:szCs w:val="18"/>
          <w:color w:val="auto"/>
        </w:rPr>
      </w:pPr>
    </w:p>
    <w:p>
      <w:pPr>
        <w:ind w:left="1000" w:right="1239" w:hanging="348"/>
        <w:spacing w:after="0" w:line="28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Stage </w:t>
      </w:r>
      <w:r>
        <w:rPr>
          <w:rFonts w:ascii="Times New Roman" w:cs="Times New Roman" w:eastAsia="Times New Roman" w:hAnsi="Times New Roman"/>
          <w:sz w:val="18"/>
          <w:szCs w:val="18"/>
          <w:color w:val="auto"/>
        </w:rPr>
        <w:t>– Focus on early stage companies to reflect PMV Pharmaceuticals’ pre-clinical stage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where possible;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Geography </w:t>
      </w:r>
      <w:r>
        <w:rPr>
          <w:rFonts w:ascii="Times New Roman" w:cs="Times New Roman" w:eastAsia="Times New Roman" w:hAnsi="Times New Roman"/>
          <w:sz w:val="18"/>
          <w:szCs w:val="18"/>
          <w:color w:val="auto"/>
        </w:rPr>
        <w:t>– Emphasis on companies located in major metro areas and in biopharma hubs;</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Capitalization </w:t>
      </w:r>
      <w:r>
        <w:rPr>
          <w:rFonts w:ascii="Times New Roman" w:cs="Times New Roman" w:eastAsia="Times New Roman" w:hAnsi="Times New Roman"/>
          <w:sz w:val="18"/>
          <w:szCs w:val="18"/>
          <w:color w:val="auto"/>
        </w:rPr>
        <w:t>– Focus on companies with market cap between $200 million and $2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0.3x to 3x the projected post-IPO valuation at the time of selection;</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Headcount </w:t>
      </w:r>
      <w:r>
        <w:rPr>
          <w:rFonts w:ascii="Times New Roman" w:cs="Times New Roman" w:eastAsia="Times New Roman" w:hAnsi="Times New Roman"/>
          <w:sz w:val="18"/>
          <w:szCs w:val="18"/>
          <w:color w:val="auto"/>
        </w:rPr>
        <w:t>– Focus on companies with generally less than 150 employees;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 Tenure </w:t>
      </w:r>
      <w:r>
        <w:rPr>
          <w:rFonts w:ascii="Times New Roman" w:cs="Times New Roman" w:eastAsia="Times New Roman" w:hAnsi="Times New Roman"/>
          <w:sz w:val="18"/>
          <w:szCs w:val="18"/>
          <w:color w:val="auto"/>
        </w:rPr>
        <w:t>– Preference for companies that have been public less than five years.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2040"/>
        <w:spacing w:after="0" w:line="282" w:lineRule="auto"/>
        <w:rPr>
          <w:sz w:val="20"/>
          <w:szCs w:val="20"/>
          <w:color w:val="auto"/>
        </w:rPr>
      </w:pPr>
      <w:r>
        <w:rPr>
          <w:rFonts w:ascii="Times New Roman" w:cs="Times New Roman" w:eastAsia="Times New Roman" w:hAnsi="Times New Roman"/>
          <w:sz w:val="18"/>
          <w:szCs w:val="18"/>
          <w:color w:val="auto"/>
        </w:rPr>
        <w:t>Based on these criteria and considerations, our peer group for 2021 until August 4, 2021, referred to as our 2021 peer group, as approved by our compensation committee consisted of the following companies:</w:t>
      </w:r>
    </w:p>
    <w:p>
      <w:pPr>
        <w:spacing w:after="0" w:line="25" w:lineRule="exact"/>
        <w:rPr>
          <w:sz w:val="20"/>
          <w:szCs w:val="20"/>
          <w:color w:val="auto"/>
        </w:rPr>
      </w:pPr>
    </w:p>
    <w:tbl>
      <w:tblPr>
        <w:tblLayout w:type="fixed"/>
        <w:tblInd w:w="1310" w:type="dxa"/>
        <w:tblCellMar>
          <w:top w:w="0" w:type="dxa"/>
          <w:left w:w="0" w:type="dxa"/>
          <w:bottom w:w="0" w:type="dxa"/>
          <w:right w:w="0" w:type="dxa"/>
        </w:tblCellMar>
      </w:tblPr>
      <w:tr>
        <w:trPr>
          <w:trHeight w:val="338"/>
        </w:trPr>
        <w:tc>
          <w:tcPr>
            <w:tcW w:w="4220" w:type="dxa"/>
            <w:vAlign w:val="bottom"/>
            <w:tcBorders>
              <w:top w:val="single" w:sz="8" w:color="auto"/>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AnaptysBio</w:t>
            </w:r>
          </w:p>
        </w:tc>
        <w:tc>
          <w:tcPr>
            <w:tcW w:w="42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Kezar Life Sciences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Arcus Biosciences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Kura Oncology</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Arvinas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Mersana Therapeutics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AVROBIO</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Precision BioSciences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344"/>
        </w:trPr>
        <w:tc>
          <w:tcPr>
            <w:tcW w:w="422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Constellation Pharmaceuticals</w:t>
            </w:r>
            <w:r>
              <w:rPr>
                <w:rFonts w:ascii="Times New Roman" w:cs="Times New Roman" w:eastAsia="Times New Roman" w:hAnsi="Times New Roman"/>
                <w:sz w:val="29"/>
                <w:szCs w:val="29"/>
                <w:color w:val="auto"/>
                <w:vertAlign w:val="superscript"/>
              </w:rPr>
              <w:t>(1)</w:t>
            </w:r>
          </w:p>
        </w:tc>
        <w:tc>
          <w:tcPr>
            <w:tcW w:w="42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Replimune Group</w:t>
            </w: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Harpoon Therapeutics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Rocket Pharmaceuticals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Homology Medicines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Syndax Pharmaceuticals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IDEAYA Biosciences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Turning Point Therapeutics</w:t>
            </w:r>
          </w:p>
        </w:tc>
      </w:tr>
      <w:tr>
        <w:trPr>
          <w:trHeight w:val="67"/>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Intellia Therapeutics</w:t>
            </w: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Y-mAbs Therapeutics</w:t>
            </w:r>
          </w:p>
        </w:tc>
      </w:tr>
      <w:tr>
        <w:trPr>
          <w:trHeight w:val="68"/>
        </w:trPr>
        <w:tc>
          <w:tcPr>
            <w:tcW w:w="1280" w:type="dxa"/>
            <w:vAlign w:val="bottom"/>
            <w:tcBorders>
              <w:left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r>
      <w:tr>
        <w:trPr>
          <w:trHeight w:val="277"/>
        </w:trPr>
        <w:tc>
          <w:tcPr>
            <w:tcW w:w="422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Jounce Therapeutics</w:t>
            </w:r>
          </w:p>
        </w:tc>
        <w:tc>
          <w:tcPr>
            <w:tcW w:w="4200" w:type="dxa"/>
            <w:vAlign w:val="bottom"/>
            <w:tcBorders>
              <w:right w:val="single" w:sz="8" w:color="auto"/>
            </w:tcBorders>
          </w:tcPr>
          <w:p>
            <w:pPr>
              <w:spacing w:after="0"/>
              <w:rPr>
                <w:sz w:val="24"/>
                <w:szCs w:val="24"/>
                <w:color w:val="auto"/>
              </w:rPr>
            </w:pPr>
          </w:p>
        </w:tc>
      </w:tr>
      <w:tr>
        <w:trPr>
          <w:trHeight w:val="54"/>
        </w:trPr>
        <w:tc>
          <w:tcPr>
            <w:tcW w:w="1280" w:type="dxa"/>
            <w:vAlign w:val="bottom"/>
            <w:tcBorders>
              <w:left w:val="single" w:sz="8" w:color="auto"/>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r>
      <w:tr>
        <w:trPr>
          <w:trHeight w:val="142"/>
        </w:trPr>
        <w:tc>
          <w:tcPr>
            <w:tcW w:w="1280" w:type="dxa"/>
            <w:vAlign w:val="bottom"/>
            <w:tcBorders>
              <w:bottom w:val="single" w:sz="8" w:color="auto"/>
            </w:tcBorders>
          </w:tcPr>
          <w:p>
            <w:pPr>
              <w:spacing w:after="0"/>
              <w:rPr>
                <w:sz w:val="12"/>
                <w:szCs w:val="12"/>
                <w:color w:val="auto"/>
              </w:rPr>
            </w:pPr>
          </w:p>
        </w:tc>
        <w:tc>
          <w:tcPr>
            <w:tcW w:w="2940" w:type="dxa"/>
            <w:vAlign w:val="bottom"/>
          </w:tcPr>
          <w:p>
            <w:pPr>
              <w:spacing w:after="0"/>
              <w:rPr>
                <w:sz w:val="12"/>
                <w:szCs w:val="12"/>
                <w:color w:val="auto"/>
              </w:rPr>
            </w:pPr>
          </w:p>
        </w:tc>
        <w:tc>
          <w:tcPr>
            <w:tcW w:w="4200" w:type="dxa"/>
            <w:vAlign w:val="bottom"/>
          </w:tcPr>
          <w:p>
            <w:pPr>
              <w:spacing w:after="0"/>
              <w:rPr>
                <w:sz w:val="12"/>
                <w:szCs w:val="12"/>
                <w:color w:val="auto"/>
              </w:rPr>
            </w:pPr>
          </w:p>
        </w:tc>
      </w:tr>
      <w:tr>
        <w:trPr>
          <w:trHeight w:val="21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Acquired by MorphoSys AG</w:t>
            </w:r>
          </w:p>
        </w:tc>
        <w:tc>
          <w:tcPr>
            <w:tcW w:w="4200" w:type="dxa"/>
            <w:vAlign w:val="bottom"/>
          </w:tcPr>
          <w:p>
            <w:pPr>
              <w:spacing w:after="0"/>
              <w:rPr>
                <w:sz w:val="18"/>
                <w:szCs w:val="18"/>
                <w:color w:val="auto"/>
              </w:rPr>
            </w:pPr>
          </w:p>
        </w:tc>
      </w:tr>
    </w:tbl>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2022 Peer Group</w:t>
      </w:r>
    </w:p>
    <w:p>
      <w:pPr>
        <w:spacing w:after="0" w:line="119" w:lineRule="exact"/>
        <w:rPr>
          <w:sz w:val="20"/>
          <w:szCs w:val="20"/>
          <w:color w:val="auto"/>
        </w:rPr>
      </w:pPr>
    </w:p>
    <w:p>
      <w:pPr>
        <w:ind w:left="1300" w:right="1400"/>
        <w:spacing w:after="0" w:line="282" w:lineRule="auto"/>
        <w:rPr>
          <w:sz w:val="20"/>
          <w:szCs w:val="20"/>
          <w:color w:val="auto"/>
        </w:rPr>
      </w:pPr>
      <w:r>
        <w:rPr>
          <w:rFonts w:ascii="Times New Roman" w:cs="Times New Roman" w:eastAsia="Times New Roman" w:hAnsi="Times New Roman"/>
          <w:sz w:val="18"/>
          <w:szCs w:val="18"/>
          <w:color w:val="auto"/>
        </w:rPr>
        <w:t>In August 2021, in consultant with our compensation consultant and our management, the compensation committee reviewed the peer criteria and revised it to the following:</w:t>
      </w:r>
    </w:p>
    <w:p>
      <w:pPr>
        <w:spacing w:after="0" w:line="50" w:lineRule="exact"/>
        <w:rPr>
          <w:sz w:val="20"/>
          <w:szCs w:val="20"/>
          <w:color w:val="auto"/>
        </w:rPr>
      </w:pPr>
    </w:p>
    <w:p>
      <w:pPr>
        <w:ind w:left="2000" w:hanging="348"/>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Sector </w:t>
      </w:r>
      <w:r>
        <w:rPr>
          <w:rFonts w:ascii="Times New Roman" w:cs="Times New Roman" w:eastAsia="Times New Roman" w:hAnsi="Times New Roman"/>
          <w:sz w:val="18"/>
          <w:szCs w:val="18"/>
          <w:color w:val="auto"/>
        </w:rPr>
        <w:t>– U.S. oncology companies;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Stage </w:t>
      </w:r>
      <w:r>
        <w:rPr>
          <w:rFonts w:ascii="Times New Roman" w:cs="Times New Roman" w:eastAsia="Times New Roman" w:hAnsi="Times New Roman"/>
          <w:sz w:val="18"/>
          <w:szCs w:val="18"/>
          <w:color w:val="auto"/>
        </w:rPr>
        <w:t>– Focus on early-stage pre-commercial companies (phase 1 or 2) where possible;</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Geography </w:t>
      </w:r>
      <w:r>
        <w:rPr>
          <w:rFonts w:ascii="Times New Roman" w:cs="Times New Roman" w:eastAsia="Times New Roman" w:hAnsi="Times New Roman"/>
          <w:sz w:val="18"/>
          <w:szCs w:val="18"/>
          <w:color w:val="auto"/>
        </w:rPr>
        <w:t>– Emphasis on companies located in major metro areas and in biopharma hubs;</w:t>
      </w:r>
    </w:p>
    <w:p>
      <w:pPr>
        <w:spacing w:after="0" w:line="117" w:lineRule="exact"/>
        <w:rPr>
          <w:rFonts w:ascii="Times New Roman" w:cs="Times New Roman" w:eastAsia="Times New Roman" w:hAnsi="Times New Roman"/>
          <w:sz w:val="18"/>
          <w:szCs w:val="18"/>
          <w:color w:val="auto"/>
        </w:rPr>
      </w:pPr>
    </w:p>
    <w:p>
      <w:pPr>
        <w:ind w:left="2000" w:right="1620" w:hanging="348"/>
        <w:spacing w:after="0" w:line="286" w:lineRule="auto"/>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Capitalization </w:t>
      </w:r>
      <w:r>
        <w:rPr>
          <w:rFonts w:ascii="Times New Roman" w:cs="Times New Roman" w:eastAsia="Times New Roman" w:hAnsi="Times New Roman"/>
          <w:sz w:val="18"/>
          <w:szCs w:val="18"/>
          <w:color w:val="auto"/>
        </w:rPr>
        <w:t>– Focus on companies with market cap between $500 million and $4.5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0.3x to 3x the projected post-IPO valuation at the time of selection; and</w:t>
      </w:r>
    </w:p>
    <w:p>
      <w:pPr>
        <w:spacing w:after="0" w:line="46"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Employee Headcount </w:t>
      </w:r>
      <w:r>
        <w:rPr>
          <w:rFonts w:ascii="Times New Roman" w:cs="Times New Roman" w:eastAsia="Times New Roman" w:hAnsi="Times New Roman"/>
          <w:sz w:val="18"/>
          <w:szCs w:val="18"/>
          <w:color w:val="auto"/>
        </w:rPr>
        <w:t>– Focus on companies with generally less than 150 employees.</w:t>
      </w:r>
    </w:p>
    <w:p>
      <w:pPr>
        <w:spacing w:after="0" w:line="121" w:lineRule="exact"/>
        <w:rPr>
          <w:sz w:val="20"/>
          <w:szCs w:val="20"/>
          <w:color w:val="auto"/>
        </w:rPr>
      </w:pPr>
    </w:p>
    <w:p>
      <w:pPr>
        <w:ind w:left="1300" w:right="1340"/>
        <w:spacing w:after="0" w:line="254" w:lineRule="auto"/>
        <w:rPr>
          <w:sz w:val="20"/>
          <w:szCs w:val="20"/>
          <w:color w:val="auto"/>
        </w:rPr>
      </w:pPr>
      <w:r>
        <w:rPr>
          <w:rFonts w:ascii="Times New Roman" w:cs="Times New Roman" w:eastAsia="Times New Roman" w:hAnsi="Times New Roman"/>
          <w:sz w:val="18"/>
          <w:szCs w:val="18"/>
          <w:color w:val="auto"/>
        </w:rPr>
        <w:t>Using the revised criteria, the compensation committee approved the peer group for use in making compensation decisions on and after August 4, 2021, referred to as our 2022 peer group. The compensation committee removed select companies due to one or more of the following: market capitalization falling outside the new market capitalization range; becoming a commercial stage company; or their therapeutic focus. Using the criteria above, the compensation committee added the following companies to the 2022 peer group: C4 Therapeutics, IGM Biosciences, Kinnate Biopharma, Kronos Bio, Kymera Therapeutics, Olema Pharmaceuticals, ORIC Pharmaceuticals, Prelude Therapeutics, Relay Therapeutics, Repare Therapeutics, Revolution Medicine, Shattuck Labs, Silverback Therapeutics and Zentalis Pharmaceuticals.</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2022 peer group, as adopted by the compensation committee, is reflected in the following chart: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320" w:type="dxa"/>
            <w:vAlign w:val="bottom"/>
            <w:tcBorders>
              <w:right w:val="single" w:sz="8" w:color="auto"/>
            </w:tcBorders>
          </w:tcPr>
          <w:p>
            <w:pPr>
              <w:spacing w:after="0"/>
              <w:rPr>
                <w:sz w:val="24"/>
                <w:szCs w:val="24"/>
                <w:color w:val="auto"/>
              </w:rPr>
            </w:pPr>
          </w:p>
        </w:tc>
        <w:tc>
          <w:tcPr>
            <w:tcW w:w="29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Arcus Biosciences</w:t>
            </w:r>
          </w:p>
        </w:tc>
        <w:tc>
          <w:tcPr>
            <w:tcW w:w="1280" w:type="dxa"/>
            <w:vAlign w:val="bottom"/>
            <w:tcBorders>
              <w:top w:val="single" w:sz="8" w:color="auto"/>
              <w:right w:val="single" w:sz="8" w:color="auto"/>
            </w:tcBorders>
          </w:tcPr>
          <w:p>
            <w:pPr>
              <w:spacing w:after="0"/>
              <w:rPr>
                <w:sz w:val="24"/>
                <w:szCs w:val="24"/>
                <w:color w:val="auto"/>
              </w:rPr>
            </w:pPr>
          </w:p>
        </w:tc>
        <w:tc>
          <w:tcPr>
            <w:tcW w:w="42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ORIC Pharmaceuticals</w:t>
            </w:r>
          </w:p>
        </w:tc>
        <w:tc>
          <w:tcPr>
            <w:tcW w:w="1300" w:type="dxa"/>
            <w:vAlign w:val="bottom"/>
          </w:tcPr>
          <w:p>
            <w:pPr>
              <w:spacing w:after="0"/>
              <w:rPr>
                <w:sz w:val="24"/>
                <w:szCs w:val="24"/>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Arvinas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Prelude Therapeutics</w:t>
            </w:r>
          </w:p>
        </w:tc>
        <w:tc>
          <w:tcPr>
            <w:tcW w:w="1300" w:type="dxa"/>
            <w:vAlign w:val="bottom"/>
          </w:tcPr>
          <w:p>
            <w:pPr>
              <w:spacing w:after="0"/>
              <w:rPr>
                <w:sz w:val="24"/>
                <w:szCs w:val="24"/>
                <w:color w:val="auto"/>
              </w:rPr>
            </w:pPr>
          </w:p>
        </w:tc>
      </w:tr>
      <w:tr>
        <w:trPr>
          <w:trHeight w:val="67"/>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 Therapeutics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Relay Therapeutics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IDEAYA Biosciences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Repare Therapeutics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IGM Biosciences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Replimune Group</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Kinnate Biopharma</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Revolution Medicine</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Kronos Bio</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Shattuck Labs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Kura Oncology</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Silverback Therapeutics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Kymera Therapeutics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Syndax Pharmaceuticals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Mersana Therapeutics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Turning Point Therapeutics</w:t>
            </w:r>
          </w:p>
        </w:tc>
        <w:tc>
          <w:tcPr>
            <w:tcW w:w="1300" w:type="dxa"/>
            <w:vAlign w:val="bottom"/>
          </w:tcPr>
          <w:p>
            <w:pPr>
              <w:spacing w:after="0"/>
              <w:rPr>
                <w:sz w:val="24"/>
                <w:szCs w:val="24"/>
                <w:color w:val="auto"/>
              </w:rPr>
            </w:pPr>
          </w:p>
        </w:tc>
      </w:tr>
      <w:tr>
        <w:trPr>
          <w:trHeight w:val="68"/>
        </w:trPr>
        <w:tc>
          <w:tcPr>
            <w:tcW w:w="1320" w:type="dxa"/>
            <w:vAlign w:val="bottom"/>
            <w:tcBorders>
              <w:right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20" w:type="dxa"/>
            <w:vAlign w:val="bottom"/>
            <w:tcBorders>
              <w:right w:val="single" w:sz="8" w:color="auto"/>
            </w:tcBorders>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Olema Pharmaceuticals</w:t>
            </w:r>
          </w:p>
        </w:tc>
        <w:tc>
          <w:tcPr>
            <w:tcW w:w="1280" w:type="dxa"/>
            <w:vAlign w:val="bottom"/>
            <w:tcBorders>
              <w:right w:val="single" w:sz="8" w:color="auto"/>
            </w:tcBorders>
          </w:tcPr>
          <w:p>
            <w:pPr>
              <w:spacing w:after="0"/>
              <w:rPr>
                <w:sz w:val="24"/>
                <w:szCs w:val="24"/>
                <w:color w:val="auto"/>
              </w:rPr>
            </w:pPr>
          </w:p>
        </w:tc>
        <w:tc>
          <w:tcPr>
            <w:tcW w:w="4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Zentalis Pharmaceuticals</w:t>
            </w:r>
          </w:p>
        </w:tc>
        <w:tc>
          <w:tcPr>
            <w:tcW w:w="1300" w:type="dxa"/>
            <w:vAlign w:val="bottom"/>
          </w:tcPr>
          <w:p>
            <w:pPr>
              <w:spacing w:after="0"/>
              <w:rPr>
                <w:sz w:val="24"/>
                <w:szCs w:val="24"/>
                <w:color w:val="auto"/>
              </w:rPr>
            </w:pPr>
          </w:p>
        </w:tc>
      </w:tr>
      <w:tr>
        <w:trPr>
          <w:trHeight w:val="54"/>
        </w:trPr>
        <w:tc>
          <w:tcPr>
            <w:tcW w:w="1320" w:type="dxa"/>
            <w:vAlign w:val="bottom"/>
            <w:tcBorders>
              <w:right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425"/>
        </w:trPr>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48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24"/>
                <w:szCs w:val="24"/>
                <w:color w:val="auto"/>
              </w:rPr>
            </w:pPr>
          </w:p>
        </w:tc>
      </w:tr>
      <w:tr>
        <w:trPr>
          <w:trHeight w:val="183"/>
        </w:trPr>
        <w:tc>
          <w:tcPr>
            <w:tcW w:w="13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38" w:lineRule="auto"/>
        <w:rPr>
          <w:sz w:val="20"/>
          <w:szCs w:val="20"/>
          <w:color w:val="auto"/>
        </w:rPr>
      </w:pPr>
      <w:r>
        <w:rPr>
          <w:rFonts w:ascii="Times New Roman" w:cs="Times New Roman" w:eastAsia="Times New Roman" w:hAnsi="Times New Roman"/>
          <w:sz w:val="18"/>
          <w:szCs w:val="18"/>
          <w:color w:val="auto"/>
        </w:rPr>
        <w:t>In setting compensation for our executive officers, including our named executive officers, the compensation committee uses competitive compensation data from an annual total compensation study of our selected peer companies and relevant survey sources to inform its decisions about overall compensation opportunities and specific compensation elements. However, the compensation committee uses our compensation peer group as only one data point when setting executive pay packages. While our compensation philosophy seeks to place cash compensation at generally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equity grants within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range, our compensation decisions consider many other factors, including, but not limited to, individual and company performance, internal equity, experience, and strategic needs. As a result of evaluating compensation based on the criteria described above, total target compensation for our named executive officers may in certain circumstances be above or below the targeted levels of the peer group or market data.</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Components</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consists of three primary elements: base salaries, annual cash incentives and long-term equity awards:</w:t>
      </w:r>
    </w:p>
    <w:p>
      <w:pPr>
        <w:spacing w:after="0" w:line="11"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2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Features</w:t>
            </w:r>
          </w:p>
        </w:tc>
      </w:tr>
      <w:tr>
        <w:trPr>
          <w:trHeight w:val="50"/>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259"/>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attract and retain highly skilled</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Fixed component of pay to provide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executives</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financial stability, based 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responsibilities, experience,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individual contributions and peer</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data</w:t>
            </w:r>
          </w:p>
        </w:tc>
      </w:tr>
      <w:tr>
        <w:trPr>
          <w:trHeight w:val="67"/>
        </w:trPr>
        <w:tc>
          <w:tcPr>
            <w:tcW w:w="280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r>
      <w:tr>
        <w:trPr>
          <w:trHeight w:val="259"/>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Program</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promote and reward the</w:t>
            </w:r>
          </w:p>
        </w:tc>
        <w:tc>
          <w:tcPr>
            <w:tcW w:w="2800" w:type="dxa"/>
            <w:vAlign w:val="bottom"/>
            <w:tcBorders>
              <w:right w:val="single" w:sz="8" w:color="auto"/>
            </w:tcBorders>
          </w:tcPr>
          <w:p>
            <w:pPr>
              <w:spacing w:after="0"/>
              <w:rPr>
                <w:sz w:val="22"/>
                <w:szCs w:val="22"/>
                <w:color w:val="auto"/>
              </w:rPr>
            </w:pP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achievement of key short-term</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Variable component of pay based on</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strategic and business goals of the</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annual quantitative and qualitative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as well as individual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assessment against</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to motivate and attract</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objectives related to clinical testing,</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executives</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pipeline and functional goals</w:t>
            </w:r>
          </w:p>
        </w:tc>
      </w:tr>
      <w:tr>
        <w:trPr>
          <w:trHeight w:val="67"/>
        </w:trPr>
        <w:tc>
          <w:tcPr>
            <w:tcW w:w="280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r>
      <w:tr>
        <w:trPr>
          <w:trHeight w:val="259"/>
        </w:trPr>
        <w:tc>
          <w:tcPr>
            <w:tcW w:w="28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encourage executives and other</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Delivered in the form of stock</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employees to focus on long-term</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options, subject to multi-year</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performance; to promote</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vesting based on continued service.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retention; to reward outstanding</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value that will be realized from</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and individual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these awards will depend on the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performance of our common stock</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price, to enable us to align executive</w:t>
            </w:r>
          </w:p>
        </w:tc>
      </w:tr>
      <w:tr>
        <w:trPr>
          <w:trHeight w:val="216"/>
        </w:trPr>
        <w:tc>
          <w:tcPr>
            <w:tcW w:w="280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interests with those of our</w:t>
            </w:r>
          </w:p>
        </w:tc>
      </w:tr>
      <w:tr>
        <w:trPr>
          <w:trHeight w:val="234"/>
        </w:trPr>
        <w:tc>
          <w:tcPr>
            <w:tcW w:w="2800" w:type="dxa"/>
            <w:vAlign w:val="bottom"/>
            <w:tcBorders>
              <w:left w:val="single" w:sz="8" w:color="auto"/>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stockholders over the longer term</w:t>
            </w:r>
          </w:p>
        </w:tc>
      </w:tr>
      <w:tr>
        <w:trPr>
          <w:trHeight w:val="54"/>
        </w:trPr>
        <w:tc>
          <w:tcPr>
            <w:tcW w:w="280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bl>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Base salary is the only fixed component of our executive officers’ total cash compensation and provides competitive pay to attract and retain our executives. Annual salary decisions are made in recognition of competitive data as well as the skills and experience that each individual brings to the Company and the performance contributions each makes.</w:t>
      </w:r>
    </w:p>
    <w:p>
      <w:pPr>
        <w:spacing w:after="0" w:line="7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Base salary changes in 2021 varied by executive due either to merit increases or market adjustments. Other factors were considered such as tenure, experience and the role of the individual.</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 Annualized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Annualized</w:t>
            </w:r>
          </w:p>
        </w:tc>
        <w:tc>
          <w:tcPr>
            <w:tcW w:w="1340" w:type="dxa"/>
            <w:vAlign w:val="bottom"/>
            <w:gridSpan w:val="2"/>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190"/>
        </w:trPr>
        <w:tc>
          <w:tcPr>
            <w:tcW w:w="5060" w:type="dxa"/>
            <w:vAlign w:val="bottom"/>
            <w:gridSpan w:val="2"/>
            <w:vMerge w:val="continue"/>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$525,000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$550,000</w:t>
            </w:r>
          </w:p>
        </w:tc>
        <w:tc>
          <w:tcPr>
            <w:tcW w:w="3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$437,100</w:t>
            </w:r>
          </w:p>
        </w:tc>
        <w:tc>
          <w:tcPr>
            <w:tcW w:w="300" w:type="dxa"/>
            <w:vAlign w:val="bottom"/>
          </w:tcPr>
          <w:p>
            <w:pPr>
              <w:spacing w:after="0"/>
              <w:rPr>
                <w:sz w:val="23"/>
                <w:szCs w:val="23"/>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$450,000</w:t>
            </w: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$445,000</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$458,300</w:t>
            </w:r>
          </w:p>
        </w:tc>
        <w:tc>
          <w:tcPr>
            <w:tcW w:w="3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$362,250</w:t>
            </w:r>
          </w:p>
        </w:tc>
        <w:tc>
          <w:tcPr>
            <w:tcW w:w="30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3"/>
              </w:rPr>
              <w:t>$390,000</w:t>
            </w:r>
            <w:r>
              <w:rPr>
                <w:rFonts w:ascii="Times New Roman" w:cs="Times New Roman" w:eastAsia="Times New Roman" w:hAnsi="Times New Roman"/>
                <w:sz w:val="29"/>
                <w:szCs w:val="29"/>
                <w:color w:val="auto"/>
                <w:w w:val="93"/>
                <w:vertAlign w:val="superscript"/>
              </w:rPr>
              <w:t>(1)</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-900430</wp:posOffset>
            </wp:positionV>
            <wp:extent cx="1885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-900430</wp:posOffset>
            </wp:positionV>
            <wp:extent cx="1885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-900430</wp:posOffset>
            </wp:positionV>
            <wp:extent cx="197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Jalota’s salary increase included her promotion to Chief Regulatory and Quality Officer.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Annual Cash Incentives</w:t>
      </w:r>
    </w:p>
    <w:p>
      <w:pPr>
        <w:spacing w:after="0" w:line="119" w:lineRule="exact"/>
        <w:rPr>
          <w:sz w:val="20"/>
          <w:szCs w:val="20"/>
          <w:color w:val="auto"/>
        </w:rPr>
      </w:pPr>
    </w:p>
    <w:p>
      <w:pPr>
        <w:ind w:left="1300" w:right="1440"/>
        <w:spacing w:after="0" w:line="258" w:lineRule="auto"/>
        <w:rPr>
          <w:sz w:val="20"/>
          <w:szCs w:val="20"/>
          <w:color w:val="auto"/>
        </w:rPr>
      </w:pPr>
      <w:r>
        <w:rPr>
          <w:rFonts w:ascii="Times New Roman" w:cs="Times New Roman" w:eastAsia="Times New Roman" w:hAnsi="Times New Roman"/>
          <w:sz w:val="18"/>
          <w:szCs w:val="18"/>
          <w:color w:val="auto"/>
        </w:rPr>
        <w:t>The Annual Cash Incentive Program (Bonus Plan) is designed to provide a financial incentive to reward executives for the achievement of a series of program-specific, pipeline and functional corporate goals. Payments under the plan are ultimately based on achievement of these pre-established corporate goals. Actual performance against targets, as measured by these pre-established corporate goals, determines the incentive payouts. Bonuses are typically paid in the quarter following the end of the performance period.</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Each executive officer is eligible for a bonus, which is given at target as a percentage of their base salary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2020 Target Bonus</w:t>
            </w: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2021 Target Bonus</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w:t>
            </w: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2020 Target Bonus ($)</w:t>
            </w:r>
          </w:p>
        </w:tc>
        <w:tc>
          <w:tcPr>
            <w:tcW w:w="1640" w:type="dxa"/>
            <w:vAlign w:val="bottom"/>
            <w:gridSpan w:val="2"/>
            <w:vMerge w:val="continue"/>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 Target Bonus ($)</w:t>
            </w:r>
          </w:p>
        </w:tc>
        <w:tc>
          <w:tcPr>
            <w:tcW w:w="0" w:type="dxa"/>
            <w:vAlign w:val="bottom"/>
          </w:tcPr>
          <w:p>
            <w:pPr>
              <w:spacing w:after="0"/>
              <w:rPr>
                <w:sz w:val="1"/>
                <w:szCs w:val="1"/>
                <w:color w:val="auto"/>
              </w:rPr>
            </w:pPr>
          </w:p>
        </w:tc>
      </w:tr>
      <w:tr>
        <w:trPr>
          <w:trHeight w:val="190"/>
        </w:trPr>
        <w:tc>
          <w:tcPr>
            <w:tcW w:w="2360" w:type="dxa"/>
            <w:vAlign w:val="bottom"/>
            <w:gridSpan w:val="2"/>
            <w:vMerge w:val="continue"/>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0" w:type="dxa"/>
            <w:vAlign w:val="bottom"/>
            <w:gridSpan w:val="2"/>
            <w:vMerge w:val="continue"/>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 % Salary</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18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$262,500</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$275,000</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11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$174,840</w:t>
            </w:r>
          </w:p>
        </w:tc>
        <w:tc>
          <w:tcPr>
            <w:tcW w:w="220" w:type="dxa"/>
            <w:vAlign w:val="bottom"/>
          </w:tcPr>
          <w:p>
            <w:pPr>
              <w:spacing w:after="0"/>
              <w:rPr>
                <w:sz w:val="23"/>
                <w:szCs w:val="23"/>
                <w:color w:val="auto"/>
              </w:rPr>
            </w:pPr>
          </w:p>
        </w:tc>
        <w:tc>
          <w:tcPr>
            <w:tcW w:w="1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$180,000</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118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$178,000</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$183,320</w:t>
            </w:r>
          </w:p>
        </w:tc>
        <w:tc>
          <w:tcPr>
            <w:tcW w:w="0" w:type="dxa"/>
            <w:vAlign w:val="bottom"/>
          </w:tcPr>
          <w:p>
            <w:pPr>
              <w:spacing w:after="0"/>
              <w:rPr>
                <w:sz w:val="1"/>
                <w:szCs w:val="1"/>
                <w:color w:val="auto"/>
              </w:rPr>
            </w:pPr>
          </w:p>
        </w:tc>
      </w:tr>
      <w:tr>
        <w:trPr>
          <w:trHeight w:val="42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1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$126,788</w:t>
            </w:r>
          </w:p>
        </w:tc>
        <w:tc>
          <w:tcPr>
            <w:tcW w:w="220" w:type="dxa"/>
            <w:vAlign w:val="bottom"/>
          </w:tcPr>
          <w:p>
            <w:pPr>
              <w:spacing w:after="0"/>
              <w:rPr>
                <w:sz w:val="24"/>
                <w:szCs w:val="24"/>
                <w:color w:val="auto"/>
              </w:rPr>
            </w:pPr>
          </w:p>
        </w:tc>
        <w:tc>
          <w:tcPr>
            <w:tcW w:w="1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-900430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-900430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-900430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2192020</wp:posOffset>
            </wp:positionH>
            <wp:positionV relativeFrom="paragraph">
              <wp:posOffset>-900430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93345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2" w:lineRule="exact"/>
        <w:rPr>
          <w:sz w:val="20"/>
          <w:szCs w:val="20"/>
          <w:color w:val="auto"/>
        </w:rPr>
      </w:pPr>
    </w:p>
    <w:p>
      <w:pPr>
        <w:ind w:left="1640" w:hanging="348"/>
        <w:spacing w:after="0"/>
        <w:tabs>
          <w:tab w:leader="none" w:pos="1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Jalota’s salary increase included her promotion to Chief Regulatory and Quality Officer.</w:t>
      </w:r>
    </w:p>
    <w:p>
      <w:pPr>
        <w:spacing w:after="0" w:line="100" w:lineRule="exact"/>
        <w:rPr>
          <w:sz w:val="20"/>
          <w:szCs w:val="20"/>
          <w:color w:val="auto"/>
        </w:rPr>
      </w:pPr>
    </w:p>
    <w:p>
      <w:pPr>
        <w:ind w:left="1300" w:right="1300"/>
        <w:spacing w:after="0" w:line="258" w:lineRule="auto"/>
        <w:rPr>
          <w:sz w:val="20"/>
          <w:szCs w:val="20"/>
          <w:color w:val="auto"/>
        </w:rPr>
      </w:pPr>
      <w:r>
        <w:rPr>
          <w:rFonts w:ascii="Times New Roman" w:cs="Times New Roman" w:eastAsia="Times New Roman" w:hAnsi="Times New Roman"/>
          <w:sz w:val="18"/>
          <w:szCs w:val="18"/>
          <w:color w:val="auto"/>
        </w:rPr>
        <w:t>The Company’s annual corporate goals are approved by our board of directors, following review and recommendation from the compensation committee at the beginning of each fiscal year. When establishing corporate goals, our board of directors considers the likelihood of success of each specific goal and considers the degree of challenge associated with each goal. At the end of each fiscal year, the compensation committee reviews and approves the extent to which we achieved our corporate goals.</w:t>
      </w:r>
    </w:p>
    <w:p>
      <w:pPr>
        <w:spacing w:after="0" w:line="1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2021 corporate performance goals were comprised of the following:</w:t>
      </w:r>
    </w:p>
    <w:p>
      <w:pPr>
        <w:spacing w:after="0" w:line="117" w:lineRule="exact"/>
        <w:rPr>
          <w:sz w:val="20"/>
          <w:szCs w:val="20"/>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 activation;</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enrollment for PC1458;</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strategic plans for clinical combinations;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clinical supply;</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developing our discovery pipeline; and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capital.</w:t>
      </w:r>
    </w:p>
    <w:p>
      <w:pPr>
        <w:spacing w:after="0" w:line="117" w:lineRule="exact"/>
        <w:rPr>
          <w:sz w:val="20"/>
          <w:szCs w:val="20"/>
          <w:color w:val="auto"/>
        </w:rPr>
      </w:pPr>
    </w:p>
    <w:p>
      <w:pPr>
        <w:ind w:left="1300" w:right="1360"/>
        <w:spacing w:after="0" w:line="256" w:lineRule="auto"/>
        <w:rPr>
          <w:sz w:val="20"/>
          <w:szCs w:val="20"/>
          <w:color w:val="auto"/>
        </w:rPr>
      </w:pPr>
      <w:r>
        <w:rPr>
          <w:rFonts w:ascii="Times New Roman" w:cs="Times New Roman" w:eastAsia="Times New Roman" w:hAnsi="Times New Roman"/>
          <w:sz w:val="18"/>
          <w:szCs w:val="18"/>
          <w:color w:val="auto"/>
        </w:rPr>
        <w:t>2021 was a year of myriad COVID-19-related disruptions. In spite of this, we met or exceeded our goals except we did not raise additional capital. The compensation committee considered additional accomplishments of fiscal year 2021, some of which could not have been anticipated or identified during the corporate goal setting process at the beginning of fiscal year 2021. Our compensation committee and board of directors considered the progress made on lead and pipeline programs, despite the COVID-19-related issues, was impressive and significantly exceeded expectations.</w:t>
      </w:r>
    </w:p>
    <w:p>
      <w:pPr>
        <w:spacing w:after="0" w:line="79" w:lineRule="exact"/>
        <w:rPr>
          <w:sz w:val="20"/>
          <w:szCs w:val="20"/>
          <w:color w:val="auto"/>
        </w:rPr>
      </w:pPr>
    </w:p>
    <w:p>
      <w:pPr>
        <w:ind w:left="1300" w:right="1480"/>
        <w:spacing w:after="0" w:line="282" w:lineRule="auto"/>
        <w:rPr>
          <w:sz w:val="20"/>
          <w:szCs w:val="20"/>
          <w:color w:val="auto"/>
        </w:rPr>
      </w:pPr>
      <w:r>
        <w:rPr>
          <w:rFonts w:ascii="Times New Roman" w:cs="Times New Roman" w:eastAsia="Times New Roman" w:hAnsi="Times New Roman"/>
          <w:sz w:val="18"/>
          <w:szCs w:val="18"/>
          <w:color w:val="auto"/>
        </w:rPr>
        <w:t>In light of the foregoing review and accomplishments in fiscal year 2021, the compensation committee determined to approve a bonus payout of 125% of target for each of our named executive officers.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resulting bonuses to our named executive officers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2021 Base Salary</w:t>
            </w: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2021 Target Bonus</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Goal</w:t>
            </w: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 Bonus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2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$275,000</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$343,750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$450,200</w:t>
            </w:r>
          </w:p>
        </w:tc>
        <w:tc>
          <w:tcPr>
            <w:tcW w:w="2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$180,800</w:t>
            </w:r>
          </w:p>
        </w:tc>
        <w:tc>
          <w:tcPr>
            <w:tcW w:w="260" w:type="dxa"/>
            <w:vAlign w:val="bottom"/>
          </w:tcPr>
          <w:p>
            <w:pPr>
              <w:spacing w:after="0"/>
              <w:rPr>
                <w:sz w:val="23"/>
                <w:szCs w:val="23"/>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$225,100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$458,300</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$183,320</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$229,150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$390,000</w:t>
            </w:r>
          </w:p>
        </w:tc>
        <w:tc>
          <w:tcPr>
            <w:tcW w:w="2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$156,000</w:t>
            </w:r>
          </w:p>
        </w:tc>
        <w:tc>
          <w:tcPr>
            <w:tcW w:w="260" w:type="dxa"/>
            <w:vAlign w:val="bottom"/>
          </w:tcPr>
          <w:p>
            <w:pPr>
              <w:spacing w:after="0"/>
              <w:rPr>
                <w:sz w:val="23"/>
                <w:szCs w:val="23"/>
                <w:color w:val="auto"/>
              </w:rPr>
            </w:pPr>
          </w:p>
        </w:tc>
        <w:tc>
          <w:tcPr>
            <w:tcW w:w="10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-1242060</wp:posOffset>
            </wp:positionV>
            <wp:extent cx="154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-1242060</wp:posOffset>
            </wp:positionV>
            <wp:extent cx="154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3863340</wp:posOffset>
            </wp:positionH>
            <wp:positionV relativeFrom="paragraph">
              <wp:posOffset>-1242060</wp:posOffset>
            </wp:positionV>
            <wp:extent cx="154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-1242060</wp:posOffset>
            </wp:positionV>
            <wp:extent cx="154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1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2021, we granted our executives’ target equity compensation in the form of time-vesting stock options. In determining the stock options to be awarded, the compensation committee balanced incentive and retention needs. The stock options granted in 2021 have a 10-year term and the exercise price was set equal to the fair market value at close on the date of grant. The stock option grants to our executive officers in 2021 were as follows:</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Options Granted</w:t>
            </w:r>
          </w:p>
        </w:tc>
      </w:tr>
      <w:tr>
        <w:trPr>
          <w:trHeight w:val="51"/>
        </w:trPr>
        <w:tc>
          <w:tcPr>
            <w:tcW w:w="6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216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134,584</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2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50,337</w:t>
            </w:r>
          </w:p>
        </w:tc>
      </w:tr>
      <w:tr>
        <w:trPr>
          <w:trHeight w:val="54"/>
        </w:trPr>
        <w:tc>
          <w:tcPr>
            <w:tcW w:w="6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60" w:type="dxa"/>
            <w:vAlign w:val="bottom"/>
          </w:tcPr>
          <w:p>
            <w:pPr>
              <w:spacing w:after="0"/>
              <w:rPr>
                <w:sz w:val="4"/>
                <w:szCs w:val="4"/>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216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36,279</w:t>
            </w:r>
          </w:p>
        </w:tc>
      </w:tr>
      <w:tr>
        <w:trPr>
          <w:trHeight w:val="27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216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22,674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-805180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Protections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are participants in our Change in Control and Severance Policy (the “Severance Policy”). The Severance Policy provides participants with severance in the event of certain qualifying terminations, including following a change in control of our company. We believe that these protections are necessary to provide our valuable executives with incentives to forego other employment opportunities and remain employed with us and to maintain continued focus and dedication to their responsibilities to maximize stockholder value, including if there is a potential transaction that could involve a change in control. In addition, these protections are available only if a named executive officer executes and does not revoke a general release of claims in favor of us. The terms and levels of benefits provided to our named executive officers under the Severance Policy were determined by our compensation committee, with input from our management team, and approved by our board of directors following a review of analysis prepared by our compensation consultant of relevant market data for other companies with whom we compete for executive talent.</w:t>
      </w:r>
    </w:p>
    <w:p>
      <w:pPr>
        <w:spacing w:after="0" w:line="8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For a summary of the material terms of the benefits provided to our named executive officers under the Severance Policy and an estimate of the payments and benefits that may be received by our named executive officers under the Severance Policy, see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Taxation of Parachute Payments and Deferred Compensation</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We do not provide, and have no obligation to provide, any of our named executive officers with a “gross-up” or other reimbursement payment for any tax liability he or she might owe because of the application of Sections 280G, 4999 or 409A of the Internal Revenue Code of 1986, as amended (the “Code”). If any of the payments or benefits provided for under the Severance Policy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Recovery (“Clawback”) Policy</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If we are required as a result of misconduct to restate our financial results due to our material noncompliance with any financial reporting requirements under the federal securities laws, our Chief Executive Officer and Chief Financial Officer may be legally required by the SEC to reimburse us for any bonus or other incentive-based or equity-based compensation they receive pursuant to the provisions of Section 304 of the Sarbanes-Oxley Act of 2002.</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David H. Mack, Ph.D.</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Dr. Mack, our President and Chief Executive Officer, on August 17, 2020. The confirmatory employment letter currently has no specific term and provides for at-will employment. Dr. Mack’s current annual base salary, effective as of March 1, 2022, is $566,500, and Dr. Mack’s annual target bonus is 50% of his annual base salary.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Winston Kung</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Mr. Kung, our Chief Operating Officer and Chief Financial Officer, on August 17, 2020. The confirmatory employment letter currently has no specific term and provides for at-will employment. Mr. Kung’s current annual base salary, effective as of March 1, 2022, is $463,706, and Mr. Kung’s annual target bonus is 40% of his annual base salary.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Leila Alland, M.D.</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We entered into a confirmatory employment letter with Dr. Alland, our Chief Medical Officer, on August 18, 2020. The confirmatory employment letter has no specific term and provides for at-will employment. Dr. Alland’s current annual base salary, effective as of March 1, 2022, is $472,049, and Dr. Alland’s annual target bonus is 40% of her annual base salary.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Deepika Jalota, Pharm.D.</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We have entered into a confirmatory employment letter with Dr. Jalota, our Chief Regulatory and Quality Officer, updated as of February 22, 2021 in connection with her promotion in fiscal year 2021. The confirmatory employment letter has no specific term and provides for at-will employment. Dr. Jalota’s current annual base salary, effective as of March 1, 2022, $401,700, and Dr. Jalota’s annual target bonus is 40% of her annual base salary.</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account for equity-based compensation paid to employees under FASB ASC Topic 718, which requires us to estimate and record an expense over the service period of an award. Thus, we may record an expense in one year for awards granted in earlier years. Accounting rules also require the recording of cash compensation as an expense at the time the obligation is incurred.</w:t>
      </w:r>
    </w:p>
    <w:p>
      <w:pPr>
        <w:spacing w:after="0" w:line="72"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Section 162(m) of the Code generally prohibits us from deducting any compensation over $1 million per taxable year paid to certain of our executive officers. The Tax Cuts and Jobs Act of 2017 among other changes, repealed the exception from the deduction limit under Section 162(m) for performance-based compensation effective for taxable years beginning after December 31, 2017, such that compensation paid to our covered executive officers in excess of $1 million will not be deductible, unless it qualifies for transition relief applicable to certain arrangements in place as of November 2, 2017 that are not materially modified after that date. Section 162(m) and the deduction of performance-based compensation remained in effect for our fiscal year ended December 31, 2019, but will not apply in future fiscal years. In addition, the regulations promulgated under Section 162(m) of the Code contain a transition rule that applies to companies, such as ours, that become subject to Section 162(m) of the Code by reason of becoming publicly held prior to a certain date. Pursuant to this rule, certain compensation granted during a transition period (and, with respect to restricted stock units, that are paid out before the end of the transition period)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neither our compensation committee nor its authorized committee has adopted a policy that all equity or other compensation must be deductible.</w:t>
      </w:r>
    </w:p>
    <w:p>
      <w:pPr>
        <w:spacing w:after="0" w:line="290" w:lineRule="exact"/>
        <w:rPr>
          <w:sz w:val="20"/>
          <w:szCs w:val="20"/>
          <w:color w:val="auto"/>
        </w:rPr>
      </w:pPr>
    </w:p>
    <w:p>
      <w:pPr>
        <w:ind w:left="300" w:right="359"/>
        <w:spacing w:after="0" w:line="281" w:lineRule="auto"/>
        <w:rPr>
          <w:sz w:val="20"/>
          <w:szCs w:val="20"/>
          <w:color w:val="auto"/>
        </w:rPr>
      </w:pPr>
      <w:r>
        <w:rPr>
          <w:rFonts w:ascii="Times New Roman" w:cs="Times New Roman" w:eastAsia="Times New Roman" w:hAnsi="Times New Roman"/>
          <w:sz w:val="17"/>
          <w:szCs w:val="17"/>
          <w:color w:val="auto"/>
        </w:rPr>
        <w:t>Further, while the compensation committee may consider the deductibility of equity awards and cash and other compensation as one factor in determining executive compensation, the compensation committee also looks at other factors in making its decisions and retains the flexibility to award compensation that it determines to be consistent with the goals of our executive compensation program even if the awards are not deductible by us for tax purposes.</w:t>
      </w:r>
    </w:p>
    <w:p>
      <w:pPr>
        <w:spacing w:after="0" w:line="56" w:lineRule="exact"/>
        <w:rPr>
          <w:sz w:val="20"/>
          <w:szCs w:val="20"/>
          <w:color w:val="auto"/>
        </w:rPr>
      </w:pPr>
    </w:p>
    <w:p>
      <w:pPr>
        <w:jc w:val="both"/>
        <w:ind w:left="300" w:right="519"/>
        <w:spacing w:after="0" w:line="266" w:lineRule="auto"/>
        <w:rPr>
          <w:sz w:val="20"/>
          <w:szCs w:val="20"/>
          <w:color w:val="auto"/>
        </w:rPr>
      </w:pPr>
      <w:r>
        <w:rPr>
          <w:rFonts w:ascii="Times New Roman" w:cs="Times New Roman" w:eastAsia="Times New Roman" w:hAnsi="Times New Roman"/>
          <w:sz w:val="18"/>
          <w:szCs w:val="18"/>
          <w:color w:val="auto"/>
        </w:rPr>
        <w:t>In addition to considering the tax consequences, the compensation committee generally considers the accounting consequences of its decisions, including the impact of expenses being recognized in connection with equity-based awards, in determining the size and form of different equity-based awards.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reviews the Company’s general compensation strategy and reviews the risks arising from the Company’s compensation policies and practices for all employees that are reasonably likely to have a material adverse effect on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Prohibiting Hedging or Pledging of Securities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In addition, our executive officers and the members of our board of directors are prohibited from, directly or indirectly, pledging any of our securities as collateral for any loans and holding our securities in a margin account.</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CD&amp;A provided above. Based on its review and discussions, the compensation committee recommended to the board of directors that the CD&amp;A Analysis be included in this proxy statement and incorporates it by reference to our Annual Report on Form 10-K for the fiscal year ended December 31, 2021.</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Richard Heyman, Ph.D.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Laurie Stelzer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Charles M. Baum, M.D., Ph.D.</w:t>
      </w:r>
    </w:p>
    <w:p>
      <w:pPr>
        <w:spacing w:after="0" w:line="97"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shall not be deemed to be “soliciting material” or “filed” with the SEC or subject to the liabilities of Section 18 of the Exchange Act, except to the extent that PMV Pharmaceuticals specifically requests that the information be treated as soliciting material or incorporates it by reference into a document filed under the Securities Act or the Exchange 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reportable for our named executive officers for fiscal 2021, 2020 and 2019.</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Pension Value</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880" w:type="dxa"/>
            <w:vAlign w:val="bottom"/>
            <w:gridSpan w:val="2"/>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90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7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104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1"/>
                <w:szCs w:val="11"/>
                <w:b w:val="1"/>
                <w:bCs w:val="1"/>
                <w:color w:val="auto"/>
              </w:rPr>
              <w:t>Compensation</w:t>
            </w:r>
            <w:r>
              <w:rPr>
                <w:rFonts w:ascii="Times New Roman" w:cs="Times New Roman" w:eastAsia="Times New Roman" w:hAnsi="Times New Roman"/>
                <w:sz w:val="18"/>
                <w:szCs w:val="18"/>
                <w:b w:val="1"/>
                <w:bCs w:val="1"/>
                <w:color w:val="auto"/>
                <w:vertAlign w:val="superscript"/>
              </w:rPr>
              <w:t>(2)</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64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620" w:type="dxa"/>
            <w:vAlign w:val="bottom"/>
            <w:gridSpan w:val="2"/>
          </w:tcPr>
          <w:p>
            <w:pPr>
              <w:jc w:val="cente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54"/>
        </w:trPr>
        <w:tc>
          <w:tcPr>
            <w:tcW w:w="1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H. Mack, Ph.D.</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545,454</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2,652,651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343,750</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3,541,855</w:t>
            </w:r>
          </w:p>
        </w:tc>
        <w:tc>
          <w:tcPr>
            <w:tcW w:w="0" w:type="dxa"/>
            <w:vAlign w:val="bottom"/>
          </w:tcPr>
          <w:p>
            <w:pPr>
              <w:spacing w:after="0"/>
              <w:rPr>
                <w:sz w:val="1"/>
                <w:szCs w:val="1"/>
                <w:color w:val="auto"/>
              </w:rPr>
            </w:pPr>
          </w:p>
        </w:tc>
      </w:tr>
      <w:tr>
        <w:trPr>
          <w:trHeight w:val="203"/>
        </w:trPr>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Chief Executive</w:t>
            </w:r>
          </w:p>
        </w:tc>
        <w:tc>
          <w:tcPr>
            <w:tcW w:w="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494,647</w:t>
            </w:r>
          </w:p>
        </w:tc>
        <w:tc>
          <w:tcPr>
            <w:tcW w:w="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543,788</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275,678</w:t>
            </w:r>
          </w:p>
        </w:tc>
        <w:tc>
          <w:tcPr>
            <w:tcW w:w="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1,314,113</w:t>
            </w:r>
          </w:p>
        </w:tc>
        <w:tc>
          <w:tcPr>
            <w:tcW w:w="0" w:type="dxa"/>
            <w:vAlign w:val="bottom"/>
          </w:tcPr>
          <w:p>
            <w:pPr>
              <w:spacing w:after="0"/>
              <w:rPr>
                <w:sz w:val="1"/>
                <w:szCs w:val="1"/>
                <w:color w:val="auto"/>
              </w:rPr>
            </w:pPr>
          </w:p>
        </w:tc>
      </w:tr>
      <w:tr>
        <w:trPr>
          <w:trHeight w:val="118"/>
        </w:trPr>
        <w:tc>
          <w:tcPr>
            <w:tcW w:w="2200" w:type="dxa"/>
            <w:vAlign w:val="bottom"/>
            <w:gridSpan w:val="3"/>
            <w:vMerge w:val="restart"/>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Officer and Director</w:t>
            </w:r>
          </w:p>
        </w:tc>
        <w:tc>
          <w:tcPr>
            <w:tcW w:w="4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20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461,250</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166,860</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628,110</w:t>
            </w:r>
          </w:p>
        </w:tc>
        <w:tc>
          <w:tcPr>
            <w:tcW w:w="0" w:type="dxa"/>
            <w:vAlign w:val="bottom"/>
          </w:tcPr>
          <w:p>
            <w:pPr>
              <w:spacing w:after="0"/>
              <w:rPr>
                <w:sz w:val="1"/>
                <w:szCs w:val="1"/>
                <w:color w:val="auto"/>
              </w:rPr>
            </w:pPr>
          </w:p>
        </w:tc>
      </w:tr>
      <w:tr>
        <w:trPr>
          <w:trHeight w:val="251"/>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Winston Kung</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448,017</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992,142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225,100</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1,665,259</w:t>
            </w:r>
          </w:p>
        </w:tc>
        <w:tc>
          <w:tcPr>
            <w:tcW w:w="0" w:type="dxa"/>
            <w:vAlign w:val="bottom"/>
          </w:tcPr>
          <w:p>
            <w:pPr>
              <w:spacing w:after="0"/>
              <w:rPr>
                <w:sz w:val="1"/>
                <w:szCs w:val="1"/>
                <w:color w:val="auto"/>
              </w:rPr>
            </w:pPr>
          </w:p>
        </w:tc>
      </w:tr>
      <w:tr>
        <w:trPr>
          <w:trHeight w:val="203"/>
        </w:trPr>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Operating Officer and</w:t>
            </w:r>
          </w:p>
        </w:tc>
        <w:tc>
          <w:tcPr>
            <w:tcW w:w="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427,535</w:t>
            </w:r>
          </w:p>
        </w:tc>
        <w:tc>
          <w:tcPr>
            <w:tcW w:w="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216,142</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181,397</w:t>
            </w:r>
          </w:p>
        </w:tc>
        <w:tc>
          <w:tcPr>
            <w:tcW w:w="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825,365</w:t>
            </w:r>
          </w:p>
        </w:tc>
        <w:tc>
          <w:tcPr>
            <w:tcW w:w="0" w:type="dxa"/>
            <w:vAlign w:val="bottom"/>
          </w:tcPr>
          <w:p>
            <w:pPr>
              <w:spacing w:after="0"/>
              <w:rPr>
                <w:sz w:val="1"/>
                <w:szCs w:val="1"/>
                <w:color w:val="auto"/>
              </w:rPr>
            </w:pPr>
          </w:p>
        </w:tc>
      </w:tr>
      <w:tr>
        <w:trPr>
          <w:trHeight w:val="118"/>
        </w:trPr>
        <w:tc>
          <w:tcPr>
            <w:tcW w:w="2200" w:type="dxa"/>
            <w:vAlign w:val="bottom"/>
            <w:gridSpan w:val="3"/>
            <w:vMerge w:val="restart"/>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4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20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6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410,000</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152,440</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562,440</w:t>
            </w:r>
          </w:p>
        </w:tc>
        <w:tc>
          <w:tcPr>
            <w:tcW w:w="0" w:type="dxa"/>
            <w:vAlign w:val="bottom"/>
          </w:tcPr>
          <w:p>
            <w:pPr>
              <w:spacing w:after="0"/>
              <w:rPr>
                <w:sz w:val="1"/>
                <w:szCs w:val="1"/>
                <w:color w:val="auto"/>
              </w:rPr>
            </w:pPr>
          </w:p>
        </w:tc>
      </w:tr>
      <w:tr>
        <w:trPr>
          <w:trHeight w:val="251"/>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Leila Alland, M.D.</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456,083</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715,059</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229,150</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1,400,292</w:t>
            </w:r>
          </w:p>
        </w:tc>
        <w:tc>
          <w:tcPr>
            <w:tcW w:w="0" w:type="dxa"/>
            <w:vAlign w:val="bottom"/>
          </w:tcPr>
          <w:p>
            <w:pPr>
              <w:spacing w:after="0"/>
              <w:rPr>
                <w:sz w:val="1"/>
                <w:szCs w:val="1"/>
                <w:color w:val="auto"/>
              </w:rPr>
            </w:pPr>
          </w:p>
        </w:tc>
      </w:tr>
      <w:tr>
        <w:trPr>
          <w:trHeight w:val="212"/>
        </w:trPr>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4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445,000</w:t>
            </w:r>
          </w:p>
        </w:tc>
        <w:tc>
          <w:tcPr>
            <w:tcW w:w="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50,000</w:t>
            </w:r>
          </w:p>
        </w:tc>
        <w:tc>
          <w:tcPr>
            <w:tcW w:w="4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944,974</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184,675</w:t>
            </w:r>
          </w:p>
        </w:tc>
        <w:tc>
          <w:tcPr>
            <w:tcW w:w="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1,674,649</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vMerge w:val="continue"/>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Deepika Jalota, Pharm.D.</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384,958</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446,905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195,000</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1,026,863</w:t>
            </w:r>
          </w:p>
        </w:tc>
        <w:tc>
          <w:tcPr>
            <w:tcW w:w="0" w:type="dxa"/>
            <w:vAlign w:val="bottom"/>
          </w:tcPr>
          <w:p>
            <w:pPr>
              <w:spacing w:after="0"/>
              <w:rPr>
                <w:sz w:val="1"/>
                <w:szCs w:val="1"/>
                <w:color w:val="auto"/>
              </w:rPr>
            </w:pPr>
          </w:p>
        </w:tc>
      </w:tr>
      <w:tr>
        <w:trPr>
          <w:trHeight w:val="202"/>
        </w:trPr>
        <w:tc>
          <w:tcPr>
            <w:tcW w:w="2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Regulatory and Quality</w:t>
            </w:r>
          </w:p>
        </w:tc>
        <w:tc>
          <w:tcPr>
            <w:tcW w:w="4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360,208</w:t>
            </w:r>
          </w:p>
        </w:tc>
        <w:tc>
          <w:tcPr>
            <w:tcW w:w="8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42,508</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129,957</w:t>
            </w:r>
          </w:p>
        </w:tc>
        <w:tc>
          <w:tcPr>
            <w:tcW w:w="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532,673</w:t>
            </w:r>
          </w:p>
        </w:tc>
        <w:tc>
          <w:tcPr>
            <w:tcW w:w="0" w:type="dxa"/>
            <w:vAlign w:val="bottom"/>
          </w:tcPr>
          <w:p>
            <w:pPr>
              <w:spacing w:after="0"/>
              <w:rPr>
                <w:sz w:val="1"/>
                <w:szCs w:val="1"/>
                <w:color w:val="auto"/>
              </w:rPr>
            </w:pPr>
          </w:p>
        </w:tc>
      </w:tr>
      <w:tr>
        <w:trPr>
          <w:trHeight w:val="118"/>
        </w:trPr>
        <w:tc>
          <w:tcPr>
            <w:tcW w:w="2200" w:type="dxa"/>
            <w:vAlign w:val="bottom"/>
            <w:gridSpan w:val="3"/>
            <w:vMerge w:val="restart"/>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i w:val="1"/>
                <w:iCs w:val="1"/>
                <w:color w:val="auto"/>
              </w:rPr>
              <w:t>Officer</w:t>
            </w:r>
          </w:p>
        </w:tc>
        <w:tc>
          <w:tcPr>
            <w:tcW w:w="40" w:type="dxa"/>
            <w:vAlign w:val="bottom"/>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200" w:type="dxa"/>
            <w:vAlign w:val="bottom"/>
            <w:gridSpan w:val="3"/>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196,875</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203,888</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116,375</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517,138</w:t>
            </w: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-2879725</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-2879725</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-2879725</wp:posOffset>
            </wp:positionV>
            <wp:extent cx="34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-2879725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-2879725</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-2879725</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-2879725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-2879725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-2879725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 w:lineRule="exact"/>
        <w:rPr>
          <w:sz w:val="20"/>
          <w:szCs w:val="20"/>
          <w:color w:val="auto"/>
        </w:rPr>
      </w:pPr>
    </w:p>
    <w:p>
      <w:pPr>
        <w:ind w:left="640" w:right="319" w:hanging="348"/>
        <w:spacing w:after="0" w:line="23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2021 included in the Company’s Annual Report on Form 10-K for such year. Represents grants of options pursuant to our 2020 Equity Incentive Plan as described further in the table of outstanding equity awards below.</w:t>
      </w:r>
    </w:p>
    <w:p>
      <w:pPr>
        <w:spacing w:after="0" w:line="15"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2021 amounts reported cash bonuses earned our 2021 bonus plan based upon the achievement of company objectives for the year ended December 31, 2021, which were paid in 2022. The 2020 amounts reported represent cash bonuses earned under our 2020 bonus plan based upon the achievement of company objectives for the year ended December 31, 2020, which were paid in 2021. The 2019 amounts reported represent cash bonuses earned under our 2019 bonus plan based upon the achievement of company objectives for the year ended December 31, 2019, which were paid in 2020.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2021</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our named executive officers, concerning grants of plan-based awards made during fiscal 2021.</w:t>
      </w:r>
    </w:p>
    <w:p>
      <w:pPr>
        <w:spacing w:after="0" w:line="10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8"/>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188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8"/>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Non-Equity Incentive Plan Awards</w:t>
            </w:r>
          </w:p>
        </w:tc>
        <w:tc>
          <w:tcPr>
            <w:tcW w:w="188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Equity Incentive Plan Awards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1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All Other</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Exercise or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Base Price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Option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Grant</w:t>
            </w:r>
          </w:p>
        </w:tc>
        <w:tc>
          <w:tcPr>
            <w:tcW w:w="1640" w:type="dxa"/>
            <w:vAlign w:val="bottom"/>
            <w:gridSpan w:val="6"/>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Threshold Target Maximum</w:t>
            </w: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5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of Stock or</w:t>
            </w:r>
          </w:p>
        </w:tc>
        <w:tc>
          <w:tcPr>
            <w:tcW w:w="6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6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and Option</w:t>
            </w:r>
          </w:p>
        </w:tc>
        <w:tc>
          <w:tcPr>
            <w:tcW w:w="0" w:type="dxa"/>
            <w:vAlign w:val="bottom"/>
          </w:tcPr>
          <w:p>
            <w:pPr>
              <w:spacing w:after="0"/>
              <w:rPr>
                <w:sz w:val="1"/>
                <w:szCs w:val="1"/>
                <w:color w:val="auto"/>
              </w:rPr>
            </w:pPr>
          </w:p>
        </w:tc>
      </w:tr>
      <w:tr>
        <w:trPr>
          <w:trHeight w:val="229"/>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3"/>
                <w:szCs w:val="13"/>
                <w:b w:val="1"/>
                <w:bCs w:val="1"/>
                <w:color w:val="auto"/>
                <w:w w:val="84"/>
              </w:rPr>
              <w:t>(#)</w:t>
            </w:r>
            <w:r>
              <w:rPr>
                <w:rFonts w:ascii="Times New Roman" w:cs="Times New Roman" w:eastAsia="Times New Roman" w:hAnsi="Times New Roman"/>
                <w:sz w:val="20"/>
                <w:szCs w:val="20"/>
                <w:b w:val="1"/>
                <w:bCs w:val="1"/>
                <w:color w:val="auto"/>
                <w:w w:val="84"/>
                <w:vertAlign w:val="superscript"/>
              </w:rPr>
              <w:t>(1)</w:t>
            </w:r>
          </w:p>
        </w:tc>
        <w:tc>
          <w:tcPr>
            <w:tcW w:w="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3"/>
                <w:szCs w:val="13"/>
                <w:b w:val="1"/>
                <w:bCs w:val="1"/>
                <w:color w:val="auto"/>
                <w:w w:val="91"/>
              </w:rPr>
              <w:t>Awards</w:t>
            </w:r>
            <w:r>
              <w:rPr>
                <w:rFonts w:ascii="Times New Roman" w:cs="Times New Roman" w:eastAsia="Times New Roman" w:hAnsi="Times New Roman"/>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5/12/2021</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134,587</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2,652,651</w:t>
            </w:r>
          </w:p>
        </w:tc>
        <w:tc>
          <w:tcPr>
            <w:tcW w:w="0" w:type="dxa"/>
            <w:vAlign w:val="bottom"/>
          </w:tcPr>
          <w:p>
            <w:pPr>
              <w:spacing w:after="0"/>
              <w:rPr>
                <w:sz w:val="1"/>
                <w:szCs w:val="1"/>
                <w:color w:val="auto"/>
              </w:rPr>
            </w:pPr>
          </w:p>
        </w:tc>
      </w:tr>
      <w:tr>
        <w:trPr>
          <w:trHeight w:val="215"/>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Winston Kung</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5/12/2021</w:t>
            </w:r>
          </w:p>
        </w:tc>
        <w:tc>
          <w:tcPr>
            <w:tcW w:w="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50,337</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992,142</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Leila Alland, M.D.</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5/12/2021</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36,279</w:t>
            </w: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715,059</w:t>
            </w: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Deepika Jalota, Pharm.D.</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5/12/2021</w:t>
            </w:r>
          </w:p>
        </w:tc>
        <w:tc>
          <w:tcPr>
            <w:tcW w:w="6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22,674</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446,905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-641985</wp:posOffset>
            </wp:positionV>
            <wp:extent cx="34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-641985</wp:posOffset>
            </wp:positionV>
            <wp:extent cx="342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-641985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-641985</wp:posOffset>
            </wp:positionV>
            <wp:extent cx="34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-641985</wp:posOffset>
            </wp:positionV>
            <wp:extent cx="342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-641985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-641985</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-641985</wp:posOffset>
            </wp:positionV>
            <wp:extent cx="3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-641985</wp:posOffset>
            </wp:positionV>
            <wp:extent cx="34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-641985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-641985</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8" w:lineRule="exact"/>
        <w:rPr>
          <w:sz w:val="20"/>
          <w:szCs w:val="20"/>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the option vest in 48 equal monthly installments beginning on June 12, 2021.</w:t>
      </w:r>
    </w:p>
    <w:p>
      <w:pPr>
        <w:spacing w:after="0" w:line="41"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options calculated in accordance with Financial Accounting Standards Board Accounting Standards Codification Topic 718—Compensation—Stock Compensation (“ASC 718”). Such grant-date fair value does not take into account any estimated forfeitures related to performance or service vesting conditions. Information about the assumptions used in the calculation of these amounts are included in Note 2 and Note 9 to the Company’s financial statements for the year ended December 31, 2021 included in the Company’s Annual Report on Form 10-K for such year. Represents grants of options pursuant to our 2020 Equity Incentive Plan as described further in the table of outstanding equity awards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52"/>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660" w:type="dxa"/>
            <w:vAlign w:val="bottom"/>
          </w:tcPr>
          <w:p>
            <w:pPr>
              <w:spacing w:after="0"/>
              <w:rPr>
                <w:sz w:val="13"/>
                <w:szCs w:val="13"/>
                <w:color w:val="auto"/>
              </w:rPr>
            </w:pPr>
          </w:p>
        </w:tc>
      </w:tr>
      <w:tr>
        <w:trPr>
          <w:trHeight w:val="60"/>
        </w:trPr>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186"/>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Equity</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Incentive</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 or</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Payout</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rPr>
              <w:t>Plan</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Market</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Unearned</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Unearned</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Shares,</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Shares,</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Units or</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Shares or</w:t>
            </w:r>
          </w:p>
        </w:tc>
        <w:tc>
          <w:tcPr>
            <w:tcW w:w="6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Units or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4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Units of</w:t>
            </w:r>
          </w:p>
        </w:tc>
        <w:tc>
          <w:tcPr>
            <w:tcW w:w="6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Stock That</w:t>
            </w:r>
          </w:p>
        </w:tc>
        <w:tc>
          <w:tcPr>
            <w:tcW w:w="6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Rights</w:t>
            </w:r>
          </w:p>
        </w:tc>
      </w:tr>
      <w:tr>
        <w:trPr>
          <w:trHeight w:val="135"/>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Unexercised</w:t>
            </w:r>
          </w:p>
        </w:tc>
        <w:tc>
          <w:tcPr>
            <w:tcW w:w="4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Stock That</w:t>
            </w:r>
          </w:p>
        </w:tc>
        <w:tc>
          <w:tcPr>
            <w:tcW w:w="6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64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Rights That</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Have</w:t>
            </w:r>
          </w:p>
        </w:tc>
      </w:tr>
      <w:tr>
        <w:trPr>
          <w:trHeight w:val="118"/>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2"/>
                <w:szCs w:val="12"/>
                <w:b w:val="1"/>
                <w:bCs w:val="1"/>
                <w:color w:val="auto"/>
              </w:rPr>
              <w:t>Grant</w:t>
            </w:r>
          </w:p>
        </w:tc>
        <w:tc>
          <w:tcPr>
            <w:tcW w:w="7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Options (#)</w:t>
            </w:r>
          </w:p>
        </w:tc>
        <w:tc>
          <w:tcPr>
            <w:tcW w:w="8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7"/>
              </w:rPr>
              <w:t>Options (#)</w:t>
            </w:r>
          </w:p>
        </w:tc>
        <w:tc>
          <w:tcPr>
            <w:tcW w:w="7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w w:val="94"/>
              </w:rPr>
              <w:t>Unearned</w:t>
            </w:r>
          </w:p>
        </w:tc>
        <w:tc>
          <w:tcPr>
            <w:tcW w:w="4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6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62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5"/>
              </w:rPr>
              <w:t>Have Not</w:t>
            </w:r>
          </w:p>
        </w:tc>
        <w:tc>
          <w:tcPr>
            <w:tcW w:w="6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6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5"/>
              </w:rPr>
              <w:t>Not Vested</w:t>
            </w:r>
          </w:p>
        </w:tc>
      </w:tr>
      <w:tr>
        <w:trPr>
          <w:trHeight w:val="22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9"/>
                <w:szCs w:val="19"/>
                <w:b w:val="1"/>
                <w:bCs w:val="1"/>
                <w:color w:val="auto"/>
                <w:vertAlign w:val="superscript"/>
              </w:rPr>
              <w:t>(1)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Exercisable</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Options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w:t>
            </w:r>
            <w:r>
              <w:rPr>
                <w:rFonts w:ascii="Times New Roman" w:cs="Times New Roman" w:eastAsia="Times New Roman" w:hAnsi="Times New Roman"/>
                <w:sz w:val="19"/>
                <w:szCs w:val="19"/>
                <w:b w:val="1"/>
                <w:bCs w:val="1"/>
                <w:color w:val="auto"/>
                <w:w w:val="90"/>
                <w:vertAlign w:val="superscript"/>
              </w:rPr>
              <w:t>(2)</w:t>
            </w: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Vested (#)</w:t>
            </w:r>
          </w:p>
        </w:tc>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Vested (#)</w:t>
            </w:r>
          </w:p>
        </w:tc>
        <w:tc>
          <w:tcPr>
            <w:tcW w:w="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264"/>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05/12/2015</w:t>
            </w:r>
            <w:r>
              <w:rPr>
                <w:rFonts w:ascii="Times New Roman" w:cs="Times New Roman" w:eastAsia="Times New Roman" w:hAnsi="Times New Roman"/>
                <w:sz w:val="22"/>
                <w:szCs w:val="22"/>
                <w:color w:val="auto"/>
                <w:w w:val="96"/>
                <w:vertAlign w:val="superscript"/>
              </w:rPr>
              <w:t>(3)</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426,366</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0.53</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05/11/2025</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6"/>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11/16/2016 </w:t>
            </w:r>
            <w:r>
              <w:rPr>
                <w:rFonts w:ascii="Times New Roman" w:cs="Times New Roman" w:eastAsia="Times New Roman" w:hAnsi="Times New Roman"/>
                <w:sz w:val="22"/>
                <w:szCs w:val="22"/>
                <w:color w:val="auto"/>
                <w:w w:val="97"/>
                <w:vertAlign w:val="superscript"/>
              </w:rPr>
              <w:t>(4)</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240,643</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1.37</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11/15/2016</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05/16/2017</w:t>
            </w:r>
            <w:r>
              <w:rPr>
                <w:rFonts w:ascii="Times New Roman" w:cs="Times New Roman" w:eastAsia="Times New Roman" w:hAnsi="Times New Roman"/>
                <w:sz w:val="22"/>
                <w:szCs w:val="22"/>
                <w:color w:val="auto"/>
                <w:w w:val="96"/>
                <w:vertAlign w:val="superscript"/>
              </w:rPr>
              <w:t>(5)</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460,769</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2.95</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05/15/2017</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03/10/2020</w:t>
            </w:r>
            <w:r>
              <w:rPr>
                <w:rFonts w:ascii="Times New Roman" w:cs="Times New Roman" w:eastAsia="Times New Roman" w:hAnsi="Times New Roman"/>
                <w:sz w:val="22"/>
                <w:szCs w:val="22"/>
                <w:color w:val="auto"/>
                <w:w w:val="96"/>
                <w:vertAlign w:val="superscript"/>
              </w:rPr>
              <w:t>(6)</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96,117</w:t>
            </w:r>
          </w:p>
        </w:tc>
        <w:tc>
          <w:tcPr>
            <w:tcW w:w="80" w:type="dxa"/>
            <w:vAlign w:val="bottom"/>
          </w:tcPr>
          <w:p>
            <w:pPr>
              <w:spacing w:after="0"/>
              <w:rPr>
                <w:sz w:val="22"/>
                <w:szCs w:val="22"/>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123,631</w:t>
            </w:r>
          </w:p>
        </w:tc>
        <w:tc>
          <w:tcPr>
            <w:tcW w:w="80" w:type="dxa"/>
            <w:vAlign w:val="bottom"/>
          </w:tcPr>
          <w:p>
            <w:pPr>
              <w:spacing w:after="0"/>
              <w:rPr>
                <w:sz w:val="22"/>
                <w:szCs w:val="2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3.90</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03/09/2020</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H. Mack, Ph.D.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05/12/2021</w:t>
            </w:r>
            <w:r>
              <w:rPr>
                <w:rFonts w:ascii="Times New Roman" w:cs="Times New Roman" w:eastAsia="Times New Roman" w:hAnsi="Times New Roman"/>
                <w:sz w:val="22"/>
                <w:szCs w:val="22"/>
                <w:color w:val="auto"/>
                <w:w w:val="96"/>
                <w:vertAlign w:val="superscript"/>
              </w:rPr>
              <w:t>(7)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19,626</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114,958</w:t>
            </w: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05/11/2021</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Winston Kung</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02/22/2018</w:t>
            </w:r>
            <w:r>
              <w:rPr>
                <w:rFonts w:ascii="Times New Roman" w:cs="Times New Roman" w:eastAsia="Times New Roman" w:hAnsi="Times New Roman"/>
                <w:sz w:val="22"/>
                <w:szCs w:val="22"/>
                <w:color w:val="auto"/>
                <w:w w:val="96"/>
                <w:vertAlign w:val="superscript"/>
              </w:rPr>
              <w:t>(8)</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476,045</w:t>
            </w:r>
          </w:p>
        </w:tc>
        <w:tc>
          <w:tcPr>
            <w:tcW w:w="8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3.22</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02/21/2028</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Winston Kung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03/10/2020</w:t>
            </w:r>
            <w:r>
              <w:rPr>
                <w:rFonts w:ascii="Times New Roman" w:cs="Times New Roman" w:eastAsia="Times New Roman" w:hAnsi="Times New Roman"/>
                <w:sz w:val="22"/>
                <w:szCs w:val="22"/>
                <w:color w:val="auto"/>
                <w:w w:val="96"/>
                <w:vertAlign w:val="superscript"/>
              </w:rPr>
              <w:t>(6)</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38,262</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49,200</w:t>
            </w: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3.90</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03/09/2030</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Winston Kung</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05/12/2021</w:t>
            </w:r>
            <w:r>
              <w:rPr>
                <w:rFonts w:ascii="Times New Roman" w:cs="Times New Roman" w:eastAsia="Times New Roman" w:hAnsi="Times New Roman"/>
                <w:sz w:val="22"/>
                <w:szCs w:val="22"/>
                <w:color w:val="auto"/>
                <w:w w:val="96"/>
                <w:vertAlign w:val="superscript"/>
              </w:rPr>
              <w:t>(7)</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7,340</w:t>
            </w:r>
          </w:p>
        </w:tc>
        <w:tc>
          <w:tcPr>
            <w:tcW w:w="80" w:type="dxa"/>
            <w:vAlign w:val="bottom"/>
          </w:tcPr>
          <w:p>
            <w:pPr>
              <w:spacing w:after="0"/>
              <w:rPr>
                <w:sz w:val="22"/>
                <w:szCs w:val="22"/>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42,997</w:t>
            </w:r>
          </w:p>
        </w:tc>
        <w:tc>
          <w:tcPr>
            <w:tcW w:w="80" w:type="dxa"/>
            <w:vAlign w:val="bottom"/>
          </w:tcPr>
          <w:p>
            <w:pPr>
              <w:spacing w:after="0"/>
              <w:rPr>
                <w:sz w:val="22"/>
                <w:szCs w:val="2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05/11/2031</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Leila Alland, M.D.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02/05/2020</w:t>
            </w:r>
            <w:r>
              <w:rPr>
                <w:rFonts w:ascii="Times New Roman" w:cs="Times New Roman" w:eastAsia="Times New Roman" w:hAnsi="Times New Roman"/>
                <w:sz w:val="22"/>
                <w:szCs w:val="22"/>
                <w:color w:val="auto"/>
                <w:w w:val="96"/>
                <w:vertAlign w:val="superscript"/>
              </w:rPr>
              <w:t>(9)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164,914</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188,935</w:t>
            </w: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3.90</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02/04/2030</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Leila Alland, M.D.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05/12/2021</w:t>
            </w:r>
            <w:r>
              <w:rPr>
                <w:rFonts w:ascii="Times New Roman" w:cs="Times New Roman" w:eastAsia="Times New Roman" w:hAnsi="Times New Roman"/>
                <w:sz w:val="22"/>
                <w:szCs w:val="22"/>
                <w:color w:val="auto"/>
                <w:w w:val="96"/>
                <w:vertAlign w:val="superscript"/>
              </w:rPr>
              <w:t>(7)</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5,290</w:t>
            </w:r>
          </w:p>
        </w:tc>
        <w:tc>
          <w:tcPr>
            <w:tcW w:w="80" w:type="dxa"/>
            <w:vAlign w:val="bottom"/>
          </w:tcPr>
          <w:p>
            <w:pPr>
              <w:spacing w:after="0"/>
              <w:rPr>
                <w:sz w:val="22"/>
                <w:szCs w:val="22"/>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30,989</w:t>
            </w:r>
          </w:p>
        </w:tc>
        <w:tc>
          <w:tcPr>
            <w:tcW w:w="80" w:type="dxa"/>
            <w:vAlign w:val="bottom"/>
          </w:tcPr>
          <w:p>
            <w:pPr>
              <w:spacing w:after="0"/>
              <w:rPr>
                <w:sz w:val="22"/>
                <w:szCs w:val="2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05/11/2031</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Deepika Jalota, Pharm.D.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08/21/2019</w:t>
            </w:r>
            <w:r>
              <w:rPr>
                <w:rFonts w:ascii="Times New Roman" w:cs="Times New Roman" w:eastAsia="Times New Roman" w:hAnsi="Times New Roman"/>
                <w:sz w:val="22"/>
                <w:szCs w:val="22"/>
                <w:color w:val="auto"/>
                <w:w w:val="97"/>
                <w:vertAlign w:val="superscript"/>
              </w:rPr>
              <w:t>(10)</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53,479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33,841</w:t>
            </w: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3.53</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08/20/2029</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6"/>
        </w:trPr>
        <w:tc>
          <w:tcPr>
            <w:tcW w:w="1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Deepika Jalota, Pharm.D.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03/10/2020</w:t>
            </w:r>
            <w:r>
              <w:rPr>
                <w:rFonts w:ascii="Times New Roman" w:cs="Times New Roman" w:eastAsia="Times New Roman" w:hAnsi="Times New Roman"/>
                <w:sz w:val="22"/>
                <w:szCs w:val="22"/>
                <w:color w:val="auto"/>
                <w:w w:val="96"/>
                <w:vertAlign w:val="superscript"/>
              </w:rPr>
              <w:t>(6)</w:t>
            </w:r>
          </w:p>
        </w:tc>
        <w:tc>
          <w:tcPr>
            <w:tcW w:w="80" w:type="dxa"/>
            <w:vAlign w:val="bottom"/>
          </w:tcPr>
          <w:p>
            <w:pPr>
              <w:spacing w:after="0"/>
              <w:rPr>
                <w:sz w:val="22"/>
                <w:szCs w:val="22"/>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7,455</w:t>
            </w:r>
          </w:p>
        </w:tc>
        <w:tc>
          <w:tcPr>
            <w:tcW w:w="80" w:type="dxa"/>
            <w:vAlign w:val="bottom"/>
          </w:tcPr>
          <w:p>
            <w:pPr>
              <w:spacing w:after="0"/>
              <w:rPr>
                <w:sz w:val="22"/>
                <w:szCs w:val="22"/>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9,638</w:t>
            </w:r>
          </w:p>
        </w:tc>
        <w:tc>
          <w:tcPr>
            <w:tcW w:w="80" w:type="dxa"/>
            <w:vAlign w:val="bottom"/>
          </w:tcPr>
          <w:p>
            <w:pPr>
              <w:spacing w:after="0"/>
              <w:rPr>
                <w:sz w:val="22"/>
                <w:szCs w:val="2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3.90</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03/09/2030</w:t>
            </w:r>
          </w:p>
        </w:tc>
        <w:tc>
          <w:tcPr>
            <w:tcW w:w="40" w:type="dxa"/>
            <w:vAlign w:val="bottom"/>
          </w:tcPr>
          <w:p>
            <w:pPr>
              <w:spacing w:after="0"/>
              <w:rPr>
                <w:sz w:val="22"/>
                <w:szCs w:val="2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57"/>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Deepika Jalota, Pharm.D.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05/15/2021</w:t>
            </w:r>
            <w:r>
              <w:rPr>
                <w:rFonts w:ascii="Times New Roman" w:cs="Times New Roman" w:eastAsia="Times New Roman" w:hAnsi="Times New Roman"/>
                <w:sz w:val="22"/>
                <w:szCs w:val="22"/>
                <w:color w:val="auto"/>
                <w:w w:val="96"/>
                <w:vertAlign w:val="superscript"/>
              </w:rPr>
              <w:t>(7)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3,306</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19,368</w:t>
            </w:r>
          </w:p>
        </w:tc>
        <w:tc>
          <w:tcPr>
            <w:tcW w:w="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05/14/2030</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-2134235</wp:posOffset>
            </wp:positionV>
            <wp:extent cx="342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-2134235</wp:posOffset>
            </wp:positionV>
            <wp:extent cx="342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-2134235</wp:posOffset>
            </wp:positionV>
            <wp:extent cx="34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-2134235</wp:posOffset>
            </wp:positionV>
            <wp:extent cx="342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-2134235</wp:posOffset>
            </wp:positionV>
            <wp:extent cx="34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-2134235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-2134235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-2134235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-2134235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-2134235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99" w:hanging="348"/>
        <w:spacing w:after="0" w:line="24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options to purchase shares of our common stock granted prior to September 21, 2020 were granted pursuant to our 2013 Plan (as defined below), and outstanding options to purchase shares of our common stock granted on or after September 21, 2020, were granted pursuant to our 2020 Plan (as defined below).</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fair market value of a share of our common stock on the date of grant, as determined by our board of directors.</w:t>
      </w:r>
    </w:p>
    <w:p>
      <w:pPr>
        <w:spacing w:after="0" w:line="41"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ind w:left="640" w:right="4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of our common stock underlying it in monthly installments after November 16, 2016, subject to the named executive officer’s continued service through each vesting date.</w:t>
      </w:r>
    </w:p>
    <w:p>
      <w:pPr>
        <w:ind w:left="640" w:right="53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of our common stock underlying it in monthly installments after May 16, 2017, subject to the named executive officer’s continued service through each vesting date.</w:t>
      </w:r>
    </w:p>
    <w:p>
      <w:pPr>
        <w:ind w:left="640" w:right="43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of our common stock underlying it in monthly installments after March 10, 2020, subject to the named executive officer’s continued service through each vesting date.</w:t>
      </w:r>
    </w:p>
    <w:p>
      <w:pPr>
        <w:ind w:left="640" w:right="53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1/48th of the shares of our common stock underlying it in monthly installments after May 12, 2021, subject to the named executive officer’s continued service through each vesting date.</w:t>
      </w:r>
    </w:p>
    <w:p>
      <w:pPr>
        <w:ind w:left="640" w:right="399" w:hanging="348"/>
        <w:spacing w:after="0" w:line="23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subject to achievement of a performance vesting condition that was achieved.</w:t>
      </w:r>
    </w:p>
    <w:p>
      <w:pPr>
        <w:spacing w:after="0" w:line="15"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1/4th of the shares of our common stock underlying it on December 3, 2020, and as to 1/48th in monthly installments after the initial vesting date, subject to the named executive officer’s continued service through each vesting date.</w:t>
      </w:r>
    </w:p>
    <w:p>
      <w:pPr>
        <w:ind w:left="640" w:right="57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1/4th of the shares of our common stock underlying it on June 10, 2020, and as to 1/48th in monthly installments after the initial vesting date, subject to the named executive officer’s continued service through each vesting date.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2021</w:t>
      </w:r>
    </w:p>
    <w:p>
      <w:pPr>
        <w:spacing w:after="0" w:line="121" w:lineRule="exact"/>
        <w:rPr>
          <w:sz w:val="20"/>
          <w:szCs w:val="20"/>
          <w:color w:val="auto"/>
        </w:rPr>
      </w:pPr>
    </w:p>
    <w:p>
      <w:pPr>
        <w:ind w:left="300" w:right="799"/>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number of shares acquired, and the value realized upon the exercise of stock options and the vesting of restricted stock units during fiscal 2021 by each of our named executive officers.</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1"/>
        </w:trPr>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80" w:type="dxa"/>
            <w:vAlign w:val="bottom"/>
            <w:gridSpan w:val="2"/>
            <w:vMerge w:val="continue"/>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0" w:type="dxa"/>
            <w:vAlign w:val="bottom"/>
          </w:tcPr>
          <w:p>
            <w:pPr>
              <w:spacing w:after="0"/>
              <w:rPr>
                <w:sz w:val="1"/>
                <w:szCs w:val="1"/>
                <w:color w:val="auto"/>
              </w:rPr>
            </w:pPr>
          </w:p>
        </w:tc>
      </w:tr>
      <w:tr>
        <w:trPr>
          <w:trHeight w:val="50"/>
        </w:trPr>
        <w:tc>
          <w:tcPr>
            <w:tcW w:w="32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66,500</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2,165,010</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160" w:type="dxa"/>
            <w:vAlign w:val="bottom"/>
          </w:tcPr>
          <w:p>
            <w:pPr>
              <w:spacing w:after="0"/>
              <w:rPr>
                <w:sz w:val="23"/>
                <w:szCs w:val="23"/>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676,342</w:t>
            </w:r>
          </w:p>
        </w:tc>
        <w:tc>
          <w:tcPr>
            <w:tcW w:w="16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24,000</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708,146</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2,896</w:t>
            </w:r>
          </w:p>
        </w:tc>
        <w:tc>
          <w:tcPr>
            <w:tcW w:w="160" w:type="dxa"/>
            <w:vAlign w:val="bottom"/>
          </w:tcPr>
          <w:p>
            <w:pPr>
              <w:spacing w:after="0"/>
              <w:rPr>
                <w:sz w:val="23"/>
                <w:szCs w:val="23"/>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87,591</w:t>
            </w:r>
          </w:p>
        </w:tc>
        <w:tc>
          <w:tcPr>
            <w:tcW w:w="16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-805180</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-805180</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-805180</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-805180</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our employees, including Dr. Mack, Mr. Kung and Dr. Alland and Dr. Jalota,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7"/>
          <w:szCs w:val="17"/>
          <w:i w:val="1"/>
          <w:iCs w:val="1"/>
          <w:color w:val="auto"/>
        </w:rPr>
        <w:t>Change in Control and Severance Policy</w:t>
      </w:r>
      <w:r>
        <w:rPr>
          <w:rFonts w:ascii="Times New Roman" w:cs="Times New Roman" w:eastAsia="Times New Roman" w:hAnsi="Times New Roman"/>
          <w:sz w:val="17"/>
          <w:szCs w:val="17"/>
          <w:color w:val="auto"/>
        </w:rPr>
        <w:t>. Each of our named executive officers are participants in our Severance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Policy. In August 2020 (and for Dr. Jalota, updated in February 2021 in connection with her promotion in fiscal year 2021), we entered into amended and restated change in control and severance participation agreements with Dr. Mack, Mr. Kung, Dr. Alland and Dr. Jalota, which supersede all previous arrangements we had previously entered into with our named executive officers. Under each of these agreements, if, within the period three months prior to and 12 months following a “change in control” (such period, the change in control period), we terminate the employment of the applicable named executive officer other than for “cause”, death or “disability” or the applicable named executive officer terminates his or her employment for “good reason” (as such terms are defined in the named executive officer’s change in control and severance agreement) and the named executive officer executes a separation agreement and release of claims that becomes effective and irrevocable within 60 days following the named executive officer’s termination, the named executive officer is entitled to receive (i) a lump sum severance payment, less applicable withholdings, equal to 100% of the named executive officer’s base salary, as then in effect, or 150% for Dr. Mack, (ii) a lump sum payment, less applicable withholdings, equal to 100% of the named executive officer’s target bonus for the performance year in which such termination occurred, or 150% for Dr. Mack,</w:t>
      </w:r>
    </w:p>
    <w:p>
      <w:pPr>
        <w:spacing w:after="0" w:line="11" w:lineRule="exact"/>
        <w:rPr>
          <w:sz w:val="20"/>
          <w:szCs w:val="20"/>
          <w:color w:val="auto"/>
        </w:rPr>
      </w:pPr>
    </w:p>
    <w:p>
      <w:pPr>
        <w:jc w:val="both"/>
        <w:ind w:left="300" w:right="539" w:hanging="8"/>
        <w:spacing w:after="0" w:line="253" w:lineRule="auto"/>
        <w:tabs>
          <w:tab w:leader="none" w:pos="6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premiums to maintain group health insurance continuation benefits pursuant to the Consolidated Omnibus Budget Reconciliation Act of 1985, as amended (“COBRA”) for the employee and the named executive officer’s dependents through 12 months following such termination, or 18 months for Dr. Mack, and (iv) accelerated vesting as to 100% of the employee’s outstanding unvested equity awards.</w:t>
      </w:r>
    </w:p>
    <w:p>
      <w:pPr>
        <w:spacing w:after="0" w:line="81" w:lineRule="exact"/>
        <w:rPr>
          <w:sz w:val="20"/>
          <w:szCs w:val="20"/>
          <w:color w:val="auto"/>
        </w:rPr>
      </w:pPr>
    </w:p>
    <w:p>
      <w:pPr>
        <w:ind w:left="300" w:right="499"/>
        <w:spacing w:after="0" w:line="253" w:lineRule="auto"/>
        <w:rPr>
          <w:sz w:val="20"/>
          <w:szCs w:val="20"/>
          <w:color w:val="auto"/>
        </w:rPr>
      </w:pPr>
      <w:r>
        <w:rPr>
          <w:rFonts w:ascii="Times New Roman" w:cs="Times New Roman" w:eastAsia="Times New Roman" w:hAnsi="Times New Roman"/>
          <w:sz w:val="18"/>
          <w:szCs w:val="18"/>
          <w:color w:val="auto"/>
        </w:rPr>
        <w:t>In addition, under each of these agreements, if, outside of the change in control period, we terminate the employment of the applicable named executive officer other than for cause, death or disability, and the named executive officer executes a separation agreement and release of claims that becomes effective and irrevocable within 60 days following the employee’s termination, the employee is entitled to receive (i) a lump sum severance payment, less applicable withholdings, equal to 9 months of the named executive officer’s base salary, as then in effect, or 12 months for Dr. Mack, (ii) payment or reimbursement of premiums to maintain group health insurance continuation benefits pursuant to COBRA for the employee and the named executive officer’s dependents through nine months following such termination, or 12 months for Dr. Mack, and (iii) accelerated vesting of time-based equity awards granted prior to the effective date of the first registration statement that is filed by the Company and declared effective pursuant to Section 12(b) of the Exchange Act, with respect to the Company’s common stock in an amount that would have vested had the named executive officer’s employment continued through 6 months following such termination, or 12 months in the case of Dr. Mack.</w:t>
      </w:r>
    </w:p>
    <w:p>
      <w:pPr>
        <w:spacing w:after="0" w:line="82" w:lineRule="exact"/>
        <w:rPr>
          <w:sz w:val="20"/>
          <w:szCs w:val="20"/>
          <w:color w:val="auto"/>
        </w:rPr>
      </w:pPr>
    </w:p>
    <w:p>
      <w:pPr>
        <w:ind w:left="300" w:right="699"/>
        <w:spacing w:after="0" w:line="312" w:lineRule="auto"/>
        <w:rPr>
          <w:sz w:val="20"/>
          <w:szCs w:val="20"/>
          <w:color w:val="auto"/>
        </w:rPr>
      </w:pPr>
      <w:r>
        <w:rPr>
          <w:rFonts w:ascii="Times New Roman" w:cs="Times New Roman" w:eastAsia="Times New Roman" w:hAnsi="Times New Roman"/>
          <w:sz w:val="17"/>
          <w:szCs w:val="17"/>
          <w:color w:val="auto"/>
        </w:rPr>
        <w:t>Under each of these agreements, in the event any payment to, or benefits received by, the applicable employee pursuant to his or her change in control and severance agreement would be subject to the excise tax imposed by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Section 4999 of the Code (as a result of a payment being classified as a parachute payment under Section 280G of the Code), the employee will receive such payment as would entitle the employee to receive the greatest after-tax benefit, even if it means that we pay him or her a lower aggregate payment so as to minimize or eliminate the potential excise tax imposed by Section 4999 of the Code.</w:t>
      </w:r>
    </w:p>
    <w:p>
      <w:pPr>
        <w:spacing w:after="0" w:line="7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18"/>
          <w:szCs w:val="18"/>
          <w:color w:val="auto"/>
        </w:rPr>
        <w:t>. Our 2020 Equity Incentive Plan (the “2020 Plan”) provides that in the event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 in control, as defined under our 2020 Plan, each outstanding award will be treated as the administrator determines, without a participant’s consent. The administrator is not required to treat all awards, all awards held by a participant or all awards of the same type similarly.</w:t>
      </w:r>
    </w:p>
    <w:p>
      <w:pPr>
        <w:spacing w:after="0" w:line="7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86"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7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i w:val="1"/>
          <w:iCs w:val="1"/>
          <w:color w:val="auto"/>
        </w:rPr>
        <w:t>2013 Equity Incentive Plan</w:t>
      </w:r>
      <w:r>
        <w:rPr>
          <w:rFonts w:ascii="Times New Roman" w:cs="Times New Roman" w:eastAsia="Times New Roman" w:hAnsi="Times New Roman"/>
          <w:sz w:val="18"/>
          <w:szCs w:val="18"/>
          <w:color w:val="auto"/>
        </w:rPr>
        <w:t>. Our 2013 Equity Incentive Plan (the “2013 Plan”) provides that in the event of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 in control, as defined under our 2013 Plan, each outstanding award will be treated as the administrator determines. The administrator is not required to treat all awards, all awards held by a participant or all awards of the same type similarly.</w:t>
      </w:r>
    </w:p>
    <w:p>
      <w:pPr>
        <w:spacing w:after="0" w:line="74" w:lineRule="exact"/>
        <w:rPr>
          <w:sz w:val="20"/>
          <w:szCs w:val="20"/>
          <w:color w:val="auto"/>
        </w:rPr>
      </w:pPr>
    </w:p>
    <w:p>
      <w:pPr>
        <w:ind w:left="300" w:right="439"/>
        <w:spacing w:after="0" w:line="269" w:lineRule="auto"/>
        <w:rPr>
          <w:sz w:val="20"/>
          <w:szCs w:val="20"/>
          <w:color w:val="auto"/>
        </w:rPr>
      </w:pPr>
      <w:r>
        <w:rPr>
          <w:rFonts w:ascii="Times New Roman" w:cs="Times New Roman" w:eastAsia="Times New Roman" w:hAnsi="Times New Roman"/>
          <w:sz w:val="17"/>
          <w:szCs w:val="17"/>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w:t>
      </w:r>
    </w:p>
    <w:p>
      <w:pPr>
        <w:spacing w:after="0" w:line="3" w:lineRule="exact"/>
        <w:rPr>
          <w:sz w:val="20"/>
          <w:szCs w:val="20"/>
          <w:color w:val="auto"/>
        </w:rPr>
      </w:pPr>
    </w:p>
    <w:p>
      <w:pPr>
        <w:ind w:left="300" w:right="339" w:hanging="8"/>
        <w:spacing w:after="0" w:line="251"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effective date of a change in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following table shows the potential payments and benefits that we would be obligated to make or provide upon termination of employment of each of our named executive officers. For purposes of this table, it is assumed that each named executive officer’s employment terminated at the close of business on December 31, 2021, the last day of our fiscal year 2021.</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Cash ($)</w:t>
            </w:r>
          </w:p>
        </w:tc>
        <w:tc>
          <w:tcPr>
            <w:tcW w:w="3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 ($)</w:t>
            </w:r>
          </w:p>
        </w:tc>
        <w:tc>
          <w:tcPr>
            <w:tcW w:w="3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50"/>
        </w:trPr>
        <w:tc>
          <w:tcPr>
            <w:tcW w:w="47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311"/>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2,574,841.81</w:t>
            </w:r>
          </w:p>
        </w:tc>
        <w:tc>
          <w:tcPr>
            <w:tcW w:w="13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3,820,709.81</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638,119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970,464.31</w:t>
            </w:r>
          </w:p>
        </w:tc>
        <w:tc>
          <w:tcPr>
            <w:tcW w:w="13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1,608,583.31</w:t>
            </w:r>
          </w:p>
        </w:tc>
      </w:tr>
      <w:tr>
        <w:trPr>
          <w:trHeight w:val="54"/>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Leila Alland, M.D.</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641,620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1,086,130.35</w:t>
            </w:r>
          </w:p>
        </w:tc>
        <w:tc>
          <w:tcPr>
            <w:tcW w:w="1320" w:type="dxa"/>
            <w:vAlign w:val="bottom"/>
            <w:tcBorders>
              <w:bottom w:val="single" w:sz="8" w:color="CCEEFF"/>
            </w:tcBorders>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1,727,750.35</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Deepika Jalota, Pharm.D.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549,522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490,7433.71</w:t>
            </w:r>
          </w:p>
        </w:tc>
        <w:tc>
          <w:tcPr>
            <w:tcW w:w="13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1,040,255.71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-805180</wp:posOffset>
            </wp:positionV>
            <wp:extent cx="2228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-805180</wp:posOffset>
            </wp:positionV>
            <wp:extent cx="2228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-805180</wp:posOffset>
            </wp:positionV>
            <wp:extent cx="2228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2021. Information is included for equity compensation plans approved by our stockholders. We do not have any equity compensation plans not approved by our stockholders.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4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40" w:type="dxa"/>
            <w:vAlign w:val="bottom"/>
            <w:gridSpan w:val="5"/>
            <w:vMerge w:val="continue"/>
          </w:tcPr>
          <w:p>
            <w:pPr>
              <w:spacing w:after="0"/>
              <w:rPr>
                <w:sz w:val="12"/>
                <w:szCs w:val="12"/>
                <w:color w:val="auto"/>
              </w:rPr>
            </w:pP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4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1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24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0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0"/>
        </w:trPr>
        <w:tc>
          <w:tcPr>
            <w:tcW w:w="4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6"/>
                <w:szCs w:val="16"/>
                <w:color w:val="auto"/>
              </w:rPr>
            </w:pPr>
          </w:p>
        </w:tc>
        <w:tc>
          <w:tcPr>
            <w:tcW w:w="9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51"/>
        </w:trPr>
        <w:tc>
          <w:tcPr>
            <w:tcW w:w="4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i w:val="1"/>
                <w:iCs w:val="1"/>
                <w:color w:val="auto"/>
              </w:rPr>
              <w:t>2013 Equity Incentive Plan</w:t>
            </w:r>
            <w:r>
              <w:rPr>
                <w:rFonts w:ascii="Times New Roman" w:cs="Times New Roman" w:eastAsia="Times New Roman" w:hAnsi="Times New Roman"/>
                <w:sz w:val="29"/>
                <w:szCs w:val="29"/>
                <w:i w:val="1"/>
                <w:iCs w:val="1"/>
                <w:color w:val="auto"/>
                <w:vertAlign w:val="superscript"/>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3,410,075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960" w:type="dxa"/>
            <w:vAlign w:val="bottom"/>
            <w:gridSpan w:val="2"/>
            <w:shd w:val="clear" w:color="auto" w:fill="CCEEFF"/>
          </w:tcPr>
          <w:p>
            <w:pPr>
              <w:ind w:left="180"/>
              <w:spacing w:after="0" w:line="324" w:lineRule="exact"/>
              <w:rPr>
                <w:sz w:val="20"/>
                <w:szCs w:val="20"/>
                <w:color w:val="auto"/>
              </w:rPr>
            </w:pPr>
            <w:r>
              <w:rPr>
                <w:rFonts w:ascii="Times New Roman" w:cs="Times New Roman" w:eastAsia="Times New Roman" w:hAnsi="Times New Roman"/>
                <w:sz w:val="18"/>
                <w:szCs w:val="18"/>
                <w:i w:val="1"/>
                <w:iCs w:val="1"/>
                <w:color w:val="auto"/>
              </w:rPr>
              <w:t>2020 Equity Incentive Plan</w:t>
            </w:r>
            <w:r>
              <w:rPr>
                <w:rFonts w:ascii="Times New Roman" w:cs="Times New Roman" w:eastAsia="Times New Roman" w:hAnsi="Times New Roman"/>
                <w:sz w:val="29"/>
                <w:szCs w:val="29"/>
                <w:i w:val="1"/>
                <w:iCs w:val="1"/>
                <w:color w:val="auto"/>
                <w:vertAlign w:val="superscript"/>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835,906</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4,951,680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60" w:type="dxa"/>
            <w:vAlign w:val="bottom"/>
            <w:gridSpan w:val="2"/>
          </w:tcPr>
          <w:p>
            <w:pPr>
              <w:ind w:left="180"/>
              <w:spacing w:after="0" w:line="324" w:lineRule="exact"/>
              <w:rPr>
                <w:sz w:val="20"/>
                <w:szCs w:val="20"/>
                <w:color w:val="auto"/>
              </w:rPr>
            </w:pPr>
            <w:r>
              <w:rPr>
                <w:rFonts w:ascii="Times New Roman" w:cs="Times New Roman" w:eastAsia="Times New Roman" w:hAnsi="Times New Roman"/>
                <w:sz w:val="18"/>
                <w:szCs w:val="18"/>
                <w:i w:val="1"/>
                <w:iCs w:val="1"/>
                <w:color w:val="auto"/>
              </w:rPr>
              <w:t>2020 Employee Stock Purchase Plan</w:t>
            </w:r>
            <w:r>
              <w:rPr>
                <w:rFonts w:ascii="Times New Roman" w:cs="Times New Roman" w:eastAsia="Times New Roman" w:hAnsi="Times New Roman"/>
                <w:sz w:val="29"/>
                <w:szCs w:val="29"/>
                <w:i w:val="1"/>
                <w:iCs w:val="1"/>
                <w:color w:val="auto"/>
                <w:vertAlign w:val="superscript"/>
              </w:rPr>
              <w:t>(3)</w:t>
            </w:r>
          </w:p>
        </w:tc>
        <w:tc>
          <w:tcPr>
            <w:tcW w:w="120" w:type="dxa"/>
            <w:vAlign w:val="bottom"/>
          </w:tcPr>
          <w:p>
            <w:pPr>
              <w:spacing w:after="0"/>
              <w:rPr>
                <w:sz w:val="24"/>
                <w:szCs w:val="24"/>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801,464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4,245,981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5,753,144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-1242060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-1242060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-1242060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jc w:val="both"/>
        <w:ind w:left="640" w:right="41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adopted, and our stockholders approved, the 2013 Plan. As a result of our initial public offering and the adoption of the 2020 Plan, we no longer grant awards under the 2013 Plan; however, all outstanding options issued pursuant to the 2013 Plan continue to be governed by their existing terms. To the extent that any such awards are forfeited or lapse unexercised or are repurchased, the shares of common stock subject to such awards will become available for issuance under the 2020 Plan.</w:t>
      </w:r>
    </w:p>
    <w:p>
      <w:pPr>
        <w:spacing w:after="0" w:line="14" w:lineRule="exact"/>
        <w:rPr>
          <w:rFonts w:ascii="Times New Roman" w:cs="Times New Roman" w:eastAsia="Times New Roman" w:hAnsi="Times New Roman"/>
          <w:sz w:val="14"/>
          <w:szCs w:val="14"/>
          <w:color w:val="auto"/>
        </w:rPr>
      </w:pPr>
    </w:p>
    <w:p>
      <w:pPr>
        <w:ind w:left="640" w:right="31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Plan provides that the number of shares available for issuance under the 2020 Plan will be increased on the first day of each fiscal year in an amount equal to the least of (i) 4,406,374 shares, (ii) five percent (5%) of the outstanding shares of common stock on the last day of the immediately preceding fiscal year or (iii) such other amount as our board of directors or any of its committees as will be administering the 2020 Plan may determine.</w:t>
      </w:r>
    </w:p>
    <w:p>
      <w:pPr>
        <w:spacing w:after="0" w:line="14"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2020 ESPP provides that the number of shares available for issuance under the 2020 ESPP will be increased on the first day of each fiscal year in an amount equal to the least of (i) 801,504 shares, (ii) one percent (1%) of the outstanding shares of common stock on the last day of the immediately preceding fiscal year or (iii) such other amount as may be determined by our board of directors or any of its committees as will be administering the 2020 ESPP may determine.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BENEFICIAL OWNERSHIP OF SHARES OF COMMON STOCK</w:t>
      </w:r>
    </w:p>
    <w:p>
      <w:pPr>
        <w:spacing w:after="0" w:line="121" w:lineRule="exact"/>
        <w:rPr>
          <w:sz w:val="20"/>
          <w:szCs w:val="20"/>
          <w:color w:val="auto"/>
        </w:rPr>
      </w:pPr>
    </w:p>
    <w:p>
      <w:pPr>
        <w:ind w:left="1300" w:right="14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March 31, 2022 for:</w:t>
      </w:r>
    </w:p>
    <w:p>
      <w:pPr>
        <w:spacing w:after="0" w:line="54" w:lineRule="exact"/>
        <w:rPr>
          <w:sz w:val="20"/>
          <w:szCs w:val="20"/>
          <w:color w:val="auto"/>
        </w:rPr>
      </w:pPr>
    </w:p>
    <w:p>
      <w:pPr>
        <w:ind w:left="2000" w:hanging="348"/>
        <w:spacing w:after="0"/>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5% or more of the outstanding shares of our common stock;</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1300" w:right="1380"/>
        <w:spacing w:after="0" w:line="274" w:lineRule="auto"/>
        <w:rPr>
          <w:sz w:val="20"/>
          <w:szCs w:val="20"/>
          <w:color w:val="auto"/>
        </w:rPr>
      </w:pPr>
      <w:r>
        <w:rPr>
          <w:rFonts w:ascii="Times New Roman" w:cs="Times New Roman" w:eastAsia="Times New Roman" w:hAnsi="Times New Roman"/>
          <w:sz w:val="17"/>
          <w:szCs w:val="17"/>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w:t>
      </w:r>
    </w:p>
    <w:p>
      <w:pPr>
        <w:spacing w:after="0" w:line="65" w:lineRule="exact"/>
        <w:rPr>
          <w:sz w:val="20"/>
          <w:szCs w:val="20"/>
          <w:color w:val="auto"/>
        </w:rPr>
      </w:pPr>
    </w:p>
    <w:p>
      <w:pPr>
        <w:ind w:left="1300" w:right="1320"/>
        <w:spacing w:after="0" w:line="277" w:lineRule="auto"/>
        <w:rPr>
          <w:sz w:val="20"/>
          <w:szCs w:val="20"/>
          <w:color w:val="auto"/>
        </w:rPr>
      </w:pPr>
      <w:r>
        <w:rPr>
          <w:rFonts w:ascii="Times New Roman" w:cs="Times New Roman" w:eastAsia="Times New Roman" w:hAnsi="Times New Roman"/>
          <w:sz w:val="17"/>
          <w:szCs w:val="17"/>
          <w:color w:val="auto"/>
        </w:rPr>
        <w:t>Applicable percentage ownership is based on 45,532,392 shares of common stock outstanding as of March 31, 2022. In computing the number of shares of common stock beneficially owned by a person or entity and the percentage ownership of such person or entity, we deemed to be outstanding all shares of common stock subject to options held by the person that are currently exercisable or exercisable within 60 days of March 31, 2022. However, we did not deem such shares outstanding for the purpose of computing the percentage ownership of any other person.</w:t>
      </w:r>
    </w:p>
    <w:p>
      <w:pPr>
        <w:spacing w:after="0" w:line="60" w:lineRule="exact"/>
        <w:rPr>
          <w:sz w:val="20"/>
          <w:szCs w:val="20"/>
          <w:color w:val="auto"/>
        </w:rPr>
      </w:pPr>
    </w:p>
    <w:p>
      <w:pPr>
        <w:ind w:left="1300" w:right="2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PMV Pharmaceuticals, Inc., 8 Clarke Drive, Suite 3, Cranbury, New Jersey 08512.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50"/>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50"/>
        </w:trPr>
        <w:tc>
          <w:tcPr>
            <w:tcW w:w="1300" w:type="dxa"/>
            <w:vAlign w:val="bottom"/>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23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OrbiMed Advisors</w:t>
            </w:r>
            <w:r>
              <w:rPr>
                <w:rFonts w:ascii="Times New Roman" w:cs="Times New Roman" w:eastAsia="Times New Roman" w:hAnsi="Times New Roman"/>
                <w:sz w:val="29"/>
                <w:szCs w:val="29"/>
                <w:color w:val="auto"/>
                <w:vertAlign w:val="superscript"/>
              </w:rPr>
              <w:t>(1)</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6,855,423</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InterWest Partners X, LP</w:t>
            </w:r>
            <w:r>
              <w:rPr>
                <w:rFonts w:ascii="Times New Roman" w:cs="Times New Roman" w:eastAsia="Times New Roman" w:hAnsi="Times New Roman"/>
                <w:sz w:val="29"/>
                <w:szCs w:val="29"/>
                <w:color w:val="auto"/>
                <w:vertAlign w:val="superscript"/>
              </w:rPr>
              <w:t>(2)</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3,264,352</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JPMorgan Chase &amp; Co.</w:t>
            </w:r>
            <w:r>
              <w:rPr>
                <w:rFonts w:ascii="Times New Roman" w:cs="Times New Roman" w:eastAsia="Times New Roman" w:hAnsi="Times New Roman"/>
                <w:sz w:val="29"/>
                <w:szCs w:val="29"/>
                <w:color w:val="auto"/>
                <w:vertAlign w:val="superscript"/>
              </w:rPr>
              <w:t>(3)</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3,166,450</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RTW Investments, LP</w:t>
            </w:r>
            <w:r>
              <w:rPr>
                <w:rFonts w:ascii="Times New Roman" w:cs="Times New Roman" w:eastAsia="Times New Roman" w:hAnsi="Times New Roman"/>
                <w:sz w:val="29"/>
                <w:szCs w:val="29"/>
                <w:color w:val="auto"/>
                <w:vertAlign w:val="superscript"/>
              </w:rPr>
              <w:t>(4)</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2,980,960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Boxer Capital, LLC</w:t>
            </w:r>
            <w:r>
              <w:rPr>
                <w:rFonts w:ascii="Times New Roman" w:cs="Times New Roman" w:eastAsia="Times New Roman" w:hAnsi="Times New Roman"/>
                <w:sz w:val="29"/>
                <w:szCs w:val="29"/>
                <w:color w:val="auto"/>
                <w:vertAlign w:val="superscript"/>
              </w:rPr>
              <w:t>(5)</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2,899,073</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(6)</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2,647,946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9"/>
                <w:szCs w:val="29"/>
                <w:color w:val="auto"/>
                <w:vertAlign w:val="superscript"/>
              </w:rPr>
              <w:t>(7)</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2,539,824</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Entities affiliated with Euclidean Capital LLC</w:t>
            </w:r>
            <w:r>
              <w:rPr>
                <w:rFonts w:ascii="Times New Roman" w:cs="Times New Roman" w:eastAsia="Times New Roman" w:hAnsi="Times New Roman"/>
                <w:sz w:val="29"/>
                <w:szCs w:val="29"/>
                <w:color w:val="auto"/>
                <w:vertAlign w:val="superscript"/>
              </w:rPr>
              <w:t>(8)</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2,336,909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Cowen Financial Products LLC</w:t>
            </w:r>
            <w:r>
              <w:rPr>
                <w:rFonts w:ascii="Times New Roman" w:cs="Times New Roman" w:eastAsia="Times New Roman" w:hAnsi="Times New Roman"/>
                <w:sz w:val="29"/>
                <w:szCs w:val="29"/>
                <w:color w:val="auto"/>
                <w:vertAlign w:val="superscript"/>
              </w:rPr>
              <w:t>(9)</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David H. Mack, Ph.D.</w:t>
            </w:r>
            <w:r>
              <w:rPr>
                <w:rFonts w:ascii="Times New Roman" w:cs="Times New Roman" w:eastAsia="Times New Roman" w:hAnsi="Times New Roman"/>
                <w:sz w:val="29"/>
                <w:szCs w:val="29"/>
                <w:color w:val="auto"/>
                <w:vertAlign w:val="superscript"/>
              </w:rPr>
              <w:t>(10)</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1,656,859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Richard Heyman, Ph.D.</w:t>
            </w:r>
            <w:r>
              <w:rPr>
                <w:rFonts w:ascii="Times New Roman" w:cs="Times New Roman" w:eastAsia="Times New Roman" w:hAnsi="Times New Roman"/>
                <w:sz w:val="29"/>
                <w:szCs w:val="29"/>
                <w:color w:val="auto"/>
                <w:vertAlign w:val="superscript"/>
              </w:rPr>
              <w:t>(11)</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191,395</w:t>
            </w:r>
          </w:p>
        </w:tc>
        <w:tc>
          <w:tcPr>
            <w:tcW w:w="30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Arnold Levine, Ph.D.</w:t>
            </w:r>
            <w:r>
              <w:rPr>
                <w:rFonts w:ascii="Times New Roman" w:cs="Times New Roman" w:eastAsia="Times New Roman" w:hAnsi="Times New Roman"/>
                <w:sz w:val="29"/>
                <w:szCs w:val="29"/>
                <w:color w:val="auto"/>
                <w:vertAlign w:val="superscript"/>
              </w:rPr>
              <w:t>(12)</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411,769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Thilo Schroeder, Ph.D.</w:t>
            </w:r>
            <w:r>
              <w:rPr>
                <w:rFonts w:ascii="Times New Roman" w:cs="Times New Roman" w:eastAsia="Times New Roman" w:hAnsi="Times New Roman"/>
                <w:sz w:val="29"/>
                <w:szCs w:val="29"/>
                <w:color w:val="auto"/>
                <w:vertAlign w:val="superscript"/>
              </w:rPr>
              <w:t>(13)</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1,385,807</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Laurie Stelzer</w:t>
            </w:r>
            <w:r>
              <w:rPr>
                <w:rFonts w:ascii="Times New Roman" w:cs="Times New Roman" w:eastAsia="Times New Roman" w:hAnsi="Times New Roman"/>
                <w:sz w:val="29"/>
                <w:szCs w:val="29"/>
                <w:color w:val="auto"/>
                <w:vertAlign w:val="superscript"/>
              </w:rPr>
              <w:t>(14)</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Charles M. Baum, M.D., Ph.D.</w:t>
            </w:r>
            <w:r>
              <w:rPr>
                <w:rFonts w:ascii="Times New Roman" w:cs="Times New Roman" w:eastAsia="Times New Roman" w:hAnsi="Times New Roman"/>
                <w:sz w:val="29"/>
                <w:szCs w:val="29"/>
                <w:color w:val="auto"/>
                <w:vertAlign w:val="superscript"/>
              </w:rPr>
              <w:t>(15)</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30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Kirsten Flowers</w:t>
            </w:r>
            <w:r>
              <w:rPr>
                <w:rFonts w:ascii="Times New Roman" w:cs="Times New Roman" w:eastAsia="Times New Roman" w:hAnsi="Times New Roman"/>
                <w:sz w:val="29"/>
                <w:szCs w:val="29"/>
                <w:color w:val="auto"/>
                <w:vertAlign w:val="superscript"/>
              </w:rPr>
              <w:t>(16)</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Winston Kung</w:t>
            </w:r>
            <w:r>
              <w:rPr>
                <w:rFonts w:ascii="Times New Roman" w:cs="Times New Roman" w:eastAsia="Times New Roman" w:hAnsi="Times New Roman"/>
                <w:sz w:val="29"/>
                <w:szCs w:val="29"/>
                <w:color w:val="auto"/>
                <w:vertAlign w:val="superscript"/>
              </w:rPr>
              <w:t>(17)</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802,028</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Leila Alland, M.D.</w:t>
            </w:r>
            <w:r>
              <w:rPr>
                <w:rFonts w:ascii="Times New Roman" w:cs="Times New Roman" w:eastAsia="Times New Roman" w:hAnsi="Times New Roman"/>
                <w:sz w:val="29"/>
                <w:szCs w:val="29"/>
                <w:color w:val="auto"/>
                <w:vertAlign w:val="superscript"/>
              </w:rPr>
              <w:t>(18)</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243,863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Deepika Jalota, Pharm.D.</w:t>
            </w:r>
            <w:r>
              <w:rPr>
                <w:rFonts w:ascii="Times New Roman" w:cs="Times New Roman" w:eastAsia="Times New Roman" w:hAnsi="Times New Roman"/>
                <w:sz w:val="29"/>
                <w:szCs w:val="29"/>
                <w:color w:val="auto"/>
                <w:vertAlign w:val="superscript"/>
              </w:rPr>
              <w:t>(19)</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84,924</w:t>
            </w:r>
          </w:p>
        </w:tc>
        <w:tc>
          <w:tcPr>
            <w:tcW w:w="30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9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All executive officers and directors (10 persons)</w:t>
            </w:r>
            <w:r>
              <w:rPr>
                <w:rFonts w:ascii="Times New Roman" w:cs="Times New Roman" w:eastAsia="Times New Roman" w:hAnsi="Times New Roman"/>
                <w:sz w:val="29"/>
                <w:szCs w:val="29"/>
                <w:color w:val="auto"/>
                <w:vertAlign w:val="superscript"/>
              </w:rPr>
              <w:t>(20)</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4,766,200</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3"/>
        </w:trPr>
        <w:tc>
          <w:tcPr>
            <w:tcW w:w="150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Represents less than 1%.</w:t>
            </w:r>
          </w:p>
        </w:tc>
        <w:tc>
          <w:tcPr>
            <w:tcW w:w="2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15"/>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-5434330</wp:posOffset>
            </wp:positionV>
            <wp:extent cx="1885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-5434330</wp:posOffset>
            </wp:positionV>
            <wp:extent cx="1885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9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April 1, 2022, consists of (i) 6,475,291 shares held by OrbiMed Private Investments V, LP (“OPI V”), (ii) 114,039 shares held by OrbiMed Genesis Master Fund, L.P. (“Genesis”), and (iii) 266,093 shares held by The Biotech Growth Trust PLC (“BIOG”). Dr. Peter Thompson is an employee of OrbiMed Advisors LLC (“OrbiMed Advisors”) and a member of our board of directors.</w:t>
      </w:r>
    </w:p>
    <w:p>
      <w:pPr>
        <w:spacing w:after="0" w:line="14" w:lineRule="exact"/>
        <w:rPr>
          <w:rFonts w:ascii="Times New Roman" w:cs="Times New Roman" w:eastAsia="Times New Roman" w:hAnsi="Times New Roman"/>
          <w:sz w:val="14"/>
          <w:szCs w:val="14"/>
          <w:color w:val="auto"/>
        </w:rPr>
      </w:pPr>
    </w:p>
    <w:p>
      <w:pPr>
        <w:ind w:left="660" w:right="299"/>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OrbiMed Capital GP V LLC (“OrbiMed GP”) is the general partner of OPI V, pursuant to the terms of the limited partnership agreement of OPI V, and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VI.</w:t>
      </w:r>
    </w:p>
    <w:p>
      <w:pPr>
        <w:spacing w:after="0" w:line="15" w:lineRule="exact"/>
        <w:rPr>
          <w:rFonts w:ascii="Times New Roman" w:cs="Times New Roman" w:eastAsia="Times New Roman" w:hAnsi="Times New Roman"/>
          <w:sz w:val="14"/>
          <w:szCs w:val="14"/>
          <w:color w:val="auto"/>
        </w:rPr>
      </w:pPr>
    </w:p>
    <w:p>
      <w:pPr>
        <w:ind w:left="660" w:right="31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OrbiMed Genesis GP LLC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spacing w:after="0" w:line="127" w:lineRule="exact"/>
        <w:rPr>
          <w:rFonts w:ascii="Times New Roman" w:cs="Times New Roman" w:eastAsia="Times New Roman" w:hAnsi="Times New Roman"/>
          <w:sz w:val="14"/>
          <w:szCs w:val="14"/>
          <w:color w:val="auto"/>
        </w:rPr>
      </w:pPr>
    </w:p>
    <w:p>
      <w:pPr>
        <w:ind w:left="660" w:right="419"/>
        <w:spacing w:after="0" w:line="23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OrbiMed Capital LLC (“OrbiMed Capital”) is the investment advisor of BIOG. As a result, OrbiMed Capital has the power to direct the vote and disposition of the shares held by BIOG and may be deemed directly or indirectly, including by reason of mutual affiliation, to be the beneficial owner of the shares held by BIOG. OrbiMed Capital disclaims any beneficial ownership over the shares of the OrbiMed Advisors, OrbiMed GP and OrbiMed Genesis. OrbiMed Capital exercises this investment and voting power through a management committee comprised of Carl L. Gordon, Sven H. Borho, and W. Carter Neild, each of whom disclaims beneficial ownership of the shares held by BIOG.</w:t>
      </w:r>
    </w:p>
    <w:p>
      <w:pPr>
        <w:spacing w:after="0" w:line="15" w:lineRule="exact"/>
        <w:rPr>
          <w:rFonts w:ascii="Times New Roman" w:cs="Times New Roman" w:eastAsia="Times New Roman" w:hAnsi="Times New Roman"/>
          <w:sz w:val="14"/>
          <w:szCs w:val="14"/>
          <w:color w:val="auto"/>
        </w:rPr>
      </w:pPr>
    </w:p>
    <w:p>
      <w:pPr>
        <w:ind w:left="660" w:right="5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the OrbiMed entities, Carl L. Gordon, Sven H. Borho and W. Carter Neild is 601 Lexington Avenue, 54th Floor, New York, New York 10022.</w:t>
      </w:r>
    </w:p>
    <w:p>
      <w:pPr>
        <w:ind w:left="640" w:right="319" w:hanging="348"/>
        <w:spacing w:after="0" w:line="229"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14, 2022, consists of (i) 3,234,911 shares held by InterWest Partners X, LP (“IW X”), (ii) 9,808 shares held by Keval Desai, (iii) 5,000 shares held by Gilbert H. Kliman and (iv) 13,633 shares held by Khaled A. Nasr. InterWest Management Partners X, LLC (“IMP X”), is the general partner of IW X and may be deemed to beneficially own the shares held by IW X. Gilbert H. Kliman is the managing director of IMP X and Keval Desai and Khaled A. Nasr are venture members of IMP X. The managing director and venture members of IMP X share voting and investment control with respect to the securities held by IW X and each disclaims beneficial ownership of such shares except to the extent of any pecuniary interest therein. The address of each of IW X, IMP X, Gilbert H. Kliman, Keval Desai and Khaled A. Nasr is 467 First Street, Suite 201, Los Altos, California 94022.</w:t>
      </w:r>
    </w:p>
    <w:p>
      <w:pPr>
        <w:spacing w:after="0" w:line="18" w:lineRule="exact"/>
        <w:rPr>
          <w:rFonts w:ascii="Times New Roman" w:cs="Times New Roman" w:eastAsia="Times New Roman" w:hAnsi="Times New Roman"/>
          <w:sz w:val="14"/>
          <w:szCs w:val="14"/>
          <w:color w:val="auto"/>
        </w:rPr>
      </w:pPr>
    </w:p>
    <w:p>
      <w:pPr>
        <w:jc w:val="both"/>
        <w:ind w:left="640" w:right="61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January 26, 2022, consists of 3,166,450 shares held by JPMorgan Chase &amp; Co. and its affiliates (“JPMorgan”). JPMorgan has the sole power to vote or to direct the vote 2,576,259 shares and has the power to dispose or to direct the disposition of 3,165,150 shares. The address of JPMorgan is 383 Madison Avenue, New York, NY 10179.</w:t>
      </w:r>
    </w:p>
    <w:p>
      <w:pPr>
        <w:spacing w:after="0" w:line="14" w:lineRule="exact"/>
        <w:rPr>
          <w:rFonts w:ascii="Times New Roman" w:cs="Times New Roman" w:eastAsia="Times New Roman" w:hAnsi="Times New Roman"/>
          <w:sz w:val="14"/>
          <w:szCs w:val="14"/>
          <w:color w:val="auto"/>
        </w:rPr>
      </w:pPr>
    </w:p>
    <w:p>
      <w:pPr>
        <w:ind w:left="640" w:right="359" w:hanging="348"/>
        <w:spacing w:after="0" w:line="214"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2022, consists of 2,980,960 shares held by RTW Investments, LP (“RTW Investments”). RTW Investments is the investment advisor to certain funds (the “RTW Funds”) with respect to the shares directly held by the RTW Funds. Roderick Wong is the Managing Partner and Chief Investment Officer of RTW Investments with respect to the shares directly held by the RTW Funds and Roderick Wong may be deemed to have shared voting power to dispose or direct the disposition of the shares. The address of RTW Investments, RTW Funds and Roderick Wong is 40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Floor 7, New York, NY 10014.</w:t>
      </w:r>
    </w:p>
    <w:p>
      <w:pPr>
        <w:spacing w:after="0" w:line="2" w:lineRule="exact"/>
        <w:rPr>
          <w:rFonts w:ascii="Times New Roman" w:cs="Times New Roman" w:eastAsia="Times New Roman" w:hAnsi="Times New Roman"/>
          <w:sz w:val="14"/>
          <w:szCs w:val="14"/>
          <w:color w:val="auto"/>
        </w:rPr>
      </w:pPr>
    </w:p>
    <w:p>
      <w:pPr>
        <w:ind w:left="640" w:right="339" w:hanging="348"/>
        <w:spacing w:after="0" w:line="22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February 14, 2022, consists of (i) 2,838,236 shares held by Boxer Capital, LLC (“Boxer Capital”) and (ii) 60,837 shares held by MVA Investors, LLC (“MVA Investors”). Boxer Asset Management Inc. (“Boxer Management”) is the managing member and majority owner of Boxer Capital. Joe Lewis is the sole indirect beneficial owner of and controls Boxer Management. MVA Investors is the independent, personal investment vehicle of certain employees of Boxer Capital. Aaron I. Davis is a member of and has voting and dispositive power over securities held by MVA Investors. The address of each of Boxer Capital, MVA Investors and Aaron I. Davis is 11682 El Camino Real, Suite 320, San Diego, California 92130. The address of each of Boxer Management and Joe Lewis is Cay House, EP Taylor Drive N7776, Lyford Cay, New Providence, Bahamas.</w:t>
      </w:r>
    </w:p>
    <w:p>
      <w:pPr>
        <w:spacing w:after="0" w:line="16" w:lineRule="exact"/>
        <w:rPr>
          <w:rFonts w:ascii="Times New Roman" w:cs="Times New Roman" w:eastAsia="Times New Roman" w:hAnsi="Times New Roman"/>
          <w:sz w:val="14"/>
          <w:szCs w:val="14"/>
          <w:color w:val="auto"/>
        </w:rPr>
      </w:pPr>
    </w:p>
    <w:p>
      <w:pPr>
        <w:ind w:left="640" w:right="41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10, 2022, consists of 2,647,946 shares held by The Vanguard Group (“Vanguard”). Vanguard is an investment advisor and has the sole power to vote or to direct the vote of 2,586,287 shares, has the shared voting power to vote or to direct the vote of 48,052 shares and has the shared dispositive power to vote or direct the vote of 61,659 shares. The address of Vanguard is 100 Vanguard Blvd., Malvern, PA 19355.</w:t>
      </w:r>
    </w:p>
    <w:p>
      <w:pPr>
        <w:spacing w:after="0" w:line="14" w:lineRule="exact"/>
        <w:rPr>
          <w:rFonts w:ascii="Times New Roman" w:cs="Times New Roman" w:eastAsia="Times New Roman" w:hAnsi="Times New Roman"/>
          <w:sz w:val="14"/>
          <w:szCs w:val="14"/>
          <w:color w:val="auto"/>
        </w:rPr>
      </w:pPr>
    </w:p>
    <w:p>
      <w:pPr>
        <w:ind w:left="640" w:right="379" w:hanging="348"/>
        <w:spacing w:after="0" w:line="210"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4, 2022, consists of 2,539,824 shares held by BlackRock, Inc. and its affiliates (“BlackRock”). BlackRock has the sole power to vote or to direct the vote of 2,516,975 shares and has the power to dispose or to direct the disposition of 2,539,824 shares. The address of BlackRock is 55 East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4"/>
          <w:szCs w:val="14"/>
          <w:color w:val="auto"/>
        </w:rPr>
        <w:t xml:space="preserve"> Street, New York, NY 10055.</w:t>
      </w:r>
    </w:p>
    <w:p>
      <w:pPr>
        <w:spacing w:after="0" w:line="2"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2022, consists of (i) 436,884 shares held of record by Greenland A LLC, (ii) 375,704 shares held of record by Greenland FP LLC, (iii) 66,300 shares held of record by Greenland NFP LLC, (iv) 1,300,818 shares held of record by Greenland NFP B Ltd. and (v) 247,203 shares held of record by Symmetry Group Ltd. (such record holders together, the “Greenland Entities”). Euclidean Capital LLC (“Euclidean”), the manager of each of the Greenland Entities, may be deemed to have shared voting control and investment discretion over the shares held by the Greenland Entities. Marilyn Simons and James Simons are owners and managers of Euclidean, and Ashvin Chhabra is President, CIO and manager of Euclidean, each of whom disclaims beneficial ownership of such securities for the purposes of Section 16 except to the extent of any pecuniary interest therein. The address of each of Euclidean, the Greenland Entities (except Greenland NFP B Ltd. and Symmetry Group Ltd.), Marilyn Simons, James Simons and Ashvin Chhabra is c/o Euclidean Capital LLC, 160 Fifth Ave, 9th Floor, New York, New York 10010. The address of each of Greenland NFP B Ltd. and Symmetry Group Ltd. is c/o Euclidean Capital LLC, Level 1, Palm Grove House, Wickham’s Cay 1, Road Town, Tortola, British Virgin Islands VG1110.</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57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January 19, 2022, consists of 2,300,000 shares held by Cowen Financial Products LLC (“Cowen”). Cowen has the sole power to vote, direct the vote or dispose or direct the disposition over securities held. The address of Cowen is 599 Lexington Avenue, New York, NY 10022.</w:t>
      </w:r>
    </w:p>
    <w:p>
      <w:pPr>
        <w:spacing w:after="0" w:line="14" w:lineRule="exact"/>
        <w:rPr>
          <w:rFonts w:ascii="Times New Roman" w:cs="Times New Roman" w:eastAsia="Times New Roman" w:hAnsi="Times New Roman"/>
          <w:sz w:val="14"/>
          <w:szCs w:val="14"/>
          <w:color w:val="auto"/>
        </w:rPr>
      </w:pPr>
    </w:p>
    <w:p>
      <w:pPr>
        <w:ind w:left="640" w:right="339" w:hanging="348"/>
        <w:spacing w:after="0" w:line="229"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147,915 shares of common stock held by The Mack-Mulligan Revocable Trust, of which Dr. Mack’s descendants are beneficiaries, (ii) 56,978 shares of common stock held by Mack/Mulligan 2020 Irrevocable Descendants’ Trust, of which Dr. Mack’s descendants are beneficiaries, (iii) 80,000 shares of common stock held by Stinson 2021 Irrevocable Trust, of which Dr. Mack’s spouse and descendants are beneficiaries, (iv) 46,970 shares of common stock held directly by Dr. Mack and (v) 1,364,996 shares of common stock issuable pursuant to options held directly by Dr. Mack, exercisable within 60 days of March 31, 2022. Dr. Mack disclaims beneficial ownership of all shares relating to The Mack-Mulligan Revocable Trust, Mack/Mulligan 2020 Irrevocable Descendants’ Trust and Stinson 2021 Irrevocable Trust except to the extent of any pecuniary interest therein.</w:t>
      </w:r>
    </w:p>
    <w:p>
      <w:pPr>
        <w:spacing w:after="0" w:line="18" w:lineRule="exact"/>
        <w:rPr>
          <w:rFonts w:ascii="Times New Roman" w:cs="Times New Roman" w:eastAsia="Times New Roman" w:hAnsi="Times New Roman"/>
          <w:sz w:val="14"/>
          <w:szCs w:val="14"/>
          <w:color w:val="auto"/>
        </w:rPr>
      </w:pPr>
    </w:p>
    <w:p>
      <w:pPr>
        <w:ind w:left="640" w:right="7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191,395 shares of common stock issuable pursuant to options held directly by Dr. Heyman, exercisable within 60 days of March 31, 2022.</w:t>
      </w:r>
    </w:p>
    <w:p>
      <w:pPr>
        <w:ind w:left="640" w:right="6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409,842 shares of common stock held directly by Dr. Levine and (ii) 1,927 shares of common stock issuable pursuant to options held directly by Dr. Levine, exercisable within 60 days of March 31, 2022.</w:t>
      </w:r>
    </w:p>
    <w:p>
      <w:pPr>
        <w:ind w:left="640" w:right="379" w:hanging="348"/>
        <w:spacing w:after="0" w:line="227"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February 14, 2022, consists of 1,385,807 shares held by Nextech V Oncology S.C.S., SICAV-SIF (“Nextech V LP”). Nextech V GP S.à r.l. (“Nextech V GP”) serves as the sole general partner of Nextech V LP and has sole voting and investment control over the shares owned by Nextech V LP and may be deemed to own beneficially the shares held by Nextech V LP. Dr. Thilo Schroeder, a member of our board of directors, is a partner at Nextech Invest AG and in the Investment Committee of Nextech Invest AG, with significant influence over Nextech V LP in terms of investment decisions, selling strategy of shares and voting power and as a result, may be deemed to have beneficial ownership over such securities. Dalia Bleyer, Thomas Lips and Ian Charoub are members of the board of managers of Nextech V GP and share voting and dispositive power over the shares held by Nextech V LP, and may be deemed to own beneficially the shares held by Nextech V LP. The address of each of the Nextech V LP, Nextech V GP, Nextech Invest AG, Dalia Bleyer, Thomas Lips and Iran Charoub is 8 rue Lou Hemmer, N4 L-1748 Senningerberg, Luxembourg.</w:t>
      </w:r>
    </w:p>
    <w:p>
      <w:pPr>
        <w:spacing w:after="0" w:line="20" w:lineRule="exact"/>
        <w:rPr>
          <w:rFonts w:ascii="Times New Roman" w:cs="Times New Roman" w:eastAsia="Times New Roman" w:hAnsi="Times New Roman"/>
          <w:sz w:val="14"/>
          <w:szCs w:val="14"/>
          <w:color w:val="auto"/>
        </w:rPr>
      </w:pPr>
    </w:p>
    <w:p>
      <w:pPr>
        <w:ind w:left="640" w:right="8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19,047 shares of common stock issuable pursuant to options held directly by Ms. Stelzer, exercisable within 60 days of March 31, 2022.</w:t>
      </w: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11,800 shares of common stock issuable pursuant to options held directly by Dr. Baum, exercisable within 60 days of March 31, 2022.</w:t>
      </w:r>
    </w:p>
    <w:p>
      <w:pPr>
        <w:ind w:left="640" w:right="8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3,629 shares of common stock issuable pursuant to options held directly by Ms. Flowers, exercisable within 60 days of March 31, 2022.</w:t>
      </w:r>
    </w:p>
    <w:p>
      <w:pPr>
        <w:ind w:left="640" w:right="399" w:hanging="348"/>
        <w:spacing w:after="0" w:line="233"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6,600 shares of common stock held directly by Mr. Kung. (ii) 473,095 shares of common stock issuable pursuant to options held directly by Mr. Kung, exercisable within 60 days of March 31, 2022 and (iii) 237,412 of shares of common stock issuable pursuant to options held directly by the Winston Kung Irrevocable Family Trust, exercisable within 60 days of March 31, 2022. The shares held of record by the Winston Kung Irrevocable Family Trust are for the benefit of Winston Kung’s immediate family. The trustee of the Winston Kung Irrevocable Family Trust is Winston Kung’s sister-in-law, Therese Leong.</w:t>
      </w:r>
    </w:p>
    <w:p>
      <w:pPr>
        <w:spacing w:after="0" w:line="15" w:lineRule="exact"/>
        <w:rPr>
          <w:rFonts w:ascii="Times New Roman" w:cs="Times New Roman" w:eastAsia="Times New Roman" w:hAnsi="Times New Roman"/>
          <w:sz w:val="14"/>
          <w:szCs w:val="14"/>
          <w:color w:val="auto"/>
        </w:rPr>
      </w:pPr>
    </w:p>
    <w:p>
      <w:pPr>
        <w:ind w:left="640" w:right="8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243,863 shares of common stock issuable pursuant to options held directly by Dr. Alland, exercisable within 60 days of March 31, 2022.</w:t>
      </w: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84,924 shares of common stock issuable pursuant to options held directly by Dr. Jalota, exercisable within 60 days of March 31, 2022.</w:t>
      </w:r>
    </w:p>
    <w:p>
      <w:pPr>
        <w:jc w:val="both"/>
        <w:ind w:left="640" w:right="4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2,134,112 shares of common stock beneficially owned by our current executive officers and directors as of March 31, 2022 and (ii) 2,632,088 shares of common stock issuable pursuant to options beneficially owned by our current executive officers and directors, exercisable within 60 days of March 31, 2022.</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and executive officers, and persons who own more than 10% of our common stock, file reports of ownership and changes in ownership with the SEC. Such persons are required by SEC regulations to furnish us with copies of all Section 16(a) forms filed by such persons.</w:t>
      </w:r>
    </w:p>
    <w:p>
      <w:pPr>
        <w:spacing w:after="0" w:line="68"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To our knowledge, no person who, during the fiscal year ended December 31, 2021, was a director or officer of the Company, or beneficial owner of more than ten percent of our common stock (which is the only class of securities registered under Section 12 of the Act), failed to file on a timely basis reports required by Section 16 of the Exchange Act during such fiscal year, except that, as a result of Company administrative error, (i) on June 8, 2021, four Form 4 filings relating to the acquisition of options granted were inadvertently filed later than the time prescribed by the SEC, (ii) on June 9, 2021, five Form 4 filings relating to the acquisition of options granted were inadvertently filed later than the time prescribed by the SEC, (iii) on July 23, 2021, one Form 4 filing relating to the acquisition of options granted was inadvertently filed later than the time prescribed by the SEC and (iv) on July 24, 2021, one Form 4 filing relating to the acquisition of options granted was inadvertently filed later than the time prescribed by the SEC.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Transactions Policy</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Prior to our initial public offering, we did not have a written policy for the review, approval or ratification of transactions with related parties.</w:t>
      </w:r>
    </w:p>
    <w:p>
      <w:pPr>
        <w:spacing w:after="0" w:line="82"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and Relationships with Directors, Officers and 5% Stockholders</w:t>
      </w:r>
    </w:p>
    <w:p>
      <w:pPr>
        <w:spacing w:after="0" w:line="12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including employment, termination of employment and change in control arrangements, with our directors and executive officers, the following is a description of each transaction since January 1, 2021, to which we were a party, in which:</w:t>
      </w:r>
    </w:p>
    <w:p>
      <w:pPr>
        <w:spacing w:after="0" w:line="68"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nominees for director, executive officers or beneficial holders of more than 5% of any class of our outstanding capital stock, or any immediate family member of, or person sharing the household with, any of these individuals or entities, had or will have a direct or indirect material interest.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Consulting Agreement with Arnold Levine, Ph.D.</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Arnold Levine, Ph.D., one of our co-founders and a member of our board of directors, serves on our SAB, as well as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provides us with additional consulting and advisory services. Dr. Levine receives an annual cash payment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$100,000 for his consulting and advisory services. In addition, in May 2021, consistent with other SAB members,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 Levine received an option grant of 5,781 shares, which vests monthly over a three-year period, in connection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his service on our SAB.</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Scientific Advisory Board – Richard Heyman, Ph.D.</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Richard Heyman, Ph.D., chairperson of our board of directors, serves on our SAB. Effective as of September 2021, Dr. Heyman waived his rights for any SAB compensation he is otherwise entitled to receive from us for his SAB service.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left="300" w:right="539"/>
        <w:spacing w:after="0" w:line="289" w:lineRule="auto"/>
        <w:rPr>
          <w:sz w:val="20"/>
          <w:szCs w:val="20"/>
          <w:color w:val="auto"/>
        </w:rPr>
      </w:pPr>
      <w:r>
        <w:rPr>
          <w:rFonts w:ascii="Times New Roman" w:cs="Times New Roman" w:eastAsia="Times New Roman" w:hAnsi="Times New Roman"/>
          <w:sz w:val="17"/>
          <w:szCs w:val="17"/>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provides that we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2"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are empowered to purchase insurance on behalf of any person whom we are required or permitted to indemnify.</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Board Structure</w:t>
      </w:r>
    </w:p>
    <w:p>
      <w:pPr>
        <w:spacing w:after="0" w:line="121" w:lineRule="exact"/>
        <w:rPr>
          <w:sz w:val="20"/>
          <w:szCs w:val="20"/>
          <w:color w:val="auto"/>
        </w:rPr>
      </w:pPr>
    </w:p>
    <w:p>
      <w:pPr>
        <w:ind w:left="300" w:right="379"/>
        <w:spacing w:after="0" w:line="289" w:lineRule="auto"/>
        <w:rPr>
          <w:sz w:val="20"/>
          <w:szCs w:val="20"/>
          <w:color w:val="auto"/>
        </w:rPr>
      </w:pPr>
      <w:r>
        <w:rPr>
          <w:rFonts w:ascii="Times New Roman" w:cs="Times New Roman" w:eastAsia="Times New Roman" w:hAnsi="Times New Roman"/>
          <w:sz w:val="17"/>
          <w:szCs w:val="17"/>
          <w:color w:val="auto"/>
        </w:rPr>
        <w:t>Our board of directors currently consists of seven members. Our directors are divided into three classes serving staggered three year terms. Upon expiration of the term of a class of directors, directors in that class will be eligible to be elected for a new three year term at the annual meeting of stockholders in the year in which their term expires.</w:t>
      </w:r>
    </w:p>
    <w:p>
      <w:pPr>
        <w:spacing w:after="0" w:line="50" w:lineRule="exact"/>
        <w:rPr>
          <w:sz w:val="20"/>
          <w:szCs w:val="20"/>
          <w:color w:val="auto"/>
        </w:rPr>
      </w:pPr>
    </w:p>
    <w:p>
      <w:pPr>
        <w:jc w:val="both"/>
        <w:ind w:left="300" w:right="519"/>
        <w:spacing w:after="0" w:line="266" w:lineRule="auto"/>
        <w:rPr>
          <w:sz w:val="20"/>
          <w:szCs w:val="20"/>
          <w:color w:val="auto"/>
        </w:rPr>
      </w:pPr>
      <w:r>
        <w:rPr>
          <w:rFonts w:ascii="Times New Roman" w:cs="Times New Roman" w:eastAsia="Times New Roman" w:hAnsi="Times New Roman"/>
          <w:sz w:val="18"/>
          <w:szCs w:val="18"/>
          <w:color w:val="auto"/>
        </w:rPr>
        <w:t>The terms of the Class II directors, Arnold Levine, Ph.D. and Charles M. Baum M.D., Ph.D., expire at the Annual Meeting. The Class III directors will serve until our annual meeting of stockholders in 2023. The Class I directors will serve until our annual meeting of stockholders in 2024.</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Our corporate governance and nominating committee has recommended, and our board of directors has approved, Arnold Levine, Ph.D. and Charles M. Baum, M.D., Ph.D. as nominees for election as Class II directors at the Annual Meeting. If elected, each of Drs. Levine and Baum will serve as a Class II director until the 2025 annual meeting of stockholders and until their respective successor is elected and qualified or until their earlier death, resignation or removal. For more information concerning the nominees, please see the section titled “</w:t>
      </w:r>
      <w:r>
        <w:rPr>
          <w:rFonts w:ascii="Times New Roman" w:cs="Times New Roman" w:eastAsia="Times New Roman" w:hAnsi="Times New Roman"/>
          <w:sz w:val="18"/>
          <w:szCs w:val="18"/>
          <w:i w:val="1"/>
          <w:i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Corporate Governance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Drs. Levine and Baum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THE ELECTION OF EACH OF THE DIRECTOR NOMINEES NAMED ABOVE.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60" w:lineRule="exact"/>
        <w:rPr>
          <w:sz w:val="20"/>
          <w:szCs w:val="20"/>
          <w:color w:val="auto"/>
        </w:rPr>
      </w:pPr>
    </w:p>
    <w:p>
      <w:pPr>
        <w:jc w:val="center"/>
        <w:ind w:left="1760" w:right="480"/>
        <w:spacing w:after="0" w:line="286" w:lineRule="auto"/>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 OUR NAMED EXECUTIVE OFFICERS</w:t>
      </w:r>
    </w:p>
    <w:p>
      <w:pPr>
        <w:spacing w:after="0" w:line="5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and Section 14A of the Exchange act enables our stockholders to approve, on an advisory or non-binding basis, the compensation of our named executive officers as disclosed in this proxy statement in accordance with the rules of the SEC. This proposal, commonly referred to as the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78" w:lineRule="exact"/>
        <w:rPr>
          <w:sz w:val="20"/>
          <w:szCs w:val="20"/>
          <w:color w:val="auto"/>
        </w:rPr>
      </w:pPr>
    </w:p>
    <w:p>
      <w:pPr>
        <w:jc w:val="both"/>
        <w:ind w:left="300" w:right="799"/>
        <w:spacing w:after="0" w:line="290" w:lineRule="auto"/>
        <w:rPr>
          <w:sz w:val="20"/>
          <w:szCs w:val="20"/>
          <w:color w:val="auto"/>
        </w:rPr>
      </w:pPr>
      <w:r>
        <w:rPr>
          <w:rFonts w:ascii="Times New Roman" w:cs="Times New Roman" w:eastAsia="Times New Roman" w:hAnsi="Times New Roman"/>
          <w:sz w:val="17"/>
          <w:szCs w:val="17"/>
          <w:color w:val="auto"/>
        </w:rPr>
        <w:t>You are encouraged to review the section titled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and, in particular, the section titled </w:t>
      </w:r>
      <w:r>
        <w:rPr>
          <w:rFonts w:ascii="Times New Roman" w:cs="Times New Roman" w:eastAsia="Times New Roman" w:hAnsi="Times New Roman"/>
          <w:sz w:val="17"/>
          <w:szCs w:val="17"/>
          <w:i w:val="1"/>
          <w:iCs w:val="1"/>
          <w:color w:val="auto"/>
        </w:rPr>
        <w:t xml:space="preserve">“Executive Compensation—Compensation Discussion and Analysis” </w:t>
      </w:r>
      <w:r>
        <w:rPr>
          <w:rFonts w:ascii="Times New Roman" w:cs="Times New Roman" w:eastAsia="Times New Roman" w:hAnsi="Times New Roman"/>
          <w:sz w:val="17"/>
          <w:szCs w:val="17"/>
          <w:color w:val="auto"/>
        </w:rPr>
        <w:t>in this proxy statement, which provide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comprehensive review of our executive compensation program and its elements, objectives and rationale.</w:t>
      </w:r>
    </w:p>
    <w:p>
      <w:pPr>
        <w:spacing w:after="0" w:line="4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We believe the information provided in this proxy statement demonstrates that our executive compensation program was designed appropriately and is working to ensure management’s interests are aligned with our stockholders’ interests to support long-term value creation. Accordingly, we are asking our stockholders to approve the compensation of our named executive officers as described in this proxy statement by voting “for” the following non-binding resolution:</w:t>
      </w:r>
    </w:p>
    <w:p>
      <w:pPr>
        <w:spacing w:after="0" w:line="71" w:lineRule="exact"/>
        <w:rPr>
          <w:sz w:val="20"/>
          <w:szCs w:val="20"/>
          <w:color w:val="auto"/>
        </w:rPr>
      </w:pPr>
    </w:p>
    <w:p>
      <w:pPr>
        <w:ind w:left="660" w:right="779"/>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stockholders approve, on an advisory basis, the compensation paid to our named executive officers, as disclosed pursuant to the compensation disclosure rules of the SEC, including the compensation discussion and analysis, the compensation tables and the narrative discussion.”</w:t>
      </w: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approval, on a non-binding advisory basis, of the compensation of our named executive officers requires the affirmative vote of a majority of the voting power of the shares present in person (including virtually) or represented by proxy at the Annual Meeting and entitled to vote thereon. Abstentions will have the same effect as a vote AGAINST this proposal. Broker non-votes will have no effect on the outcome of this proposal.</w:t>
      </w:r>
    </w:p>
    <w:p>
      <w:pPr>
        <w:spacing w:after="0" w:line="72"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ON A NON-BINDING ADVISORY BASIS, OF THE COMPENSATION OF OUR NAMED EXECUTIVE OFFICERS, AS DISCLOSED IN THIS PROXY STATEMENT.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60"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NON-BINDING ADVISORY VOTE ON THE FREQUENCY OF FUTURE STOCKHOLDER ADVISORY VOTES ON THE COMPENSATION OF OUR NAMED EXECUTIVE OFFICERS</w:t>
      </w:r>
    </w:p>
    <w:p>
      <w:pPr>
        <w:spacing w:after="0" w:line="5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our stockholders to indicate their preference at least once every six years regarding how frequently we should solicit a non-binding advisory vote on the compensation of our named executive officers as disclosed in our proxy statement. Accordingly, we are asking our stockholders to indicate whether they would prefer an advisory vote every one year, two years or three years. Alternatively, stockholders may abstain from casting a vote.</w:t>
      </w:r>
    </w:p>
    <w:p>
      <w:pPr>
        <w:spacing w:after="0" w:line="75"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our board of directors recommends that the advisory vote on the compensation of our named executive officers be submitted to the stockholders every year. In formulating its recommendation, our board of directors considered that compensation decisions are made annually and that an annual advisory vote on the compensation of our named executive officers will allow stockholders to provide more frequent and direct input on our compensation philosophy, policies and practices.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alternative among one year, two years or three years that receives the highest number of votes cast at the Annual Meeting by stockholders entitled to vote thereon will be deemed to be the frequency preferred by our stockholders. Abstentions and broker non-votes will have no effect on this proposal.</w:t>
      </w:r>
    </w:p>
    <w:p>
      <w:pPr>
        <w:spacing w:after="0" w:line="68"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While our board of directors believes that its recommendation is appropriate at this time, the stockholders are not voting to approve or disapprove that recommendation, but are instead asked to indicate their preference, on an advisory basis, as to whether non-binding future stockholder advisory votes on the compensation of our named executive officers should be held every year, two years or three years.</w:t>
      </w:r>
    </w:p>
    <w:p>
      <w:pPr>
        <w:spacing w:after="0" w:line="72"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As an advisory vote, the result of this proposal is non-binding. Although the vote is non-binding, our board of directors and our compensation committee value the opinions of our stockholders in this matter and, to the extent there is any significant vote in favor of one time period over another, will consider the outcome of this vote when making future decisions regarding the frequency of holding future stockholder advisory votes on the compensation of our named executive officers.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65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TO HOLD FUTURE STOCKHOLDER ADVISORY VOTES ON THE COMPENSATION OF OUR NAMED EXECUTIVE OFFICERS EVERY “ONE YEAR.”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Ernst &amp; Young LLP as our independent registered public accounting firm to audit our financial statements for our fiscal year ending December 31, 2022. Ernst &amp; Young LLP also served as our independent registered public accounting firm for the fiscal year ended December 31, 2021.</w:t>
      </w:r>
    </w:p>
    <w:p>
      <w:pPr>
        <w:spacing w:after="0" w:line="68"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At the Annual Meeting, we are asking our stockholders to ratify the appointment of Ernst &amp; Young LLP as our independent registered public accounting firm for our fiscal year ending December 31, 2022.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if they desire to do so and are expected to be available to respond to appropriate questions from our stockholders.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and Audit-Related Fees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Ernst &amp; Young LLP for the audit of the Company’s annual financial statements and internal control over financial reporting for the fiscal years ended December 31, 2021 and 2020 and fees billed for audit-related, tax, and other services rendered by Ernst &amp; Young LLP during those periods.</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50"/>
        </w:trPr>
        <w:tc>
          <w:tcPr>
            <w:tcW w:w="128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60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$828,800</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r>
      <w:tr>
        <w:trPr>
          <w:trHeight w:val="27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280" w:type="dxa"/>
            <w:vAlign w:val="bottom"/>
          </w:tcPr>
          <w:p>
            <w:pPr>
              <w:spacing w:after="0"/>
              <w:rPr>
                <w:sz w:val="4"/>
                <w:szCs w:val="4"/>
                <w:color w:val="auto"/>
              </w:rPr>
            </w:pPr>
          </w:p>
        </w:tc>
        <w:tc>
          <w:tcPr>
            <w:tcW w:w="5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00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(2)</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840,938</w:t>
            </w:r>
          </w:p>
        </w:tc>
      </w:tr>
      <w:tr>
        <w:trPr>
          <w:trHeight w:val="61"/>
        </w:trPr>
        <w:tc>
          <w:tcPr>
            <w:tcW w:w="1280" w:type="dxa"/>
            <w:vAlign w:val="bottom"/>
          </w:tcPr>
          <w:p>
            <w:pPr>
              <w:spacing w:after="0"/>
              <w:rPr>
                <w:sz w:val="5"/>
                <w:szCs w:val="5"/>
                <w:color w:val="auto"/>
              </w:rPr>
            </w:pPr>
          </w:p>
        </w:tc>
        <w:tc>
          <w:tcPr>
            <w:tcW w:w="53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828,800</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1,195,938</w:t>
            </w:r>
          </w:p>
        </w:tc>
      </w:tr>
      <w:tr>
        <w:trPr>
          <w:trHeight w:val="149"/>
        </w:trPr>
        <w:tc>
          <w:tcPr>
            <w:tcW w:w="1280" w:type="dxa"/>
            <w:vAlign w:val="bottom"/>
            <w:tcBorders>
              <w:bottom w:val="single" w:sz="8" w:color="auto"/>
            </w:tcBorders>
          </w:tcPr>
          <w:p>
            <w:pPr>
              <w:spacing w:after="0"/>
              <w:rPr>
                <w:sz w:val="12"/>
                <w:szCs w:val="12"/>
                <w:color w:val="auto"/>
              </w:rPr>
            </w:pPr>
          </w:p>
        </w:tc>
        <w:tc>
          <w:tcPr>
            <w:tcW w:w="5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-1165225</wp:posOffset>
            </wp:positionV>
            <wp:extent cx="205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-1165225</wp:posOffset>
            </wp:positionV>
            <wp:extent cx="1028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 w:lineRule="exact"/>
        <w:rPr>
          <w:sz w:val="20"/>
          <w:szCs w:val="20"/>
          <w:color w:val="auto"/>
        </w:rPr>
      </w:pPr>
    </w:p>
    <w:p>
      <w:pPr>
        <w:ind w:left="640" w:right="399" w:hanging="348"/>
        <w:spacing w:after="0" w:line="24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principally of services rendered in connection with the Company's initial public offering in September 2020.</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2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In 2021, there were no other professional services provided by Ernst &amp; Young LLP, other than those listed above, that would have required our audit committee to consider their compatibility with maintaining the independence of Ernst &amp; Young LLP.</w:t>
      </w:r>
    </w:p>
    <w:p>
      <w:pPr>
        <w:spacing w:after="0" w:line="172" w:lineRule="exact"/>
        <w:rPr>
          <w:sz w:val="20"/>
          <w:szCs w:val="20"/>
          <w:color w:val="auto"/>
        </w:rPr>
      </w:pPr>
    </w:p>
    <w:p>
      <w:pPr>
        <w:ind w:left="300" w:right="839"/>
        <w:spacing w:after="0" w:line="286" w:lineRule="auto"/>
        <w:rPr>
          <w:sz w:val="20"/>
          <w:szCs w:val="20"/>
          <w:color w:val="auto"/>
        </w:rPr>
      </w:pPr>
      <w:r>
        <w:rPr>
          <w:rFonts w:ascii="Times New Roman" w:cs="Times New Roman" w:eastAsia="Times New Roman" w:hAnsi="Times New Roman"/>
          <w:sz w:val="18"/>
          <w:szCs w:val="18"/>
          <w:b w:val="1"/>
          <w:bCs w:val="1"/>
          <w:color w:val="auto"/>
        </w:rPr>
        <w:t>Audit Committee Policy on Pre-Approval of Audit and Permissible Non-Audit Services of Independent Registered Public Accounting Firm</w:t>
      </w:r>
    </w:p>
    <w:p>
      <w:pPr>
        <w:spacing w:after="0" w:line="5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Ernst &amp; Young LLP for our fiscal years ended December 31, 2021 and 2020 were pre-approved by our audit committee.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our fiscal year ending December 31, 2022 requires the affirmative vote of a majority of the voting power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shares present in person (including virtually) or represented by proxy at the Annual Meeting and entitled to vote thereon. Abstentions will have the same effect as a vote AGAINST this proposal.</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ind w:left="300" w:right="999"/>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THE APPOINTMENT OF ERNST &amp; YOUNG LLP AS OUR INDEPENDENT REGISTERED PUBLIC ACCOUNTING FIRM FOR OUR FISCAL YEAR ENDING DECEMBER 31, 2022.</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1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Audit Committee Report shall not be deemed to be soliciting material or to be filed with the SEC or to the liabilities of Section 18 of the Exchange Act, nor shall such information be incorporated by reference into any prior or future filing under the Exchange Act, except to the extent that PMV Pharmaceuticals, Inc. specifically incorporates it by reference in such filing.</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serves as the representative of the board of directors with respect to its oversight of:</w:t>
      </w:r>
    </w:p>
    <w:p>
      <w:pPr>
        <w:spacing w:after="0" w:line="117"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and financial reporting processes and internal controls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integrity of the Company’s financial statements;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the Company’s independent auditors;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performance of the Company’s internal audit function, if applicable.</w:t>
      </w:r>
    </w:p>
    <w:p>
      <w:pPr>
        <w:spacing w:after="0" w:line="117"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audit committee also reviews the performance of the Company’s independent registered public accounting firm, Ernst &amp; Young LLP, in the annual audit of the Company’s financial statements and in assignments unrelated to the audit, and reviews the independent registered public accounting firm’s fees.</w:t>
      </w:r>
    </w:p>
    <w:p>
      <w:pPr>
        <w:spacing w:after="0" w:line="68"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three non-employee directors. The board of directors has determined that Ms. Stelzer, Dr. Heyman and Dr. Schroeder are each independent and that Ms. Stelzer is an “audit committee financial expert” under rules of the SEC.</w:t>
      </w:r>
    </w:p>
    <w:p>
      <w:pPr>
        <w:spacing w:after="0" w:line="6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audit committee provides the board of directors such information and materials as it may deem necessary to make the board of directors aware of financial matters requiring the attention of the board of directors. The audit committee reviews the Company’s financial disclosures and meets privately, outside the presence of management, with the Company’s independent registered public accounting firm. In fulfilling its oversight responsibilities, the audit committee reviewed and discussed the audited financial statements in the Company’s 2021 Annual Report on Form 10-K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the board of directors.</w:t>
      </w:r>
    </w:p>
    <w:p>
      <w:pPr>
        <w:spacing w:after="0" w:line="84" w:lineRule="exact"/>
        <w:rPr>
          <w:sz w:val="20"/>
          <w:szCs w:val="20"/>
          <w:color w:val="auto"/>
        </w:rPr>
      </w:pPr>
    </w:p>
    <w:p>
      <w:pPr>
        <w:ind w:left="300" w:right="659"/>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reviewed and discussed the Company’s audited consolidated financial statements with management and Ernst &amp; Young LLP, the Company’s independent registered public accounting firm. The audit committee has discussed with Ernst &amp; Young LLP the matters required to be discussed by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 the applicable requirements of the SEC.</w:t>
      </w:r>
    </w:p>
    <w:p>
      <w:pPr>
        <w:spacing w:after="0" w:line="75"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has received and reviewed the written disclosures and the letter from Ernst &amp; Young LLP required by the applicable requirements of the PCAOB regarding Ernst &amp; Young LLP’s communications with the audit committee concerning independence, and has discussed with Ernst &amp; Young LLP its independence. In addition, the audit committee has discussed with Ernst &amp; Young LLP its independence from management and the Company, including matters in the letter from Ernst &amp; Young LLP required by PCAOB Rule 3526, </w:t>
      </w:r>
      <w:r>
        <w:rPr>
          <w:rFonts w:ascii="Times New Roman" w:cs="Times New Roman" w:eastAsia="Times New Roman" w:hAnsi="Times New Roman"/>
          <w:sz w:val="18"/>
          <w:szCs w:val="18"/>
          <w:i w:val="1"/>
          <w:iCs w:val="1"/>
          <w:color w:val="auto"/>
        </w:rPr>
        <w:t>Communication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Audit Committees Concerning Independence</w:t>
      </w:r>
      <w:r>
        <w:rPr>
          <w:rFonts w:ascii="Times New Roman" w:cs="Times New Roman" w:eastAsia="Times New Roman" w:hAnsi="Times New Roman"/>
          <w:sz w:val="18"/>
          <w:szCs w:val="18"/>
          <w:color w:val="auto"/>
        </w:rPr>
        <w:t>, and considered the compatibility of non-audit services with Ernst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&amp; Young LLP’s independence.</w:t>
      </w:r>
    </w:p>
    <w:p>
      <w:pPr>
        <w:spacing w:after="0" w:line="8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Company’s audited consolidated financial statements be included in the Company’s Annual Report on Form 10-K for the fiscal year ended December 31, 2021 for filing with the SEC. The audit committee also has selected Ernst &amp; Young LLP as the independent registered public accounting firm for fiscal year 2022. The board of directors recommends that stockholders ratify this selection at the Annual Meeting.</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Laurie Stelzer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Richard Heyman, Ph.D.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Thilo Schroeder, Ph.D.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Proposals or Director Nominations for 2023 Annual Meeting</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2023 annual meeting pursuant to Rule 14a-8 of the Exchange Act, then the proposal must be received by our corporate secretary at our principal executive offices on or before December 24, 2022. In addition, stockholder proposals must comply with the requirements of Rule 14a-8 regarding the inclusion of stockholder proposals in company-sponsored proxy materials. Proposals should be addressed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Cranbury, New Jersey 08512</w:t>
      </w:r>
    </w:p>
    <w:p>
      <w:pPr>
        <w:spacing w:after="0" w:line="9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2023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81" w:lineRule="exact"/>
        <w:rPr>
          <w:sz w:val="20"/>
          <w:szCs w:val="20"/>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February 2, 2023;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March 4, 2023.</w:t>
      </w:r>
    </w:p>
    <w:p>
      <w:pPr>
        <w:spacing w:after="0" w:line="117"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In the event that we hold our 2023 annual meeting more or less than 25 days after the one-year anniversary of this year’s annual meeting, then such written notice must be received by our corporate secretary at our principal executive offices:</w:t>
      </w:r>
    </w:p>
    <w:p>
      <w:pPr>
        <w:spacing w:after="0" w:line="68"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8:00 a.m., Eastern, on the 120th day prior to the day of our 2023 annual meeting; and</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5:00 p.m., Eastern, on the 10th day following the day on which public announcement of the date of the annual meeting is first made by us.</w:t>
      </w:r>
    </w:p>
    <w:p>
      <w:pPr>
        <w:spacing w:after="0" w:line="5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Availability of Amended and Restated Bylaws</w:t>
      </w:r>
    </w:p>
    <w:p>
      <w:pPr>
        <w:spacing w:after="0" w:line="121"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 xml:space="preserve">A copy of our amended and restated bylaws may be obtained by accessing our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contact our corporate secretary at our principal executive offices for a copy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bylaw provisions regarding the requirements for making stockholder proposals and nominating director candidates.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Annual Report</w:t>
      </w:r>
    </w:p>
    <w:p>
      <w:pPr>
        <w:spacing w:after="0" w:line="121"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 xml:space="preserve">Our financial statements for our fiscal year ended December 31, 2021 are included in our annual report, which we will make available to stockholders at the same time as this proxy statement. Our proxy materials and our annual report are posted on our website at ir.pmvpharma.com and are available from the SEC at its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300" w:right="379"/>
        <w:spacing w:after="0" w:line="290" w:lineRule="auto"/>
        <w:rPr>
          <w:sz w:val="20"/>
          <w:szCs w:val="20"/>
          <w:color w:val="auto"/>
        </w:rPr>
      </w:pPr>
      <w:r>
        <w:rPr>
          <w:rFonts w:ascii="Times New Roman" w:cs="Times New Roman" w:eastAsia="Times New Roman" w:hAnsi="Times New Roman"/>
          <w:sz w:val="17"/>
          <w:szCs w:val="17"/>
          <w:b w:val="1"/>
          <w:bCs w:val="1"/>
          <w:color w:val="auto"/>
        </w:rPr>
        <w:t>You may also obtain a copy of our annual report, free of charge, by sending a written request to PMV Pharmaceuticals, Inc., 8 Clarke Drive, Suite 3, Cranbury, New Jersey 08512, Attention: Corporate Secretary.</w:t>
      </w:r>
    </w:p>
    <w:p>
      <w:pPr>
        <w:spacing w:after="0" w:line="4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59"/>
        <w:spacing w:after="0" w:line="289" w:lineRule="auto"/>
        <w:rPr>
          <w:sz w:val="20"/>
          <w:szCs w:val="20"/>
          <w:color w:val="auto"/>
        </w:rPr>
      </w:pPr>
      <w:r>
        <w:rPr>
          <w:rFonts w:ascii="Times New Roman" w:cs="Times New Roman" w:eastAsia="Times New Roman" w:hAnsi="Times New Roman"/>
          <w:sz w:val="17"/>
          <w:szCs w:val="17"/>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50"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Cranbury, New Jersey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22,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amp;"/>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Roman"/>
      <w:start w:val="3"/>
    </w:lvl>
  </w:abstractNum>
  <w:abstractNum w:abstractNumId="32">
    <w:nsid w:val="5C482A97"/>
    <w:multiLevelType w:val="hybridMultilevel"/>
    <w:lvl w:ilvl="0">
      <w:lvlJc w:val="left"/>
      <w:lvlText w:val="(%1)"/>
      <w:numFmt w:val="decimal"/>
      <w:start w:val="30"/>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9"/>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2022-04-22T07:03:30Z</dcterms:created>
  <dcterms:modified xsi:type="dcterms:W3CDTF">2022-04-22T07:03:30Z</dcterms:modified>
</cp:coreProperties>
</file>