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660" w:right="1620" w:hanging="3639"/>
        <w:spacing w:after="0" w:line="32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9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c>
          <w:tcPr>
            <w:tcW w:w="0" w:type="dxa"/>
            <w:vAlign w:val="bottom"/>
          </w:tcPr>
          <w:p>
            <w:pPr>
              <w:spacing w:after="0"/>
              <w:rPr>
                <w:sz w:val="1"/>
                <w:szCs w:val="1"/>
                <w:color w:val="auto"/>
              </w:rPr>
            </w:pP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c>
          <w:tcPr>
            <w:tcW w:w="306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08512</w:t>
            </w:r>
          </w:p>
        </w:tc>
        <w:tc>
          <w:tcPr>
            <w:tcW w:w="0" w:type="dxa"/>
            <w:vAlign w:val="bottom"/>
          </w:tcPr>
          <w:p>
            <w:pPr>
              <w:spacing w:after="0"/>
              <w:rPr>
                <w:sz w:val="1"/>
                <w:szCs w:val="1"/>
                <w:color w:val="auto"/>
              </w:rPr>
            </w:pPr>
          </w:p>
        </w:tc>
      </w:t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ind w:right="8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14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260" w:firstLine="509"/>
        <w:spacing w:after="0" w:line="23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3"/>
        </w:trPr>
        <w:tc>
          <w:tcPr>
            <w:tcW w:w="2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1" w:lineRule="exact"/>
        <w:rPr>
          <w:sz w:val="24"/>
          <w:szCs w:val="24"/>
          <w:color w:val="auto"/>
        </w:rPr>
      </w:pPr>
    </w:p>
    <w:p>
      <w:pPr>
        <w:ind w:right="2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right="4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November 8, 2022, the registrant had 45,665,428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8"/>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4"/>
              </w:rPr>
              <w:t>Condensed Financial Statements</w:t>
            </w:r>
          </w:p>
        </w:tc>
        <w:tc>
          <w:tcPr>
            <w:tcW w:w="80" w:type="dxa"/>
            <w:vAlign w:val="bottom"/>
            <w:tcBorders>
              <w:bottom w:val="single" w:sz="8" w:color="0000FF"/>
            </w:tcBorders>
          </w:tcPr>
          <w:p>
            <w:pPr>
              <w:spacing w:after="0"/>
              <w:rPr>
                <w:sz w:val="15"/>
                <w:szCs w:val="15"/>
                <w:color w:val="auto"/>
              </w:rPr>
            </w:pPr>
          </w:p>
        </w:tc>
        <w:tc>
          <w:tcPr>
            <w:tcW w:w="940" w:type="dxa"/>
            <w:vAlign w:val="bottom"/>
            <w:tcBorders>
              <w:bottom w:val="single" w:sz="8" w:color="0000FF"/>
            </w:tcBorders>
            <w:gridSpan w:val="2"/>
          </w:tcPr>
          <w:p>
            <w:pPr>
              <w:ind w:left="60"/>
              <w:spacing w:after="0" w:line="182" w:lineRule="exact"/>
              <w:rPr>
                <w:sz w:val="20"/>
                <w:szCs w:val="20"/>
                <w:color w:val="auto"/>
              </w:rPr>
            </w:pPr>
            <w:r>
              <w:rPr>
                <w:rFonts w:ascii="Times New Roman" w:cs="Times New Roman" w:eastAsia="Times New Roman" w:hAnsi="Times New Roman"/>
                <w:sz w:val="18"/>
                <w:szCs w:val="18"/>
                <w:color w:val="0000FF"/>
                <w:w w:val="98"/>
              </w:rPr>
              <w:t>(Unaudited)</w:t>
            </w:r>
          </w:p>
        </w:tc>
        <w:tc>
          <w:tcPr>
            <w:tcW w:w="604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 (Unaudited)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Stockholders’ Equity (Unaudited)</w:t>
            </w:r>
          </w:p>
        </w:tc>
        <w:tc>
          <w:tcPr>
            <w:tcW w:w="10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4"/>
              </w:rPr>
              <w:t>Notes to Unaudited Condensed Financial Statements</w:t>
            </w:r>
          </w:p>
        </w:tc>
        <w:tc>
          <w:tcPr>
            <w:tcW w:w="1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520" w:type="dxa"/>
            <w:vAlign w:val="bottom"/>
            <w:gridSpan w:val="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37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w:t>
            </w:r>
          </w:p>
        </w:tc>
        <w:tc>
          <w:tcPr>
            <w:tcW w:w="552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1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79"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0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61"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disease 2019, or COVID-19, pandemic, or other potential global disruptions on our business, such as the recent conflict between Russia and Ukraine and the trade sanctions imposed in response thereto</w:t>
      </w:r>
    </w:p>
    <w:p>
      <w:pPr>
        <w:spacing w:after="0" w:line="68"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2021,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1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7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159,007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284,984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78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September 30, 2022 and December</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2021. No shares issued or outstanding at September, 2022 and December 31, 2021.</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7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45,624,860 and</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4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45,433,684 shares issued and outstanding at September 30, 2022 and December 31, 2021, respectively.</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(221,698 )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(167,726 )</w:t>
            </w: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(1,025 )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10"/>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261,193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284,984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-2673985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-1816735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-1533525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 w:name="page6"/>
    <w:bookmarkEnd w:id="5"/>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2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2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(18,238 )</w:t>
            </w: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(14,992 )</w:t>
            </w:r>
          </w:p>
        </w:tc>
        <w:tc>
          <w:tcPr>
            <w:tcW w:w="16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(53,981 )</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(39,464 )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(18,229 )</w:t>
            </w: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(15,011 )</w:t>
            </w:r>
          </w:p>
        </w:tc>
        <w:tc>
          <w:tcPr>
            <w:tcW w:w="16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(53,972 )</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(39,487 )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(947 )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(18,231 )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(15,004 )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(54,919 )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(39,473 )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(0.40 )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45,622,957</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45,295,232</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45,556,635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45,052,100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-2047875</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-2047875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-2047875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-1199515</wp:posOffset>
            </wp:positionV>
            <wp:extent cx="768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-1199515</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-1199515</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-916305</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-916305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-633730</wp:posOffset>
            </wp:positionV>
            <wp:extent cx="7683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-633730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 w:name="page7"/>
    <w:bookmarkEnd w:id="6"/>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vMerge w:val="restart"/>
          </w:tcPr>
          <w:p>
            <w:pPr>
              <w:spacing w:after="0"/>
              <w:rPr>
                <w:sz w:val="3"/>
                <w:szCs w:val="3"/>
                <w:color w:val="auto"/>
              </w:rPr>
            </w:pPr>
          </w:p>
        </w:tc>
        <w:tc>
          <w:tcPr>
            <w:tcW w:w="11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15"/>
        </w:trPr>
        <w:tc>
          <w:tcPr>
            <w:tcW w:w="4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vMerge w:val="continue"/>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46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41"/>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1"/>
              <w:spacing w:after="0" w:line="146" w:lineRule="exact"/>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80" w:type="dxa"/>
            <w:vAlign w:val="bottom"/>
            <w:tcBorders>
              <w:right w:val="single" w:sz="8" w:color="auto"/>
            </w:tcBorders>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0" w:type="dxa"/>
            <w:vAlign w:val="bottom"/>
            <w:tcBorders>
              <w:right w:val="single" w:sz="8" w:color="CFF0FC"/>
            </w:tcBorders>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44,777,8</w:t>
            </w:r>
          </w:p>
        </w:tc>
        <w:tc>
          <w:tcPr>
            <w:tcW w:w="260" w:type="dxa"/>
            <w:vAlign w:val="bottom"/>
            <w:tcBorders>
              <w:right w:val="single" w:sz="8" w:color="CFF0FC"/>
            </w:tcBorders>
            <w:shd w:val="clear" w:color="auto" w:fill="CFF0FC"/>
          </w:tcPr>
          <w:p>
            <w:pPr>
              <w:spacing w:after="0"/>
              <w:rPr>
                <w:sz w:val="12"/>
                <w:szCs w:val="12"/>
                <w:color w:val="auto"/>
              </w:rPr>
            </w:pPr>
          </w:p>
        </w:tc>
        <w:tc>
          <w:tcPr>
            <w:tcW w:w="14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469,001</w:t>
            </w:r>
          </w:p>
        </w:tc>
        <w:tc>
          <w:tcPr>
            <w:tcW w:w="160" w:type="dxa"/>
            <w:vAlign w:val="bottom"/>
            <w:shd w:val="clear" w:color="auto" w:fill="CFF0FC"/>
          </w:tcPr>
          <w:p>
            <w:pPr>
              <w:spacing w:after="0"/>
              <w:rPr>
                <w:sz w:val="12"/>
                <w:szCs w:val="12"/>
                <w:color w:val="auto"/>
              </w:rPr>
            </w:pPr>
          </w:p>
        </w:tc>
        <w:tc>
          <w:tcPr>
            <w:tcW w:w="1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(109,880 )</w:t>
            </w:r>
          </w:p>
        </w:tc>
        <w:tc>
          <w:tcPr>
            <w:tcW w:w="18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auto"/>
            </w:tcBorders>
            <w:vMerge w:val="continue"/>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74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106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627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(11,602 )</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(11,602 )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right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44,881,1</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469,790</w:t>
            </w:r>
          </w:p>
        </w:tc>
        <w:tc>
          <w:tcPr>
            <w:tcW w:w="1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(121,482 )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tcBorders>
              <w:right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Exercise of stock options and common stock issued under the 2020</w:t>
            </w:r>
          </w:p>
        </w:tc>
        <w:tc>
          <w:tcPr>
            <w:tcW w:w="100" w:type="dxa"/>
            <w:vAlign w:val="bottom"/>
            <w:tcBorders>
              <w:right w:val="single" w:sz="8" w:color="CFF0FC"/>
            </w:tcBorders>
            <w:shd w:val="clear" w:color="auto" w:fill="CFF0FC"/>
          </w:tcPr>
          <w:p>
            <w:pPr>
              <w:spacing w:after="0"/>
              <w:rPr>
                <w:sz w:val="11"/>
                <w:szCs w:val="11"/>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332,398</w:t>
            </w:r>
          </w:p>
        </w:tc>
        <w:tc>
          <w:tcPr>
            <w:tcW w:w="26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right w:val="single" w:sz="8" w:color="CFF0FC"/>
            </w:tcBorders>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1,256</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00" w:type="dxa"/>
            <w:vAlign w:val="bottom"/>
            <w:tcBorders>
              <w:righ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(12,874 )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(12,874 )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1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80" w:type="dxa"/>
            <w:vAlign w:val="bottom"/>
            <w:tcBorders>
              <w:right w:val="single" w:sz="8" w:color="auto"/>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76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45,213,5</w:t>
            </w:r>
          </w:p>
        </w:tc>
        <w:tc>
          <w:tcPr>
            <w:tcW w:w="26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100" w:type="dxa"/>
            <w:vAlign w:val="bottom"/>
            <w:tcBorders>
              <w:right w:val="single" w:sz="8" w:color="CFF0FC"/>
            </w:tcBorders>
            <w:shd w:val="clear" w:color="auto" w:fill="CFF0FC"/>
          </w:tcPr>
          <w:p>
            <w:pPr>
              <w:spacing w:after="0"/>
              <w:rPr>
                <w:sz w:val="22"/>
                <w:szCs w:val="2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472,196</w:t>
            </w:r>
          </w:p>
        </w:tc>
        <w:tc>
          <w:tcPr>
            <w:tcW w:w="16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(134,356 )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337,847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138,640</w:t>
            </w: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(15,011 )</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(15,011 )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right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45,352,2</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18"/>
                <w:szCs w:val="18"/>
                <w:color w:val="auto"/>
              </w:rPr>
            </w:pP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474,301</w:t>
            </w:r>
          </w:p>
        </w:tc>
        <w:tc>
          <w:tcPr>
            <w:tcW w:w="1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(149,367 )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2"/>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5"/>
        </w:trPr>
        <w:tc>
          <w:tcPr>
            <w:tcW w:w="4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6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6"/>
        </w:trPr>
        <w:tc>
          <w:tcPr>
            <w:tcW w:w="46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1"/>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Borders>
              <w:right w:val="single" w:sz="8" w:color="auto"/>
            </w:tcBorders>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 w:type="dxa"/>
            <w:vAlign w:val="bottom"/>
            <w:tcBorders>
              <w:righ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45,433,6</w:t>
            </w:r>
          </w:p>
        </w:tc>
        <w:tc>
          <w:tcPr>
            <w:tcW w:w="260" w:type="dxa"/>
            <w:vAlign w:val="bottom"/>
            <w:tcBorders>
              <w:right w:val="single" w:sz="8" w:color="CFF0FC"/>
            </w:tcBorders>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476,363</w:t>
            </w:r>
          </w:p>
        </w:tc>
        <w:tc>
          <w:tcPr>
            <w:tcW w:w="160" w:type="dxa"/>
            <w:vAlign w:val="bottom"/>
            <w:shd w:val="clear" w:color="auto" w:fill="CFF0FC"/>
          </w:tcPr>
          <w:p>
            <w:pPr>
              <w:spacing w:after="0"/>
              <w:rPr>
                <w:sz w:val="13"/>
                <w:szCs w:val="13"/>
                <w:color w:val="auto"/>
              </w:rPr>
            </w:pPr>
          </w:p>
        </w:tc>
        <w:tc>
          <w:tcPr>
            <w:tcW w:w="18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(78 )</w:t>
            </w:r>
          </w:p>
        </w:tc>
        <w:tc>
          <w:tcPr>
            <w:tcW w:w="16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(167,726 )</w:t>
            </w:r>
          </w:p>
        </w:tc>
        <w:tc>
          <w:tcPr>
            <w:tcW w:w="18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308,559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vMerge w:val="continue"/>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74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1060" w:type="dxa"/>
            <w:vAlign w:val="bottom"/>
            <w:tcBorders>
              <w:right w:val="single" w:sz="8" w:color="CFF0FC"/>
            </w:tcBorders>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(18,433 )</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(18,433 )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(588 )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(588 )</w:t>
            </w: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45,532,3</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478,668</w:t>
            </w: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(666 )</w:t>
            </w: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(186,159 )</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291,843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tcBorders>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100" w:type="dxa"/>
            <w:vAlign w:val="bottom"/>
            <w:tcBorders>
              <w:right w:val="single" w:sz="8" w:color="CFF0FC"/>
            </w:tcBorders>
            <w:shd w:val="clear" w:color="auto" w:fill="CFF0FC"/>
          </w:tcPr>
          <w:p>
            <w:pPr>
              <w:spacing w:after="0"/>
              <w:rPr>
                <w:sz w:val="12"/>
                <w:szCs w:val="12"/>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90,218</w:t>
            </w:r>
          </w:p>
        </w:tc>
        <w:tc>
          <w:tcPr>
            <w:tcW w:w="2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(17,310 )</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(17,310 )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(357 )</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(357 )</w:t>
            </w: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tcBorders>
              <w:right w:val="single" w:sz="8" w:color="auto"/>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45,622,6</w:t>
            </w:r>
          </w:p>
        </w:tc>
        <w:tc>
          <w:tcPr>
            <w:tcW w:w="260" w:type="dxa"/>
            <w:vAlign w:val="bottom"/>
            <w:tcBorders>
              <w:right w:val="single" w:sz="8" w:color="CFF0FC"/>
            </w:tcBorders>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right w:val="single" w:sz="8" w:color="CFF0FC"/>
            </w:tcBorders>
            <w:vMerge w:val="restart"/>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vMerge w:val="restart"/>
            <w:shd w:val="clear" w:color="auto" w:fill="CFF0FC"/>
          </w:tcPr>
          <w:p>
            <w:pPr>
              <w:spacing w:after="0"/>
              <w:rPr>
                <w:sz w:val="13"/>
                <w:szCs w:val="13"/>
                <w:color w:val="auto"/>
              </w:rPr>
            </w:pPr>
          </w:p>
        </w:tc>
        <w:tc>
          <w:tcPr>
            <w:tcW w:w="6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481,462</w:t>
            </w:r>
          </w:p>
        </w:tc>
        <w:tc>
          <w:tcPr>
            <w:tcW w:w="160" w:type="dxa"/>
            <w:vAlign w:val="bottom"/>
            <w:shd w:val="clear" w:color="auto" w:fill="CFF0FC"/>
          </w:tcPr>
          <w:p>
            <w:pPr>
              <w:spacing w:after="0"/>
              <w:rPr>
                <w:sz w:val="13"/>
                <w:szCs w:val="13"/>
                <w:color w:val="auto"/>
              </w:rPr>
            </w:pPr>
          </w:p>
        </w:tc>
        <w:tc>
          <w:tcPr>
            <w:tcW w:w="8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(1,023 )</w:t>
            </w:r>
          </w:p>
        </w:tc>
        <w:tc>
          <w:tcPr>
            <w:tcW w:w="16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(203,469 )</w:t>
            </w:r>
          </w:p>
        </w:tc>
        <w:tc>
          <w:tcPr>
            <w:tcW w:w="18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276,970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100" w:type="dxa"/>
            <w:vAlign w:val="bottom"/>
            <w:tcBorders>
              <w:right w:val="single" w:sz="8" w:color="CFF0FC"/>
            </w:tcBorders>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760" w:type="dxa"/>
            <w:vAlign w:val="bottom"/>
            <w:tcBorders>
              <w:right w:val="single" w:sz="8" w:color="CFF0FC"/>
            </w:tcBorders>
            <w:vMerge w:val="continue"/>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60" w:type="dxa"/>
            <w:vAlign w:val="bottom"/>
            <w:vMerge w:val="continue"/>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740" w:type="dxa"/>
            <w:vAlign w:val="bottom"/>
            <w:tcBorders>
              <w:right w:val="single" w:sz="8" w:color="CFF0FC"/>
            </w:tcBorders>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100" w:type="dxa"/>
            <w:vAlign w:val="bottom"/>
            <w:vMerge w:val="continue"/>
            <w:shd w:val="clear" w:color="auto" w:fill="CFF0FC"/>
          </w:tcPr>
          <w:p>
            <w:pPr>
              <w:spacing w:after="0"/>
              <w:rPr>
                <w:sz w:val="21"/>
                <w:szCs w:val="21"/>
                <w:color w:val="auto"/>
              </w:rPr>
            </w:pPr>
          </w:p>
        </w:tc>
        <w:tc>
          <w:tcPr>
            <w:tcW w:w="1060" w:type="dxa"/>
            <w:vAlign w:val="bottom"/>
            <w:tcBorders>
              <w:right w:val="single" w:sz="8" w:color="CFF0FC"/>
            </w:tcBorders>
            <w:gridSpan w:val="2"/>
            <w:vMerge w:val="continue"/>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920" w:type="dxa"/>
            <w:vAlign w:val="bottom"/>
            <w:gridSpan w:val="2"/>
            <w:vMerge w:val="continue"/>
            <w:shd w:val="clear" w:color="auto" w:fill="CFF0FC"/>
          </w:tcPr>
          <w:p>
            <w:pPr>
              <w:spacing w:after="0"/>
              <w:rPr>
                <w:sz w:val="21"/>
                <w:szCs w:val="21"/>
                <w:color w:val="auto"/>
              </w:rPr>
            </w:pPr>
          </w:p>
        </w:tc>
        <w:tc>
          <w:tcPr>
            <w:tcW w:w="180" w:type="dxa"/>
            <w:vAlign w:val="bottom"/>
            <w:vMerge w:val="continue"/>
            <w:shd w:val="clear" w:color="auto" w:fill="CFF0FC"/>
          </w:tcPr>
          <w:p>
            <w:pPr>
              <w:spacing w:after="0"/>
              <w:rPr>
                <w:sz w:val="21"/>
                <w:szCs w:val="21"/>
                <w:color w:val="auto"/>
              </w:rPr>
            </w:pPr>
          </w:p>
        </w:tc>
        <w:tc>
          <w:tcPr>
            <w:tcW w:w="7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FF0FC"/>
            </w:tcBorders>
            <w:shd w:val="clear" w:color="auto" w:fill="CFF0FC"/>
          </w:tcPr>
          <w:p>
            <w:pPr>
              <w:spacing w:after="0"/>
              <w:rPr>
                <w:sz w:val="17"/>
                <w:szCs w:val="17"/>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(18,229 )</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(18,229 )</w:t>
            </w: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45,624,8</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483,916</w:t>
            </w: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(1,025 )</w:t>
            </w: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(221,698 )</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-5108575</wp:posOffset>
            </wp:positionV>
            <wp:extent cx="7747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-5108575</wp:posOffset>
            </wp:positionV>
            <wp:extent cx="6858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-5108575</wp:posOffset>
            </wp:positionV>
            <wp:extent cx="6858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-5108575</wp:posOffset>
            </wp:positionV>
            <wp:extent cx="6858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-5108575</wp:posOffset>
            </wp:positionV>
            <wp:extent cx="6858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-3985260</wp:posOffset>
            </wp:positionV>
            <wp:extent cx="364299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42995" cy="15430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-3445510</wp:posOffset>
            </wp:positionV>
            <wp:extent cx="7747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-3445510</wp:posOffset>
            </wp:positionV>
            <wp:extent cx="6858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-3445510</wp:posOffset>
            </wp:positionV>
            <wp:extent cx="6858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-3445510</wp:posOffset>
            </wp:positionV>
            <wp:extent cx="6858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-3445510</wp:posOffset>
            </wp:positionV>
            <wp:extent cx="6858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-1927860</wp:posOffset>
            </wp:positionV>
            <wp:extent cx="7747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-1927860</wp:posOffset>
            </wp:positionV>
            <wp:extent cx="6858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-1927860</wp:posOffset>
            </wp:positionV>
            <wp:extent cx="6858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-1927860</wp:posOffset>
            </wp:positionV>
            <wp:extent cx="6858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-1927860</wp:posOffset>
            </wp:positionV>
            <wp:extent cx="6858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-805180</wp:posOffset>
            </wp:positionV>
            <wp:extent cx="361759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7595" cy="15430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-264795</wp:posOffset>
            </wp:positionV>
            <wp:extent cx="7747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-264795</wp:posOffset>
            </wp:positionV>
            <wp:extent cx="6858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-264795</wp:posOffset>
            </wp:positionV>
            <wp:extent cx="6858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-264795</wp:posOffset>
            </wp:positionV>
            <wp:extent cx="6858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wp:posOffset>
            </wp:positionV>
            <wp:extent cx="6858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(53,972 )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(39,487 )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(accretion) of premiums on marketable securities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(2,196 )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(1,743 )</w:t>
            </w: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(2,191 )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18"/>
                <w:szCs w:val="18"/>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(48,436 )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(34,543 )</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(6,346 )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(194,512 )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(235,167 )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176,267</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ESPP</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100,672</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-2428240</wp:posOffset>
            </wp:positionV>
            <wp:extent cx="7747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-2428240</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-1579880</wp:posOffset>
            </wp:positionV>
            <wp:extent cx="7747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-1296670</wp:posOffset>
            </wp:positionV>
            <wp:extent cx="7747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-1296670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-730885</wp:posOffset>
            </wp:positionV>
            <wp:extent cx="7747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9" w:lineRule="exact"/>
        <w:rPr>
          <w:sz w:val="20"/>
          <w:szCs w:val="20"/>
          <w:color w:val="auto"/>
        </w:rPr>
      </w:pPr>
    </w:p>
    <w:p>
      <w:pPr>
        <w:ind w:left="520" w:right="7980" w:hanging="512"/>
        <w:spacing w:after="0" w:line="383"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spacing w:after="0" w:line="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8 Clarke Drive, Suite 3, Cranbury, New Jersey.</w:t>
      </w:r>
    </w:p>
    <w:p>
      <w:pPr>
        <w:spacing w:after="0" w:line="6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nine months ended September 30, 2022, the Company incurred a net loss of $18,229 and $53,972, respectively. For the nine months ended September 30, 2022, the Company used $48,436 of cash for operations. At September 30, 2022, the Company had an accumulated deficit of $221,698. Cash, cash equivalents, and marketable securities were $258,857 as of September 30, 2022.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twelve months from the date of issuance of these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0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 ended December 31, 2021, included in the Company’s Annual Report on Form 10-K filed with the United States Securities and Exchange Commission (the “SEC”) on March 1, 2022. Since the date of those financial statements, there have been no changes to its significant accounting policies.</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September 30, 2022, the condensed statements of operations and comprehensive loss, and condensed statements of stockholders’ equity for the three and nine months ended September 30, 2022 and 2021, and the condensed statements of cash flows for the nine months ended September 30, 2022 and 2021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condensed balance sheet as of December 31, 2021, has been derived from our audited financial statements.</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reasonable under the circumstances. Significant estimates and assumptions reflected in these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either short-term or long-term based on each instrument’s underlying contractual maturity date. Marketable debt securities with maturities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or less are classified as short-term and marketable debt securities with maturities greater than 12 months are classified as long-term. The</w:t>
      </w:r>
    </w:p>
    <w:p>
      <w:pPr>
        <w:spacing w:after="0" w:line="234" w:lineRule="auto"/>
        <w:rPr>
          <w:sz w:val="20"/>
          <w:szCs w:val="20"/>
          <w:color w:val="auto"/>
        </w:rPr>
      </w:pPr>
      <w:r>
        <w:rPr>
          <w:rFonts w:ascii="Times New Roman" w:cs="Times New Roman" w:eastAsia="Times New Roman" w:hAnsi="Times New Roman"/>
          <w:sz w:val="18"/>
          <w:szCs w:val="18"/>
          <w:color w:val="auto"/>
        </w:rPr>
        <w:t>Company’s marketable debt securities are carried at fair value, with unrealized gains and losses, net of taxes, reported as a component of accumulated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in stockholders’ equity. Premiums and discounts on marketable debt securities are amortized into earnings over the life of the security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recorded on the interest income, net line of the income statement. For the three months ended September 30, 2022 and 2021, the Company recorded</w:t>
      </w:r>
    </w:p>
    <w:p>
      <w:pPr>
        <w:spacing w:after="0" w:line="234" w:lineRule="auto"/>
        <w:rPr>
          <w:sz w:val="20"/>
          <w:szCs w:val="20"/>
          <w:color w:val="auto"/>
        </w:rPr>
      </w:pPr>
      <w:r>
        <w:rPr>
          <w:rFonts w:ascii="Times New Roman" w:cs="Times New Roman" w:eastAsia="Times New Roman" w:hAnsi="Times New Roman"/>
          <w:sz w:val="18"/>
          <w:szCs w:val="18"/>
          <w:color w:val="auto"/>
        </w:rPr>
        <w:t>$228 and $127 of amortization, respectively. For the nine months ended September 30, 2022 and 2021, the Company recorded $102 of accretion and $459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amortization, respectively.</w:t>
      </w:r>
    </w:p>
    <w:p>
      <w:pPr>
        <w:spacing w:after="0" w:line="9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2022,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40" w:lineRule="exact"/>
        <w:rPr>
          <w:sz w:val="20"/>
          <w:szCs w:val="20"/>
          <w:color w:val="auto"/>
        </w:rPr>
      </w:pPr>
    </w:p>
    <w:p>
      <w:pPr>
        <w:ind w:right="220" w:firstLine="509"/>
        <w:spacing w:after="0" w:line="280"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0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82" w:lineRule="exact"/>
        <w:rPr>
          <w:sz w:val="20"/>
          <w:szCs w:val="20"/>
          <w:color w:val="auto"/>
        </w:rPr>
      </w:pPr>
    </w:p>
    <w:p>
      <w:pPr>
        <w:ind w:right="280" w:firstLine="509"/>
        <w:spacing w:after="0" w:line="245"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8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assets consist of money market funds, U.S. government debt securities and corporate debt securities. The following tables show the Company’s cash equivalents and available-for-sale securities’ carrying amounts and fair values as of September 30, 2022, and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0" w:type="dxa"/>
            <w:vAlign w:val="bottom"/>
          </w:tcPr>
          <w:p>
            <w:pPr>
              <w:spacing w:after="0"/>
              <w:rPr>
                <w:sz w:val="11"/>
                <w:szCs w:val="11"/>
                <w:color w:val="auto"/>
              </w:rPr>
            </w:pPr>
          </w:p>
        </w:tc>
        <w:tc>
          <w:tcPr>
            <w:tcW w:w="1080" w:type="dxa"/>
            <w:vAlign w:val="bottom"/>
            <w:gridSpan w:val="4"/>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330"/>
              <w:spacing w:after="0" w:line="160"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 w:type="dxa"/>
            <w:vAlign w:val="bottom"/>
          </w:tcPr>
          <w:p>
            <w:pPr>
              <w:spacing w:after="0"/>
              <w:rPr>
                <w:sz w:val="13"/>
                <w:szCs w:val="13"/>
                <w:color w:val="auto"/>
              </w:rPr>
            </w:pPr>
          </w:p>
        </w:tc>
        <w:tc>
          <w:tcPr>
            <w:tcW w:w="1080" w:type="dxa"/>
            <w:vAlign w:val="bottom"/>
            <w:gridSpan w:val="4"/>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4"/>
          </w:tcPr>
          <w:p>
            <w:pPr>
              <w:jc w:val="center"/>
              <w:ind w:right="15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CFF0FC"/>
            </w:tcBorders>
            <w:shd w:val="clear" w:color="auto" w:fill="CFF0FC"/>
          </w:tcPr>
          <w:p>
            <w:pPr>
              <w:spacing w:after="0"/>
              <w:rPr>
                <w:sz w:val="16"/>
                <w:szCs w:val="16"/>
                <w:color w:val="auto"/>
              </w:rPr>
            </w:pPr>
          </w:p>
        </w:tc>
        <w:tc>
          <w:tcPr>
            <w:tcW w:w="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74,369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74,369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(533 )</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61,691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(492 )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258,380</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257,355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$ 102,420</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154,935</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4"/>
          </w:tcPr>
          <w:p>
            <w:pPr>
              <w:jc w:val="center"/>
              <w:ind w:right="15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4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2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40,960</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$ 40,960</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227,378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227,362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310,645</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310,567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$ 40,960</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269,607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-1636395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-1619250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-1636395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-1619250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-1636395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-1619250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-1636395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-1619250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-1636395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-1636395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September 30, 2022, the Company had cash of $1,502 and cash equivalents of $98,348. Cash equivalents consisted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funds of $74,369 corporate debt securities of $4,979 and government securities of $19,000. As of December 31, 2021, the Company had cash of $3,508 and cash equivalents of $168,960. Cash equivalents consisted of money market funds of $40,960 and corporate debt securities of $128,000.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9" w:lineRule="exact"/>
        <w:rPr>
          <w:sz w:val="20"/>
          <w:szCs w:val="20"/>
          <w:color w:val="auto"/>
        </w:rPr>
      </w:pPr>
    </w:p>
    <w:p>
      <w:pPr>
        <w:ind w:right="3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$159,007 as of September 30, 2022, consisted of corporate debt securities of $116,808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$42,199. There were $159,007 current marketable securities and no noncurrent marketable securities as of September 30, 2022. Marketable securities of $141,607 as of December 31, 2021, consisted of corporate debt securities of $99,362 and government debt securities of $42,245. There were $124,696 current marketable securities and $16,911 noncurrent marketable securities as of December 31, 2021.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aggregated gross unrealized losses of available-for-sale investments were not material, and accordingly, no allowance for credit losses was recorded.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(1,868 )</w:t>
            </w:r>
          </w:p>
        </w:tc>
      </w:tr>
      <w:tr>
        <w:trPr>
          <w:trHeight w:val="21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2022 and 2021 was $74 and $80, respectively. Depreciation expense for the nine months ended September 30, 2022 and 2021 was $240 and $230,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1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expired June 2022. In January 2022, the Company signed a lease extension for both leases for up to one additional year with the option to terminate upon 120 days of written notice, with an increase in base rent as per the lease extension.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8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expired in July 2022. In January 2022, the Company signed a lease extension for up to one additional year with the option to terminate upon 120 days of written notice, with an increase in base rent as per the lease extension.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September 30, 2022, the remaining rent incentive pertaining to the Lexington, MA lease totaled $35.</w:t>
      </w:r>
    </w:p>
    <w:p>
      <w:pPr>
        <w:spacing w:after="0" w:line="69"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is intended to replace the Company’s two existing facilities and the space is expected to become the Company’s future headquarters. Payment under this lease will total $19,889 through May 2032. The Company received a lease incentive of $4,046 from the lessor for a buildout of laboratory, vivarium, and office space, to be reimbursed to the Company in 2022. Management estimated the timing and amounts of reimbursements and included them as a reduction of lease payments when initially measuring the lease liability and right-of-use asset upon commencement. As of September 30, 2022, $1,612 of reimbursements were received.</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nine months ended September 30, 2022, and 2021,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9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176"/>
        </w:trPr>
        <w:tc>
          <w:tcPr>
            <w:tcW w:w="54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gridSpan w:val="2"/>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-594995</wp:posOffset>
            </wp:positionV>
            <wp:extent cx="284162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41625" cy="1625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September 30, 2022, and December 31, 2021,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-431165</wp:posOffset>
            </wp:positionV>
            <wp:extent cx="6858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nine months ended September 30, 2022 and 2021, respectively,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360" w:type="dxa"/>
            <w:vAlign w:val="bottom"/>
          </w:tcPr>
          <w:p>
            <w:pPr>
              <w:spacing w:after="0"/>
              <w:rPr>
                <w:sz w:val="17"/>
                <w:szCs w:val="17"/>
                <w:color w:val="auto"/>
              </w:rPr>
            </w:pP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1260" w:type="dxa"/>
            <w:vAlign w:val="bottom"/>
            <w:tcBorders>
              <w:top w:val="single" w:sz="8" w:color="auto"/>
            </w:tcBorders>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18"/>
                <w:szCs w:val="18"/>
                <w:color w:val="auto"/>
              </w:rPr>
            </w:pP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1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20"/>
                <w:szCs w:val="20"/>
                <w:color w:val="auto"/>
              </w:rPr>
            </w:pPr>
          </w:p>
        </w:tc>
      </w:tr>
      <w:tr>
        <w:trPr>
          <w:trHeight w:val="589"/>
        </w:trPr>
        <w:tc>
          <w:tcPr>
            <w:tcW w:w="73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7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Future minimum lease payments, net of reimbursements, remaining as of September 30, 2022, under operating leases by fiscal year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(1,925 )</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Pr>
          <w:p>
            <w:pPr>
              <w:spacing w:after="0"/>
              <w:rPr>
                <w:sz w:val="18"/>
                <w:szCs w:val="18"/>
                <w:color w:val="auto"/>
              </w:rPr>
            </w:pPr>
          </w:p>
        </w:tc>
      </w:tr>
      <w:tr>
        <w:trPr>
          <w:trHeight w:val="210"/>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8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(4,539 )</w:t>
            </w:r>
          </w:p>
        </w:tc>
      </w:tr>
      <w:tr>
        <w:trPr>
          <w:trHeight w:val="249"/>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Rent expense recorded during the three months ended September 30, 2022 and 2021 was $578 and $511, respectively. Rent expense recorded during the nine months ended September 30, 2022 and 2021 was $1,619 and $1,180, respectively.</w:t>
      </w:r>
    </w:p>
    <w:p>
      <w:pPr>
        <w:spacing w:after="0" w:line="4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1 Research Way in Princeton, NJ, to begin April 2021 and end June 2021. Sublease income recorded during the three months ended September 30, 2022 and 2021 was $29 and $29, respectively. Sublease income recorded during the nine months ended September 30, 2022 and 2021 was $83 and $89, respectively.</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September 30, 2022 and December 31, 2021, there were 45,624,860 and 45,433,684 shares of common stock issued and outstanding, respectively.</w:t>
      </w:r>
    </w:p>
    <w:p>
      <w:pPr>
        <w:spacing w:after="0" w:line="82"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September 30, 2022, no dividends on common stock had been declared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 of directors exercised its discretion under clause (iii) to increase the number of shares of common stock reserved for issuance under the 2020 Plan by a lesser amount of 1,363,084 shares, effective as of January 1, 2022. As of September 30, 2022, there were 4,727,364 shares available for issuance under the 2020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08"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increase to the shares reserved under the 2020 ESPP. On May 20, 2022, employees exercised their right to purchase 18,454 shares under the 2020 ESPP. As of September 30, 2022, 65,520 shares are issued or outstanding, and there were 801,464 shares available for issuance, under the 2020 ESPP.</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nine-month period ended September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8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10"/>
        </w:trPr>
        <w:tc>
          <w:tcPr>
            <w:tcW w:w="4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2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1,363,084</w:t>
            </w:r>
          </w:p>
        </w:tc>
        <w:tc>
          <w:tcPr>
            <w:tcW w:w="2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(1,296,797 )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1,296,797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(374,899 )</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84,296</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(84,296 )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 (unaudited)</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4,727,364</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5,285,786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2022</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5,285,786</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2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3,221,232</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6.37</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5.71</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24,664</w:t>
            </w:r>
          </w:p>
        </w:tc>
        <w:tc>
          <w:tcPr>
            <w:tcW w:w="10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-488315</wp:posOffset>
            </wp:positionV>
            <wp:extent cx="176593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65935" cy="1631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2022, the total compensation cost related to nonvested awards not yet recognized is $22,378. The weighted-average period over which the nonvested awards is expected to be recognized is 3.0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5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- 3.42%</w:t>
            </w: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- 1.22%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c>
          <w:tcPr>
            <w:tcW w:w="2540" w:type="dxa"/>
            <w:vAlign w:val="bottom"/>
            <w:gridSpan w:val="3"/>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77.00%-81.00%</w:t>
            </w:r>
          </w:p>
        </w:tc>
        <w:tc>
          <w:tcPr>
            <w:tcW w:w="25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79.00-79.90%</w:t>
            </w:r>
          </w:p>
        </w:tc>
        <w:tc>
          <w:tcPr>
            <w:tcW w:w="100" w:type="dxa"/>
            <w:vAlign w:val="bottom"/>
          </w:tcPr>
          <w:p>
            <w:pPr>
              <w:spacing w:after="0"/>
              <w:rPr>
                <w:sz w:val="20"/>
                <w:szCs w:val="20"/>
                <w:color w:val="auto"/>
              </w:rPr>
            </w:pPr>
          </w:p>
        </w:tc>
      </w:tr>
    </w:tbl>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options granted and stock purchase rights under the ESPP are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5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8"/>
                <w:szCs w:val="18"/>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0.02%</w:t>
            </w:r>
          </w:p>
        </w:tc>
        <w:tc>
          <w:tcPr>
            <w:tcW w:w="100" w:type="dxa"/>
            <w:vAlign w:val="bottom"/>
            <w:shd w:val="clear" w:color="auto" w:fill="CCEC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0.49</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0.50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CFF"/>
          </w:tcPr>
          <w:p>
            <w:pPr>
              <w:spacing w:after="0"/>
              <w:rPr>
                <w:sz w:val="18"/>
                <w:szCs w:val="18"/>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77.00%</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79.00%</w:t>
            </w:r>
          </w:p>
        </w:tc>
        <w:tc>
          <w:tcPr>
            <w:tcW w:w="100" w:type="dxa"/>
            <w:vAlign w:val="bottom"/>
          </w:tcPr>
          <w:p>
            <w:pPr>
              <w:spacing w:after="0"/>
              <w:rPr>
                <w:sz w:val="20"/>
                <w:szCs w:val="20"/>
                <w:color w:val="auto"/>
              </w:rPr>
            </w:pPr>
          </w:p>
        </w:tc>
      </w:tr>
    </w:tbl>
    <w:p>
      <w:pPr>
        <w:spacing w:after="0" w:line="3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an average of the historical volatilities of comparable publicly traded companies for the expected term.</w:t>
      </w:r>
    </w:p>
    <w:p>
      <w:pPr>
        <w:spacing w:after="0" w:line="104"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6"/>
                <w:szCs w:val="16"/>
                <w:color w:val="auto"/>
              </w:rPr>
            </w:pPr>
          </w:p>
        </w:tc>
      </w:tr>
      <w:tr>
        <w:trPr>
          <w:trHeight w:val="213"/>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8"/>
                <w:szCs w:val="18"/>
                <w:color w:val="auto"/>
              </w:rPr>
            </w:pPr>
          </w:p>
        </w:tc>
      </w:tr>
      <w:tr>
        <w:trPr>
          <w:trHeight w:val="199"/>
        </w:trPr>
        <w:tc>
          <w:tcPr>
            <w:tcW w:w="4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8"/>
                <w:szCs w:val="18"/>
                <w:color w:val="auto"/>
              </w:rPr>
            </w:pPr>
          </w:p>
        </w:tc>
      </w:tr>
      <w:tr>
        <w:trPr>
          <w:trHeight w:val="249"/>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6"/>
                <w:szCs w:val="16"/>
                <w:color w:val="auto"/>
              </w:rPr>
            </w:pPr>
          </w:p>
        </w:tc>
      </w:tr>
      <w:tr>
        <w:trPr>
          <w:trHeight w:val="213"/>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8"/>
                <w:szCs w:val="18"/>
                <w:color w:val="auto"/>
              </w:rPr>
            </w:pPr>
          </w:p>
        </w:tc>
      </w:tr>
      <w:tr>
        <w:trPr>
          <w:trHeight w:val="199"/>
        </w:trPr>
        <w:tc>
          <w:tcPr>
            <w:tcW w:w="4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4"/>
                <w:szCs w:val="14"/>
                <w:color w:val="auto"/>
              </w:rPr>
            </w:pPr>
          </w:p>
        </w:tc>
      </w:tr>
      <w:tr>
        <w:trPr>
          <w:trHeight w:val="173"/>
        </w:trPr>
        <w:tc>
          <w:tcPr>
            <w:tcW w:w="7100" w:type="dxa"/>
            <w:vAlign w:val="bottom"/>
          </w:tcPr>
          <w:p>
            <w:pPr>
              <w:spacing w:after="0"/>
              <w:rPr>
                <w:sz w:val="15"/>
                <w:szCs w:val="15"/>
                <w:color w:val="auto"/>
              </w:rPr>
            </w:pPr>
          </w:p>
        </w:tc>
        <w:tc>
          <w:tcPr>
            <w:tcW w:w="13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r>
      <w:tr>
        <w:trPr>
          <w:trHeight w:val="210"/>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374,899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r>
      <w:tr>
        <w:trPr>
          <w:trHeight w:val="250"/>
        </w:trPr>
        <w:tc>
          <w:tcPr>
            <w:tcW w:w="71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2022</w:t>
            </w:r>
          </w:p>
        </w:tc>
        <w:tc>
          <w:tcPr>
            <w:tcW w:w="13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374,899</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totaling $103 was recognized for the RSUs for the three and nine months ended September 30, 2022.</w:t>
      </w:r>
    </w:p>
    <w:p>
      <w:pPr>
        <w:spacing w:after="0" w:line="10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$5,004 of unrecognized compensation cost related to RSUs that are expected to vest. These costs are expected to be recognized over a weighted average remaining vesting period of 2.0 years.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recorded a full valuation allowance on federal and state deferred tax assets since management does not forecast the Company to be in a taxable position in the near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8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4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5,285,786</w:t>
            </w:r>
          </w:p>
        </w:tc>
        <w:tc>
          <w:tcPr>
            <w:tcW w:w="260" w:type="dxa"/>
            <w:vAlign w:val="bottom"/>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4,225,430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6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employee stock purchase plan shares</w:t>
            </w:r>
          </w:p>
        </w:tc>
        <w:tc>
          <w:tcPr>
            <w:tcW w:w="1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801,464</w:t>
            </w:r>
          </w:p>
        </w:tc>
        <w:tc>
          <w:tcPr>
            <w:tcW w:w="260" w:type="dxa"/>
            <w:vAlign w:val="bottom"/>
            <w:tcBorders>
              <w:bottom w:val="single" w:sz="8" w:color="CFF0FC"/>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6,462,149</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5,037,374</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as of September 2021. Total consulting fees paid in each of the three months ended September 30, 2022 and 2021, were $19.7 and $29, respectively. Total consulting fees paid in each of the nine months ended September 30, 2022 and 2021, were $78 and $85, respectively. There were no amounts owed under the consulting agreements as of September 30, 2022.</w:t>
      </w:r>
    </w:p>
    <w:p>
      <w:pPr>
        <w:spacing w:after="0" w:line="69"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Total consulting fees paid as of the year ended December 31, 2021, was $110. In May of 2021, the two members of the board of directors were awarded 5,781 options of Company stock each, as per their updated Scientific Advisory Board agreements. There were no amounts owed under the consulting agreements as of December 31, 2021.</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2021 and 2020 and the related Management’s Discussion and Analysis of Financial Condition and Results of Operations, including Contractual Obligations and Commitments, and Critical Accounting Policies and Significant Judgments and Estimates, included in our Annual Report on Form 10-K for the fiscal year ended December 31, 2021 filed with the Securities and Exchange Commission (SEC) on March 1, 2022. Unless the context requires otherwise, references in this Quarterly Report on Form 10-Q to “we,” “us,” and “our” refer to PMV Pharmaceuticals, Inc.</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2021, as updated by our subsequent filings under the Securities Exchange Act of 1934, as amended. Furthermore, past operating results are not necessarily indicative of results that may occur in future periods.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certain cancers where wild-type p53 function is silenced.</w:t>
      </w:r>
    </w:p>
    <w:p>
      <w:pPr>
        <w:spacing w:after="0" w:line="6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$57.8 million and $34.4 million for the years ended December 31, 2021, and 2020, respectively. During the three and nine months ended September 30, 2022, the Company incurred a net loss of $18.2 million and $54.0 million, respectively. As of September 30, 2022, we had an accumulated deficit of $221.7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8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9" w:lineRule="exact"/>
        <w:rPr>
          <w:sz w:val="20"/>
          <w:szCs w:val="20"/>
          <w:color w:val="auto"/>
        </w:rPr>
      </w:pPr>
    </w:p>
    <w:p>
      <w:pPr>
        <w:jc w:val="both"/>
        <w:ind w:right="900" w:firstLine="509"/>
        <w:spacing w:after="0" w:line="250"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6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at the 2022 ASCO Annual Meeting.</w:t>
      </w:r>
    </w:p>
    <w:p>
      <w:pPr>
        <w:spacing w:after="0" w:line="7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(226 )</w:t>
            </w:r>
          </w:p>
        </w:tc>
      </w:tr>
      <w:tr>
        <w:trPr>
          <w:trHeight w:val="210"/>
        </w:trPr>
        <w:tc>
          <w:tcPr>
            <w:tcW w:w="66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(19,375 )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(15,097 )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(4,278 )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(18,238 )</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(14,992 )</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(3,246 )</w:t>
            </w: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10"/>
        </w:trPr>
        <w:tc>
          <w:tcPr>
            <w:tcW w:w="66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(18,229 )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(15,011 )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-1988185</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-1431290</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-1431290</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685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-307975</wp:posOffset>
            </wp:positionV>
            <wp:extent cx="6858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418"/>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75"/>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$13.7 million for the three months ended September 30, 2022, compared to $9.2 million for the three months ended September 30, 2021. The increase of $4.5 million, compared to the three months ended September 30, 2021, was primarily due to the following:</w:t>
      </w:r>
    </w:p>
    <w:p>
      <w:pPr>
        <w:spacing w:after="0" w:line="61"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research expenses, largely driven by decreased contractual research organization costs;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increase in development expenses associated with advancing our lead product candidate, PC14586, through the Phase 1/2 clinical trial;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increase in expenses for personnel related costs and stock-based compensation, primarily driven by increased headcount.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$5.7 million for the three months ended September 30, 2022, compared to $5.9 million for the three months ended September 30, 2021. The decrease of $0.2 million, compared to the three months ended September 30, 2021, was primarily due to following:</w:t>
      </w:r>
    </w:p>
    <w:p>
      <w:pPr>
        <w:spacing w:after="0" w:line="54"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decrease in personnel and office related expense and $0.4 million decrease in finance and legal support;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increase due to facility related costs for our new office and laboratory building in Princeton, NJ.</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$1.1 million for the three months ended September 30, 2022. The increase of $1.0 million compared to the three months ended September 30, 2021, is driven by increased interest rates from cash investments in marketable securities and U.S treasuries during the three months ended September 30,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5"/>
                <w:szCs w:val="15"/>
                <w:color w:val="auto"/>
              </w:rPr>
            </w:pPr>
          </w:p>
        </w:tc>
        <w:tc>
          <w:tcPr>
            <w:tcW w:w="302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35"/>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53"/>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(55,878 )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(39,821 )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(16,057 )</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(53,981 )</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(39,464 )</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(14,517 )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(53,972 )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(39,487 )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(14,485 )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-1988185</wp:posOffset>
            </wp:positionV>
            <wp:extent cx="7747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-1430655</wp:posOffset>
            </wp:positionV>
            <wp:extent cx="7747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-1430655</wp:posOffset>
            </wp:positionV>
            <wp:extent cx="6858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-307975</wp:posOffset>
            </wp:positionV>
            <wp:extent cx="7747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-307975</wp:posOffset>
            </wp:positionV>
            <wp:extent cx="6858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7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418"/>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8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8"/>
                <w:szCs w:val="18"/>
                <w:color w:val="auto"/>
              </w:rPr>
            </w:pPr>
          </w:p>
        </w:tc>
      </w:tr>
      <w:tr>
        <w:trPr>
          <w:trHeight w:val="25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88"/>
        </w:trPr>
        <w:tc>
          <w:tcPr>
            <w:tcW w:w="3740" w:type="dxa"/>
            <w:vAlign w:val="bottom"/>
          </w:tcPr>
          <w:p>
            <w:pPr>
              <w:spacing w:after="0"/>
              <w:rPr>
                <w:sz w:val="24"/>
                <w:szCs w:val="24"/>
                <w:color w:val="auto"/>
              </w:rPr>
            </w:pPr>
          </w:p>
        </w:tc>
        <w:tc>
          <w:tcPr>
            <w:tcW w:w="2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-487680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-470535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-470535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$37.0 million for the nine months ended September 30, 2022, compared to $24.4 million for the nine months ended September 30, 2021. The increase of $12.6 million, compared to the nine months ended September 30, 2021, was primarily due to the following:</w:t>
      </w:r>
    </w:p>
    <w:p>
      <w:pPr>
        <w:spacing w:after="0" w:line="82" w:lineRule="exact"/>
        <w:rPr>
          <w:sz w:val="20"/>
          <w:szCs w:val="20"/>
          <w:color w:val="auto"/>
        </w:rPr>
      </w:pPr>
    </w:p>
    <w:p>
      <w:pPr>
        <w:ind w:left="1020" w:right="660" w:hanging="368"/>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decrease in research expenses, largely driven by decreased contractual research organization costs focused on discovery research;</w:t>
      </w:r>
    </w:p>
    <w:p>
      <w:pPr>
        <w:spacing w:after="0" w:line="54" w:lineRule="exact"/>
        <w:rPr>
          <w:rFonts w:ascii="Times New Roman" w:cs="Times New Roman" w:eastAsia="Times New Roman" w:hAnsi="Times New Roman"/>
          <w:sz w:val="18"/>
          <w:szCs w:val="18"/>
          <w:color w:val="auto"/>
        </w:rPr>
      </w:pPr>
    </w:p>
    <w:p>
      <w:pPr>
        <w:ind w:left="1020" w:right="540" w:hanging="368"/>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increase in development expenses associate with advancing our lead product candidate, PC14586, through the Phase 1/2 clinical trial; and</w:t>
      </w:r>
    </w:p>
    <w:p>
      <w:pPr>
        <w:spacing w:after="0" w:line="40"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in expenses for personnel-related costs and stock-based compensation, primarily driven by increased headcount.</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$18.9 million for the nine months ended September 30, 2022, compared to $15.5 million for the nine months ended September 30, 2021. The increase of $3.4 million, compared to the nine months ended September 30, 2021, was primarily due to the following:</w:t>
      </w:r>
    </w:p>
    <w:p>
      <w:pPr>
        <w:spacing w:after="0" w:line="169" w:lineRule="exact"/>
        <w:rPr>
          <w:sz w:val="20"/>
          <w:szCs w:val="20"/>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in personnel related expense due to increased headcount to build out general and administrative infrastructure; and</w:t>
      </w:r>
    </w:p>
    <w:p>
      <w:pPr>
        <w:spacing w:after="0" w:line="103" w:lineRule="exact"/>
        <w:rPr>
          <w:rFonts w:ascii="Times New Roman" w:cs="Times New Roman" w:eastAsia="Times New Roman" w:hAnsi="Times New Roman"/>
          <w:sz w:val="18"/>
          <w:szCs w:val="18"/>
          <w:color w:val="auto"/>
        </w:rPr>
      </w:pPr>
    </w:p>
    <w:p>
      <w:pPr>
        <w:ind w:left="1020" w:right="120" w:hanging="368"/>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in finance and legal support, along with a $0.1 million decrease for directors and officers insurance, and a $1.0 million increase due to facility related costs for our new office and laboratory building in Princeton, NJ.</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$1.8 million for the nine months ended September 30, 2022 compared to $0.3 million for the nine months ended September 30, 2021. The increase of $1.5 million is driven by increased interest rates from cash investments in marketable securities and U.S treasuries during the nine months ended September 30, 2022.</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(72,617 )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159,007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(16,911 )</w:t>
            </w:r>
          </w:p>
        </w:tc>
      </w:tr>
      <w:tr>
        <w:trPr>
          <w:trHeight w:val="24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258,857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(36,110 )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(563 )</w:t>
            </w:r>
          </w:p>
        </w:tc>
      </w:tr>
      <w:tr>
        <w:trPr>
          <w:trHeight w:val="20"/>
        </w:trPr>
        <w:tc>
          <w:tcPr>
            <w:tcW w:w="6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(35,547 )</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-745490</wp:posOffset>
            </wp:positionV>
            <wp:extent cx="2074545"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7454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cash flows from our operations. We have not yet commercialized any of our product candidates and we do not expect to generate revenue</w:t>
      </w:r>
    </w:p>
    <w:p>
      <w:pPr>
        <w:spacing w:after="0" w:line="234" w:lineRule="auto"/>
        <w:rPr>
          <w:sz w:val="20"/>
          <w:szCs w:val="20"/>
          <w:color w:val="auto"/>
        </w:rPr>
      </w:pPr>
      <w:r>
        <w:rPr>
          <w:rFonts w:ascii="Times New Roman" w:cs="Times New Roman" w:eastAsia="Times New Roman" w:hAnsi="Times New Roman"/>
          <w:sz w:val="18"/>
          <w:szCs w:val="18"/>
          <w:color w:val="auto"/>
        </w:rPr>
        <w:t>from sales of any product candidates for several years, if at all. As of September 30, 2022, we had cash, cash equivalents, and marketable securities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$258.9 million and an accumulated deficit of $221.7 million. In September 2020, we completed an IPO of 13,529,750 shares of our common stock, which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the exercise in full by the underwriters of their option to purchase 1,764,750 additional shares of common stock, at a public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line="250" w:lineRule="auto"/>
        <w:rPr>
          <w:sz w:val="20"/>
          <w:szCs w:val="20"/>
          <w:color w:val="auto"/>
        </w:rPr>
      </w:pPr>
      <w:r>
        <w:rPr>
          <w:rFonts w:ascii="Times New Roman" w:cs="Times New Roman" w:eastAsia="Times New Roman" w:hAnsi="Times New Roman"/>
          <w:sz w:val="18"/>
          <w:szCs w:val="18"/>
          <w:color w:val="auto"/>
        </w:rPr>
        <w:t>offering price of $18.00 per share for aggregate gross proceeds of $243.5 million. We received $223.2 million in net proceeds after deducting underwriting discounts and commissions and other offering expenses payable by us. In October 2021, we filed an automatic shelf registration statement on Form S-3. We did not sell any shares pursuant to the shelf registration statement and did not receive any gross proceeds in fiscal year 2021 or the nine months ended September 30, 2022.</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0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$19.9 million through May 2032. Amounts related to future lease payments as of September 30, 2022, totaled $19.5 million, with $2.0 million to be paid within the next 12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0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77"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$221.7 million through September 30, 2022. We expect to incur substantial additional losses in the future as we expand our research and development activities. For the nine months ended September 30, 2022 and 2021, our cash operating expenditures were $48.4 million and $34.5 million, respectively. We expect to increase our investment in operations in the remainder of 2022 and 2023. Based on our research and development plans, we expect that our cash, cash equivalents and marketable securities as of September 30, 2022 will be sufficient to fund our operations at least through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03" w:lineRule="exact"/>
        <w:rPr>
          <w:rFonts w:ascii="Times New Roman" w:cs="Times New Roman" w:eastAsia="Times New Roman" w:hAnsi="Times New Roman"/>
          <w:sz w:val="18"/>
          <w:szCs w:val="18"/>
          <w:color w:val="auto"/>
        </w:rPr>
      </w:pPr>
    </w:p>
    <w:p>
      <w:pPr>
        <w:ind w:left="900" w:right="52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6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spacing w:after="0" w:line="247" w:lineRule="auto"/>
        <w:rPr>
          <w:sz w:val="20"/>
          <w:szCs w:val="20"/>
          <w:color w:val="auto"/>
        </w:rPr>
      </w:pPr>
      <w:r>
        <w:rPr>
          <w:rFonts w:ascii="Times New Roman" w:cs="Times New Roman" w:eastAsia="Times New Roman" w:hAnsi="Times New Roman"/>
          <w:sz w:val="18"/>
          <w:szCs w:val="18"/>
          <w:color w:val="auto"/>
        </w:rPr>
        <w:t>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0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4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(48,436</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spacing w:after="0"/>
              <w:rPr>
                <w:sz w:val="18"/>
                <w:szCs w:val="18"/>
                <w:color w:val="auto"/>
              </w:rPr>
            </w:pP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(24,591 )</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(151,143 )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(72,617 )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(183,959 )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-307975</wp:posOffset>
            </wp:positionV>
            <wp:extent cx="7747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$48.4 million, which consisted primarily of net loss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million partially offset by non-cash charges of $7.4 million. Changes in our net operating assets decreased operating cash by $1.9 million. The non-</w:t>
      </w:r>
    </w:p>
    <w:p>
      <w:pPr>
        <w:spacing w:after="0" w:line="234" w:lineRule="auto"/>
        <w:rPr>
          <w:sz w:val="20"/>
          <w:szCs w:val="20"/>
          <w:color w:val="auto"/>
        </w:rPr>
      </w:pPr>
      <w:r>
        <w:rPr>
          <w:rFonts w:ascii="Times New Roman" w:cs="Times New Roman" w:eastAsia="Times New Roman" w:hAnsi="Times New Roman"/>
          <w:sz w:val="18"/>
          <w:szCs w:val="18"/>
          <w:color w:val="auto"/>
        </w:rPr>
        <w:t>cash charges primarily consisted of stock-based compensation of $7.1 million, and non-cash lease expense of $0.3 million. The change in our net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was primarily due to an increase in prepaid expenses and other assets, a decrease in accrued expenses, an increase in outstanding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payables, and an increase in operating lease right of use assets and liabilities driven by a cash reimbursement of $1.6 million for the buildout of the new</w:t>
      </w:r>
    </w:p>
    <w:p>
      <w:pPr>
        <w:spacing w:after="0"/>
        <w:rPr>
          <w:sz w:val="20"/>
          <w:szCs w:val="20"/>
          <w:color w:val="auto"/>
        </w:rPr>
      </w:pPr>
      <w:r>
        <w:rPr>
          <w:rFonts w:ascii="Times New Roman" w:cs="Times New Roman" w:eastAsia="Times New Roman" w:hAnsi="Times New Roman"/>
          <w:sz w:val="18"/>
          <w:szCs w:val="18"/>
          <w:color w:val="auto"/>
        </w:rPr>
        <w:t>office building in Princeton, NJ.</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2021, was $34.5 million, which consisted primarily of net loss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$39.5 million partially offset by non-cash charges of $4.9 million. Changes in our net operating assets increased operating cash by $0.1 million. The non-</w:t>
      </w:r>
    </w:p>
    <w:p>
      <w:pPr>
        <w:spacing w:after="0" w:line="234" w:lineRule="auto"/>
        <w:rPr>
          <w:sz w:val="20"/>
          <w:szCs w:val="20"/>
          <w:color w:val="auto"/>
        </w:rPr>
      </w:pPr>
      <w:r>
        <w:rPr>
          <w:rFonts w:ascii="Times New Roman" w:cs="Times New Roman" w:eastAsia="Times New Roman" w:hAnsi="Times New Roman"/>
          <w:sz w:val="18"/>
          <w:szCs w:val="18"/>
          <w:color w:val="auto"/>
        </w:rPr>
        <w:t>cash charges primarily consisted of stock-based compensation of $3.6 million, depreciation and amortization of $0.7 million, and non-cash lease expense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The change in our net operating assets and liabilities was primarily due to an increase in prepaid expenses and other assets, an increase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a decrease in outstanding payables.</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investing activities used $24.6 million of cash during the nine months ended September 30, 2022, which consisted primarily of purchases of marketable securities of $194.5 million, along with purchase of property and equipment of $6.4 million partially offset by maturities of marketable securities of $176.3 million.</w:t>
      </w:r>
    </w:p>
    <w:p>
      <w:pPr>
        <w:spacing w:after="0" w:line="6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investing activities used $151.1 million of cash during the nine months ended September 30, 2021, which consisted primarily of purchases of marketable securities of $235.2 million, along with purchase of property and equipment of $1.1 million partially offset by maturities of marketable securities of $85.1 million.</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$0.4 million of cash during the nine months ended September 30, 2022, which consisted primarily of proceeds from the exercise of stock options and issuance of common stock under the 2020 ESPP.</w:t>
      </w:r>
    </w:p>
    <w:p>
      <w:pPr>
        <w:spacing w:after="0" w:line="4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$1.7 million of cash during the nine months ended September 30, 2021, which consisted primarily of proceeds from the exercise of stock options.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nine-month period ended September 30, 2022, there were no material changes to our critical accounting policies from those described in our audited financial statements for the year ended December 31, 2021, included in our Annual Report on Form 10-K filed with the SEC on March 1, 2022, except as noted below.</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78"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date when the performance is complete, and compensation expense is recognized in the same manner as if we had paid cash for goods or services.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54" w:lineRule="exact"/>
        <w:rPr>
          <w:sz w:val="20"/>
          <w:szCs w:val="20"/>
          <w:color w:val="auto"/>
        </w:rPr>
      </w:pPr>
    </w:p>
    <w:p>
      <w:pPr>
        <w:jc w:val="both"/>
        <w:ind w:right="400" w:firstLine="509"/>
        <w:spacing w:after="0" w:line="258"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6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we do not have a trading history of common stock, the expected volatility was derived from the average historical stock volatilities of the common stock of several public companies within the industry that we consider to be comparable to our business over a period equivalent to the expected term of the stock-based awards.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financial statements included elsewhere in this Quarterly Report on Form 10-Q.</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$258.9 million and restricted cash of $0.8 million as of September 30, 2022.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8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9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2022.</w:t>
      </w:r>
    </w:p>
    <w:p>
      <w:pPr>
        <w:spacing w:after="0" w:line="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2021, as filed with the SEC on March 1, 2022, as supplemented by our Quarterly Report on Form 10-Q for the quarter ended March 31, 2022, as filed with the SEC on May 10, 2022.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2021, as filed with the SEC on March 1, 2022, our Quarterly Report on Form 10-Q for the quarter ended March 31, 2022, as filed with the SEC on May 10, 2022, and our Quarterly Report on Form 10-Q for the quarterly period ended June 30, 2022, as filed with the SEC on August 9,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0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54"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On October 4, 2021, our shelf registration statement on Form S-3 (File No. 333-260012) was automatically declared effective by the SEC for our future follow-on offering. Pursuant to our shelf registration statement, we may offer and sell an indeterminate amount and combination of shares of our common stock, shares of our preferred stock, various series of debt securities and warrants to purchase any of such securities in one or more registered offerings. The Company has not issued any shares of common stock pursuant to the offering. There has been no material change in the planned use of proceeds from the follow-on offering as described in the Form S-3 Registration Statement. None of the offering expenses were paid or payable, directly, or indirectly, to our directors, officers, or persons owning 10% or more of any class of equity securities or to our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gridSpan w:val="8"/>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90"/>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8"/>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54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31.2+</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5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32.1+†</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3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1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32.2+†</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32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2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101.CAL</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101.DEF</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101.LAB</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101.PRE</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5020" w:hanging="734"/>
        <w:spacing w:after="0" w:line="250"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3" w:lineRule="exact"/>
        <w:rPr>
          <w:rFonts w:ascii="Times New Roman" w:cs="Times New Roman" w:eastAsia="Times New Roman" w:hAnsi="Times New Roman"/>
          <w:sz w:val="18"/>
          <w:szCs w:val="18"/>
          <w:color w:val="auto"/>
        </w:rPr>
      </w:pPr>
    </w:p>
    <w:p>
      <w:pPr>
        <w:jc w:val="both"/>
        <w:ind w:firstLine="8"/>
        <w:spacing w:after="0" w:line="250"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951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44" w:right="519" w:bottom="1440" w:gutter="0" w:footer="0" w:header="0"/>
        </w:sectPr>
      </w:pPr>
    </w:p>
    <w:bookmarkStart w:id="28" w:name="page29"/>
    <w:bookmarkEnd w:id="2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2" w:lineRule="exact"/>
        <w:rPr>
          <w:sz w:val="20"/>
          <w:szCs w:val="20"/>
          <w:color w:val="auto"/>
        </w:rPr>
      </w:pPr>
    </w:p>
    <w:p>
      <w:pPr>
        <w:ind w:left="5660" w:right="1340" w:hanging="7832"/>
        <w:spacing w:after="0" w:line="254" w:lineRule="auto"/>
        <w:tabs>
          <w:tab w:leader="none" w:pos="56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David H. Mack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jc w:val="cente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2" w:lineRule="exact"/>
        <w:rPr>
          <w:sz w:val="20"/>
          <w:szCs w:val="20"/>
          <w:color w:val="auto"/>
        </w:rPr>
      </w:pPr>
    </w:p>
    <w:p>
      <w:pPr>
        <w:ind w:left="5660" w:right="1500" w:hanging="8116"/>
        <w:spacing w:after="0" w:line="254" w:lineRule="auto"/>
        <w:tabs>
          <w:tab w:leader="none" w:pos="56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Winston Kung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Chief Operating Officer and</w:t>
      </w:r>
    </w:p>
    <w:p>
      <w:pPr>
        <w:jc w:val="center"/>
        <w:ind w:left="608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644" w:right="7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ind w:left="752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w:t>
      </w:r>
    </w:p>
    <w:p>
      <w:pPr>
        <w:jc w:val="center"/>
        <w:ind w:left="6440"/>
        <w:spacing w:after="0" w:line="219" w:lineRule="auto"/>
        <w:rPr>
          <w:sz w:val="20"/>
          <w:szCs w:val="20"/>
          <w:color w:val="auto"/>
        </w:rPr>
      </w:pPr>
      <w:r>
        <w:rPr>
          <w:rFonts w:ascii="Times New Roman" w:cs="Times New Roman" w:eastAsia="Times New Roman" w:hAnsi="Times New Roman"/>
          <w:sz w:val="18"/>
          <w:szCs w:val="18"/>
          <w:b w:val="1"/>
          <w:bCs w:val="1"/>
          <w:color w:val="auto"/>
        </w:rPr>
        <w:t>and Director</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020" w:val="left"/>
          <w:tab w:leader="none" w:pos="82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92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w:t>
      </w:r>
    </w:p>
    <w:p>
      <w:pPr>
        <w:ind w:left="7800"/>
        <w:spacing w:after="0" w:line="219" w:lineRule="auto"/>
        <w:rPr>
          <w:sz w:val="20"/>
          <w:szCs w:val="20"/>
          <w:color w:val="auto"/>
        </w:rPr>
      </w:pPr>
      <w:r>
        <w:rPr>
          <w:rFonts w:ascii="Times New Roman" w:cs="Times New Roman" w:eastAsia="Times New Roman" w:hAnsi="Times New Roman"/>
          <w:sz w:val="18"/>
          <w:szCs w:val="18"/>
          <w:b w:val="1"/>
          <w:bCs w:val="1"/>
          <w:color w:val="auto"/>
        </w:rPr>
        <w:t>and Chief Financial Officer</w:t>
      </w:r>
    </w:p>
    <w:p>
      <w:pPr>
        <w:ind w:left="77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of PMV Pharmaceuticals, Inc. (the “Company”)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ind w:left="684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of PMV Pharmaceuticals, Inc. (the “Company”)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76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w:t>
      </w:r>
    </w:p>
    <w:p>
      <w:pPr>
        <w:ind w:left="7620"/>
        <w:spacing w:after="0" w:line="219" w:lineRule="auto"/>
        <w:rPr>
          <w:sz w:val="20"/>
          <w:szCs w:val="20"/>
          <w:color w:val="auto"/>
        </w:rPr>
      </w:pPr>
      <w:r>
        <w:rPr>
          <w:rFonts w:ascii="Times New Roman" w:cs="Times New Roman" w:eastAsia="Times New Roman" w:hAnsi="Times New Roman"/>
          <w:sz w:val="18"/>
          <w:szCs w:val="18"/>
          <w:b w:val="1"/>
          <w:bCs w:val="1"/>
          <w:color w:val="auto"/>
        </w:rPr>
        <w:t>and Chief Financial Officer</w:t>
      </w: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2022-11-08T07:08:12Z</dcterms:created>
  <dcterms:modified xsi:type="dcterms:W3CDTF">2022-11-08T07:08:12Z</dcterms:modified>
</cp:coreProperties>
</file>