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6058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605853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Mack David Henry</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00" w:type="dxa"/>
            <w:vAlign w:val="bottom"/>
          </w:tcPr>
          <w:p>
            <w:pPr>
              <w:ind w:left="40"/>
              <w:spacing w:after="0"/>
              <w:rPr>
                <w:sz w:val="20"/>
                <w:szCs w:val="20"/>
                <w:color w:val="auto"/>
              </w:rPr>
            </w:pPr>
            <w:r>
              <w:rPr>
                <w:rFonts w:ascii="Arial" w:cs="Arial" w:eastAsia="Arial" w:hAnsi="Arial"/>
                <w:sz w:val="13"/>
                <w:szCs w:val="13"/>
                <w:color w:val="auto"/>
              </w:rPr>
              <w:t>(Last)</w:t>
            </w:r>
          </w:p>
        </w:tc>
        <w:tc>
          <w:tcPr>
            <w:tcW w:w="980" w:type="dxa"/>
            <w:vAlign w:val="bottom"/>
          </w:tcPr>
          <w:p>
            <w:pPr>
              <w:ind w:left="160"/>
              <w:spacing w:after="0"/>
              <w:rPr>
                <w:sz w:val="20"/>
                <w:szCs w:val="20"/>
                <w:color w:val="auto"/>
              </w:rPr>
            </w:pPr>
            <w:r>
              <w:rPr>
                <w:rFonts w:ascii="Arial" w:cs="Arial" w:eastAsia="Arial" w:hAnsi="Arial"/>
                <w:sz w:val="13"/>
                <w:szCs w:val="13"/>
                <w:color w:val="auto"/>
              </w:rPr>
              <w:t>(First)</w:t>
            </w:r>
          </w:p>
        </w:tc>
        <w:tc>
          <w:tcPr>
            <w:tcW w:w="860" w:type="dxa"/>
            <w:vAlign w:val="bottom"/>
          </w:tcPr>
          <w:p>
            <w:pPr>
              <w:ind w:left="400"/>
              <w:spacing w:after="0"/>
              <w:rPr>
                <w:sz w:val="20"/>
                <w:szCs w:val="20"/>
                <w:color w:val="auto"/>
              </w:rPr>
            </w:pPr>
            <w:r>
              <w:rPr>
                <w:rFonts w:ascii="Arial" w:cs="Arial" w:eastAsia="Arial" w:hAnsi="Arial"/>
                <w:sz w:val="13"/>
                <w:szCs w:val="13"/>
                <w:color w:val="auto"/>
                <w:w w:val="93"/>
              </w:rPr>
              <w:t>(Middle)</w:t>
            </w:r>
          </w:p>
        </w:tc>
      </w:tr>
      <w:tr>
        <w:trPr>
          <w:trHeight w:val="264"/>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C/O PMV PHARMACEUTICALS, INC.</w:t>
            </w:r>
          </w:p>
        </w:tc>
      </w:tr>
      <w:tr>
        <w:trPr>
          <w:trHeight w:val="254"/>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ONE RESEARCH WAY</w:t>
            </w:r>
          </w:p>
        </w:tc>
        <w:tc>
          <w:tcPr>
            <w:tcW w:w="860" w:type="dxa"/>
            <w:vAlign w:val="bottom"/>
          </w:tcPr>
          <w:p>
            <w:pPr>
              <w:spacing w:after="0"/>
              <w:rPr>
                <w:sz w:val="22"/>
                <w:szCs w:val="22"/>
                <w:color w:val="auto"/>
              </w:rPr>
            </w:pPr>
          </w:p>
        </w:tc>
      </w:tr>
      <w:tr>
        <w:trPr>
          <w:trHeight w:val="422"/>
        </w:trPr>
        <w:tc>
          <w:tcPr>
            <w:tcW w:w="1100" w:type="dxa"/>
            <w:vAlign w:val="bottom"/>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6"/>
        </w:trPr>
        <w:tc>
          <w:tcPr>
            <w:tcW w:w="11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PRINCETON</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NJ</w:t>
            </w:r>
          </w:p>
        </w:tc>
        <w:tc>
          <w:tcPr>
            <w:tcW w:w="8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461"/>
        </w:trPr>
        <w:tc>
          <w:tcPr>
            <w:tcW w:w="1100" w:type="dxa"/>
            <w:vAlign w:val="bottom"/>
          </w:tcPr>
          <w:p>
            <w:pPr>
              <w:ind w:left="4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86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PMV Pharmaceuticals,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PMVP</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1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tcPr>
          <w:p>
            <w:pPr>
              <w:spacing w:after="0"/>
              <w:rPr>
                <w:sz w:val="4"/>
                <w:szCs w:val="4"/>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01/18/2024</w:t>
            </w:r>
          </w:p>
        </w:tc>
        <w:tc>
          <w:tcPr>
            <w:tcW w:w="1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300" w:type="dxa"/>
            <w:vAlign w:val="bottom"/>
            <w:gridSpan w:val="3"/>
            <w:vMerge w:val="continue"/>
          </w:tcPr>
          <w:p>
            <w:pPr>
              <w:spacing w:after="0"/>
              <w:rPr>
                <w:sz w:val="10"/>
                <w:szCs w:val="10"/>
                <w:color w:val="auto"/>
              </w:rPr>
            </w:pPr>
          </w:p>
        </w:tc>
        <w:tc>
          <w:tcPr>
            <w:tcW w:w="1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President and CEO</w:t>
            </w: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5"/>
          </w:tcPr>
          <w:p>
            <w:pPr>
              <w:ind w:left="120"/>
              <w:spacing w:after="0"/>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2"/>
          </w:tcPr>
          <w:p>
            <w:pPr>
              <w:ind w:left="76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20" w:type="dxa"/>
            <w:vAlign w:val="bottom"/>
          </w:tcPr>
          <w:p>
            <w:pPr>
              <w:jc w:val="right"/>
              <w:ind w:right="15"/>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jc w:val="right"/>
              <w:ind w:right="155"/>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01/18/2024</w:t>
            </w:r>
          </w:p>
        </w:tc>
        <w:tc>
          <w:tcPr>
            <w:tcW w:w="7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13"/>
                <w:szCs w:val="13"/>
                <w:color w:val="0000FF"/>
                <w:w w:val="84"/>
              </w:rPr>
              <w:t>A</w:t>
            </w:r>
          </w:p>
        </w:tc>
        <w:tc>
          <w:tcPr>
            <w:tcW w:w="82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2"/>
              </w:rPr>
              <w:t>163,890</w:t>
            </w:r>
            <w:r>
              <w:rPr>
                <w:rFonts w:ascii="Times New Roman" w:cs="Times New Roman" w:eastAsia="Times New Roman" w:hAnsi="Times New Roman"/>
                <w:sz w:val="21"/>
                <w:szCs w:val="21"/>
                <w:color w:val="008000"/>
                <w:w w:val="92"/>
                <w:vertAlign w:val="superscript"/>
              </w:rPr>
              <w:t>(1)</w:t>
            </w:r>
          </w:p>
        </w:tc>
        <w:tc>
          <w:tcPr>
            <w:tcW w:w="520" w:type="dxa"/>
            <w:vAlign w:val="bottom"/>
            <w:tcBorders>
              <w:bottom w:val="single" w:sz="8" w:color="2C2C2C"/>
            </w:tcBorders>
          </w:tcPr>
          <w:p>
            <w:pPr>
              <w:jc w:val="right"/>
              <w:ind w:right="75"/>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7"/>
                <w:szCs w:val="17"/>
                <w:color w:val="0000FF"/>
                <w:w w:val="97"/>
              </w:rPr>
              <w:t>442,460</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8"/>
              <w:spacing w:after="0"/>
              <w:rPr>
                <w:sz w:val="20"/>
                <w:szCs w:val="20"/>
                <w:color w:val="auto"/>
              </w:rPr>
            </w:pPr>
            <w:r>
              <w:rPr>
                <w:rFonts w:ascii="Times New Roman" w:cs="Times New Roman" w:eastAsia="Times New Roman" w:hAnsi="Times New Roman"/>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7"/>
                <w:szCs w:val="17"/>
                <w:color w:val="0000FF"/>
                <w:w w:val="97"/>
              </w:rPr>
              <w:t>165,307</w:t>
            </w:r>
          </w:p>
        </w:tc>
        <w:tc>
          <w:tcPr>
            <w:tcW w:w="300" w:type="dxa"/>
            <w:vAlign w:val="bottom"/>
          </w:tcPr>
          <w:p>
            <w:pPr>
              <w:spacing w:after="0"/>
              <w:rPr>
                <w:sz w:val="21"/>
                <w:szCs w:val="21"/>
                <w:color w:val="auto"/>
              </w:rPr>
            </w:pPr>
          </w:p>
        </w:tc>
        <w:tc>
          <w:tcPr>
            <w:tcW w:w="620" w:type="dxa"/>
            <w:vAlign w:val="bottom"/>
            <w:vMerge w:val="restart"/>
          </w:tcPr>
          <w:p>
            <w:pPr>
              <w:jc w:val="center"/>
              <w:ind w:right="338"/>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7"/>
                <w:szCs w:val="17"/>
                <w:color w:val="0000FF"/>
                <w:w w:val="97"/>
              </w:rPr>
              <w:t>147,915</w:t>
            </w:r>
          </w:p>
        </w:tc>
        <w:tc>
          <w:tcPr>
            <w:tcW w:w="300" w:type="dxa"/>
            <w:vAlign w:val="bottom"/>
          </w:tcPr>
          <w:p>
            <w:pPr>
              <w:spacing w:after="0"/>
              <w:rPr>
                <w:sz w:val="21"/>
                <w:szCs w:val="21"/>
                <w:color w:val="auto"/>
              </w:rPr>
            </w:pPr>
          </w:p>
        </w:tc>
        <w:tc>
          <w:tcPr>
            <w:tcW w:w="620" w:type="dxa"/>
            <w:vAlign w:val="bottom"/>
            <w:vMerge w:val="restart"/>
          </w:tcPr>
          <w:p>
            <w:pPr>
              <w:jc w:val="center"/>
              <w:ind w:right="338"/>
              <w:spacing w:after="0"/>
              <w:rPr>
                <w:sz w:val="20"/>
                <w:szCs w:val="20"/>
                <w:color w:val="auto"/>
              </w:rPr>
            </w:pPr>
            <w:r>
              <w:rPr>
                <w:rFonts w:ascii="Times New Roman" w:cs="Times New Roman" w:eastAsia="Times New Roman" w:hAnsi="Times New Roman"/>
                <w:sz w:val="33"/>
                <w:szCs w:val="33"/>
                <w:color w:val="0000FF"/>
                <w:w w:val="89"/>
                <w:vertAlign w:val="subscript"/>
              </w:rPr>
              <w:t>I</w:t>
            </w:r>
            <w:r>
              <w:rPr>
                <w:rFonts w:ascii="Times New Roman" w:cs="Times New Roman" w:eastAsia="Times New Roman" w:hAnsi="Times New Roman"/>
                <w:sz w:val="11"/>
                <w:szCs w:val="11"/>
                <w:color w:val="008000"/>
                <w:w w:val="89"/>
              </w:rPr>
              <w:t>(3)</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7"/>
                <w:szCs w:val="17"/>
                <w:color w:val="0000FF"/>
                <w:w w:val="98"/>
              </w:rPr>
              <w:t>56,978</w:t>
            </w:r>
          </w:p>
        </w:tc>
        <w:tc>
          <w:tcPr>
            <w:tcW w:w="300" w:type="dxa"/>
            <w:vAlign w:val="bottom"/>
          </w:tcPr>
          <w:p>
            <w:pPr>
              <w:spacing w:after="0"/>
              <w:rPr>
                <w:sz w:val="21"/>
                <w:szCs w:val="21"/>
                <w:color w:val="auto"/>
              </w:rPr>
            </w:pPr>
          </w:p>
        </w:tc>
        <w:tc>
          <w:tcPr>
            <w:tcW w:w="620" w:type="dxa"/>
            <w:vAlign w:val="bottom"/>
            <w:vMerge w:val="restart"/>
          </w:tcPr>
          <w:p>
            <w:pPr>
              <w:jc w:val="center"/>
              <w:ind w:right="338"/>
              <w:spacing w:after="0"/>
              <w:rPr>
                <w:sz w:val="20"/>
                <w:szCs w:val="20"/>
                <w:color w:val="auto"/>
              </w:rPr>
            </w:pPr>
            <w:r>
              <w:rPr>
                <w:rFonts w:ascii="Times New Roman" w:cs="Times New Roman" w:eastAsia="Times New Roman" w:hAnsi="Times New Roman"/>
                <w:sz w:val="33"/>
                <w:szCs w:val="33"/>
                <w:color w:val="0000FF"/>
                <w:w w:val="89"/>
                <w:vertAlign w:val="subscript"/>
              </w:rPr>
              <w:t>I</w:t>
            </w:r>
            <w:r>
              <w:rPr>
                <w:rFonts w:ascii="Times New Roman" w:cs="Times New Roman" w:eastAsia="Times New Roman" w:hAnsi="Times New Roman"/>
                <w:sz w:val="11"/>
                <w:szCs w:val="11"/>
                <w:color w:val="008000"/>
                <w:w w:val="89"/>
              </w:rPr>
              <w:t>(3)</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2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700" w:type="dxa"/>
            <w:vAlign w:val="bottom"/>
            <w:tcBorders>
              <w:bottom w:val="single" w:sz="8" w:color="2C2C2C"/>
            </w:tcBorders>
            <w:gridSpan w:val="2"/>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6"/>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spacing w:after="0"/>
              <w:rPr>
                <w:sz w:val="12"/>
                <w:szCs w:val="12"/>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519,915</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1.8</w:t>
            </w:r>
          </w:p>
        </w:tc>
        <w:tc>
          <w:tcPr>
            <w:tcW w:w="1060" w:type="dxa"/>
            <w:vAlign w:val="bottom"/>
          </w:tcPr>
          <w:p>
            <w:pPr>
              <w:jc w:val="right"/>
              <w:ind w:right="181"/>
              <w:spacing w:after="0" w:line="128" w:lineRule="exact"/>
              <w:rPr>
                <w:sz w:val="20"/>
                <w:szCs w:val="20"/>
                <w:color w:val="auto"/>
              </w:rPr>
            </w:pPr>
            <w:r>
              <w:rPr>
                <w:rFonts w:ascii="Times New Roman" w:cs="Times New Roman" w:eastAsia="Times New Roman" w:hAnsi="Times New Roman"/>
                <w:sz w:val="13"/>
                <w:szCs w:val="13"/>
                <w:color w:val="0000FF"/>
              </w:rPr>
              <w:t>01/18/2024</w:t>
            </w:r>
          </w:p>
        </w:tc>
        <w:tc>
          <w:tcPr>
            <w:tcW w:w="1080" w:type="dxa"/>
            <w:vAlign w:val="bottom"/>
          </w:tcPr>
          <w:p>
            <w:pPr>
              <w:spacing w:after="0"/>
              <w:rPr>
                <w:sz w:val="11"/>
                <w:szCs w:val="11"/>
                <w:color w:val="auto"/>
              </w:rPr>
            </w:pPr>
          </w:p>
        </w:tc>
        <w:tc>
          <w:tcPr>
            <w:tcW w:w="72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70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0000FF"/>
              </w:rPr>
              <w:t>519,915</w:t>
            </w:r>
          </w:p>
        </w:tc>
        <w:tc>
          <w:tcPr>
            <w:tcW w:w="2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0000FF"/>
              </w:rPr>
              <w:t>01/18/2034</w:t>
            </w:r>
          </w:p>
        </w:tc>
        <w:tc>
          <w:tcPr>
            <w:tcW w:w="68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1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40"/>
              <w:spacing w:after="0" w:line="128" w:lineRule="exact"/>
              <w:rPr>
                <w:sz w:val="20"/>
                <w:szCs w:val="20"/>
                <w:color w:val="auto"/>
              </w:rPr>
            </w:pPr>
            <w:r>
              <w:rPr>
                <w:rFonts w:ascii="Times New Roman" w:cs="Times New Roman" w:eastAsia="Times New Roman" w:hAnsi="Times New Roman"/>
                <w:sz w:val="13"/>
                <w:szCs w:val="13"/>
                <w:color w:val="0000FF"/>
              </w:rPr>
              <w:t>519,915</w:t>
            </w:r>
          </w:p>
        </w:tc>
        <w:tc>
          <w:tcPr>
            <w:tcW w:w="620" w:type="dxa"/>
            <w:vAlign w:val="bottom"/>
          </w:tcPr>
          <w:p>
            <w:pPr>
              <w:ind w:left="36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155"/>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are represented by restricted stock units, or RSUs, all of which vest on June 30, 2025.</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the Stinson 2021 Irrevocable Trust. The reporting person disclaims beneficial ownership of these securities except to the extent of any pecuniary interest therein.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The Mack-Mulligan Revocable Trust. The reporting person disclaims beneficial ownership of these securities except to the extent of any pecuniary interest therein.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subject to the option vest in 48 equal monthly installments beginning on February 18, 2024.</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David H. Mack</w:t>
            </w:r>
          </w:p>
        </w:tc>
        <w:tc>
          <w:tcPr>
            <w:tcW w:w="980" w:type="dxa"/>
            <w:vAlign w:val="bottom"/>
          </w:tcPr>
          <w:p>
            <w:pPr>
              <w:spacing w:after="0"/>
              <w:rPr>
                <w:sz w:val="17"/>
                <w:szCs w:val="17"/>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01/22/2024</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ind w:left="6840"/>
        <w:spacing w:after="0"/>
        <w:rPr>
          <w:sz w:val="20"/>
          <w:szCs w:val="20"/>
          <w:color w:val="auto"/>
        </w:rPr>
      </w:pPr>
      <w:r>
        <w:rPr>
          <w:rFonts w:ascii="Courier New" w:cs="Courier New" w:eastAsia="Courier New" w:hAnsi="Courier New"/>
          <w:sz w:val="17"/>
          <w:szCs w:val="17"/>
          <w:color w:val="auto"/>
        </w:rPr>
        <w:t>Exhibit 24</w:t>
      </w:r>
    </w:p>
    <w:p>
      <w:pPr>
        <w:spacing w:after="0" w:line="28" w:lineRule="exact"/>
        <w:rPr>
          <w:sz w:val="20"/>
          <w:szCs w:val="20"/>
          <w:color w:val="auto"/>
        </w:rPr>
      </w:pPr>
    </w:p>
    <w:p>
      <w:pPr>
        <w:jc w:val="center"/>
        <w:ind w:right="1359"/>
        <w:spacing w:after="0"/>
        <w:rPr>
          <w:sz w:val="20"/>
          <w:szCs w:val="20"/>
          <w:color w:val="auto"/>
        </w:rPr>
      </w:pPr>
      <w:r>
        <w:rPr>
          <w:rFonts w:ascii="Courier New" w:cs="Courier New" w:eastAsia="Courier New" w:hAnsi="Courier New"/>
          <w:sz w:val="17"/>
          <w:szCs w:val="17"/>
          <w:color w:val="auto"/>
        </w:rPr>
        <w:t>POWER OF ATTORNEY</w:t>
      </w:r>
    </w:p>
    <w:p>
      <w:pPr>
        <w:spacing w:after="0" w:line="159"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The undersigned, as a Section 16 reporting person of PMV Pharmaceuticals,</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 (the "Company"), hereby constitutes and appoints Robert Ticktin and Michael</w:t>
      </w:r>
    </w:p>
    <w:p>
      <w:pPr>
        <w:spacing w:after="0" w:line="189" w:lineRule="exact"/>
        <w:rPr>
          <w:sz w:val="20"/>
          <w:szCs w:val="20"/>
          <w:color w:val="auto"/>
        </w:rPr>
      </w:pPr>
    </w:p>
    <w:p>
      <w:pPr>
        <w:ind w:right="2059"/>
        <w:spacing w:after="0" w:line="346" w:lineRule="auto"/>
        <w:rPr>
          <w:sz w:val="20"/>
          <w:szCs w:val="20"/>
          <w:color w:val="auto"/>
        </w:rPr>
      </w:pPr>
      <w:r>
        <w:rPr>
          <w:rFonts w:ascii="Courier New" w:cs="Courier New" w:eastAsia="Courier New" w:hAnsi="Courier New"/>
          <w:sz w:val="17"/>
          <w:szCs w:val="17"/>
          <w:color w:val="auto"/>
        </w:rPr>
        <w:t>Carulli, and each of them, as the undersigned's true and lawful attorney-in-fact to:</w:t>
      </w:r>
    </w:p>
    <w:p>
      <w:pPr>
        <w:spacing w:after="0" w:line="17" w:lineRule="exact"/>
        <w:rPr>
          <w:sz w:val="20"/>
          <w:szCs w:val="20"/>
          <w:color w:val="auto"/>
        </w:rPr>
      </w:pPr>
    </w:p>
    <w:p>
      <w:pPr>
        <w:ind w:left="800" w:right="1459" w:hanging="798"/>
        <w:spacing w:after="0" w:line="278" w:lineRule="auto"/>
        <w:tabs>
          <w:tab w:leader="none" w:pos="8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in the undersigned's name and on the undersigned's behalf, and submit to the Securities and Exchange Commission (the "SEC") a Form ID, including amendments thereto, and any other documents necessary or appropriate to obtain EDGAR codes and passwords enabling the undersigned to make electronic filings with the SEC of reports required by Section 16(a) of the Securities Exchange Act of 1934 or any rule or regulation of the SEC;</w:t>
      </w:r>
    </w:p>
    <w:p>
      <w:pPr>
        <w:spacing w:after="0" w:line="75" w:lineRule="exact"/>
        <w:rPr>
          <w:rFonts w:ascii="Courier New" w:cs="Courier New" w:eastAsia="Courier New" w:hAnsi="Courier New"/>
          <w:sz w:val="16"/>
          <w:szCs w:val="16"/>
          <w:color w:val="auto"/>
        </w:rPr>
      </w:pPr>
    </w:p>
    <w:p>
      <w:pPr>
        <w:ind w:left="800" w:right="1659" w:hanging="798"/>
        <w:spacing w:after="0" w:line="278" w:lineRule="auto"/>
        <w:tabs>
          <w:tab w:leader="none" w:pos="8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75" w:lineRule="exact"/>
        <w:rPr>
          <w:rFonts w:ascii="Courier New" w:cs="Courier New" w:eastAsia="Courier New" w:hAnsi="Courier New"/>
          <w:sz w:val="16"/>
          <w:szCs w:val="16"/>
          <w:color w:val="auto"/>
        </w:rPr>
      </w:pPr>
    </w:p>
    <w:p>
      <w:pPr>
        <w:ind w:left="800" w:right="2159" w:hanging="798"/>
        <w:spacing w:after="0" w:line="317" w:lineRule="auto"/>
        <w:tabs>
          <w:tab w:leader="none" w:pos="8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all acts necessary in order to file such forms with the SEC, any securities exchange or national association, the Company and such other person or agency as the attorneys-in-fact shall deem appropriate.</w:t>
      </w:r>
    </w:p>
    <w:p>
      <w:pPr>
        <w:spacing w:after="0" w:line="45" w:lineRule="exact"/>
        <w:rPr>
          <w:sz w:val="20"/>
          <w:szCs w:val="20"/>
          <w:color w:val="auto"/>
        </w:rPr>
      </w:pPr>
    </w:p>
    <w:p>
      <w:pPr>
        <w:ind w:right="2059" w:firstLine="694"/>
        <w:spacing w:after="0" w:line="245"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w:t>
      </w:r>
    </w:p>
    <w:p>
      <w:pPr>
        <w:spacing w:after="0" w:line="1" w:lineRule="exact"/>
        <w:rPr>
          <w:sz w:val="20"/>
          <w:szCs w:val="20"/>
          <w:color w:val="auto"/>
        </w:rPr>
      </w:pPr>
    </w:p>
    <w:p>
      <w:pPr>
        <w:ind w:right="2059"/>
        <w:spacing w:after="0" w:line="309" w:lineRule="auto"/>
        <w:rPr>
          <w:sz w:val="20"/>
          <w:szCs w:val="20"/>
          <w:color w:val="auto"/>
        </w:rPr>
      </w:pPr>
      <w:r>
        <w:rPr>
          <w:rFonts w:ascii="Courier New" w:cs="Courier New" w:eastAsia="Courier New" w:hAnsi="Courier New"/>
          <w:sz w:val="17"/>
          <w:szCs w:val="17"/>
          <w:color w:val="auto"/>
        </w:rPr>
        <w:t>assuming, any of the undersigned's responsibilities to comply with Section 16 of the Securities Exchange Act of 1934 (as amended).</w:t>
      </w:r>
    </w:p>
    <w:p>
      <w:pPr>
        <w:spacing w:after="0" w:line="46" w:lineRule="exact"/>
        <w:rPr>
          <w:sz w:val="20"/>
          <w:szCs w:val="20"/>
          <w:color w:val="auto"/>
        </w:rPr>
      </w:pPr>
    </w:p>
    <w:p>
      <w:pPr>
        <w:jc w:val="both"/>
        <w:ind w:right="2159" w:firstLine="694"/>
        <w:spacing w:after="0" w:line="264"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86" w:lineRule="exact"/>
        <w:rPr>
          <w:sz w:val="20"/>
          <w:szCs w:val="20"/>
          <w:color w:val="auto"/>
        </w:rPr>
      </w:pPr>
    </w:p>
    <w:p>
      <w:pPr>
        <w:jc w:val="both"/>
        <w:ind w:right="2159" w:firstLine="694"/>
        <w:spacing w:after="0" w:line="34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5th day of Jamuary, 2024.</w:t>
      </w:r>
    </w:p>
    <w:p>
      <w:pPr>
        <w:spacing w:after="0" w:line="208" w:lineRule="exact"/>
        <w:rPr>
          <w:sz w:val="20"/>
          <w:szCs w:val="20"/>
          <w:color w:val="auto"/>
        </w:rPr>
      </w:pPr>
    </w:p>
    <w:p>
      <w:pPr>
        <w:ind w:left="4760"/>
        <w:spacing w:after="0"/>
        <w:tabs>
          <w:tab w:leader="none" w:pos="59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6"/>
          <w:szCs w:val="16"/>
          <w:color w:val="auto"/>
        </w:rPr>
        <w:t>/s/ David Mack</w:t>
      </w:r>
    </w:p>
    <w:p>
      <w:pPr>
        <w:spacing w:after="0" w:line="189" w:lineRule="exact"/>
        <w:rPr>
          <w:sz w:val="20"/>
          <w:szCs w:val="20"/>
          <w:color w:val="auto"/>
        </w:rPr>
      </w:pPr>
    </w:p>
    <w:p>
      <w:pPr>
        <w:ind w:left="4760"/>
        <w:spacing w:after="0"/>
        <w:tabs>
          <w:tab w:leader="none" w:pos="6040" w:val="left"/>
        </w:tabs>
        <w:rPr>
          <w:sz w:val="20"/>
          <w:szCs w:val="20"/>
          <w:color w:val="auto"/>
        </w:rPr>
      </w:pPr>
      <w:r>
        <w:rPr>
          <w:rFonts w:ascii="Courier New" w:cs="Courier New" w:eastAsia="Courier New" w:hAnsi="Courier New"/>
          <w:sz w:val="17"/>
          <w:szCs w:val="17"/>
          <w:color w:val="auto"/>
        </w:rPr>
        <w:t>Print Name:</w:t>
      </w:r>
      <w:r>
        <w:rPr>
          <w:sz w:val="20"/>
          <w:szCs w:val="20"/>
          <w:color w:val="auto"/>
        </w:rPr>
        <w:tab/>
      </w:r>
      <w:r>
        <w:rPr>
          <w:rFonts w:ascii="Courier New" w:cs="Courier New" w:eastAsia="Courier New" w:hAnsi="Courier New"/>
          <w:sz w:val="16"/>
          <w:szCs w:val="16"/>
          <w:color w:val="auto"/>
        </w:rPr>
        <w:t>David Mack</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41642"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2024-01-22T15:05:08Z</dcterms:created>
  <dcterms:modified xsi:type="dcterms:W3CDTF">2024-01-22T15:05:08Z</dcterms:modified>
</cp:coreProperties>
</file>