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5425d424b5.htm"/>
        <w:bookmarkStart w:id="1" w:name="ksd95425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333-283349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18"/>
        </w:rPr>
      </w:pPr>
      <w:r>
        <w:rPr>
          <w:rFonts w:ascii="Arial Narrow" w:hAnsi="Arial Narrow"/>
          <w:b/>
          <w:color w:val="FF4338"/>
          <w:sz w:val="18"/>
        </w:rPr>
        <w:t xml:space="preserve">The information in this preliminary prospectus supplement is not complete and may be changed. A registration statement relating to these securities has been declared effective by the Securities and Exchange Commission. This preliminary prospectus supplement and the accompanying prospectus are not an offer to sell these securities and we are not soliciting an offer to buy these securities in any state where the offer or sale thereof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16"/>
        </w:rPr>
      </w:pPr>
      <w:r>
        <w:rPr>
          <w:rFonts w:ascii="Times New Roman" w:hAnsi="Times New Roman"/>
          <w:b/>
          <w:color w:val="FF4338"/>
          <w:sz w:val="16"/>
        </w:rPr>
        <w:t xml:space="preserve">Subject to Completion, Dated August 31, 2026 </w:t>
      </w:r>
    </w:p>
    <w:p>
      <w:pPr>
        <w:pStyle w:val="TextBody"/>
        <w:bidi w:val="0"/>
        <w:spacing w:before="120" w:after="0"/>
        <w:ind w:left="960" w:right="960" w:hanging="0"/>
        <w:jc w:val="left"/>
        <w:rPr>
          <w:rFonts w:ascii="Times New Roman" w:hAnsi="Times New Roman"/>
          <w:b/>
          <w:sz w:val="16"/>
        </w:rPr>
      </w:pPr>
      <w:r>
        <w:rPr>
          <w:rFonts w:ascii="Times New Roman" w:hAnsi="Times New Roman"/>
          <w:b/>
          <w:sz w:val="16"/>
        </w:rPr>
        <w:t xml:space="preserve">PRELIMINARY PROSPECTUS SUPPLEMENT </w:t>
      </w:r>
    </w:p>
    <w:p>
      <w:pPr>
        <w:pStyle w:val="TextBody"/>
        <w:bidi w:val="0"/>
        <w:spacing w:before="0" w:after="0"/>
        <w:ind w:left="960" w:right="960" w:hanging="0"/>
        <w:jc w:val="left"/>
        <w:rPr>
          <w:rFonts w:ascii="Times New Roman" w:hAnsi="Times New Roman"/>
          <w:b/>
          <w:sz w:val="16"/>
        </w:rPr>
      </w:pPr>
      <w:r>
        <w:rPr>
          <w:rFonts w:ascii="Times New Roman" w:hAnsi="Times New Roman"/>
          <w:b/>
          <w:sz w:val="16"/>
        </w:rPr>
        <w:t xml:space="preserve">(To prospectus dated November 27, 2024)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807335" cy="5156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07335" cy="515620"/>
                    </a:xfrm>
                    <a:prstGeom prst="rect">
                      <a:avLst/>
                    </a:prstGeom>
                  </pic:spPr>
                </pic:pic>
              </a:graphicData>
            </a:graphic>
          </wp:inline>
        </w:drawing>
      </w:r>
      <w:r>
        <w:rPr/>
        <w:t xml:space="preserve"> </w:t>
      </w:r>
    </w:p>
    <w:p>
      <w:pPr>
        <w:pStyle w:val="TextBody"/>
        <w:bidi w:val="0"/>
        <w:spacing w:before="160" w:after="0"/>
        <w:ind w:left="960" w:right="960" w:hanging="0"/>
        <w:jc w:val="center"/>
        <w:rPr>
          <w:rFonts w:ascii="Times New Roman" w:hAnsi="Times New Roman"/>
          <w:b/>
          <w:sz w:val="28"/>
        </w:rPr>
      </w:pPr>
      <w:r>
        <w:rPr>
          <w:rFonts w:ascii="Times New Roman" w:hAnsi="Times New Roman"/>
          <w:b/>
          <w:sz w:val="28"/>
        </w:rPr>
        <w:t xml:space="preserve">Shares of Common Stock </w:t>
      </w:r>
    </w:p>
    <w:p>
      <w:pPr>
        <w:pStyle w:val="TextBody"/>
        <w:bidi w:val="0"/>
        <w:spacing w:before="120" w:after="0"/>
        <w:ind w:left="960" w:right="960" w:hanging="0"/>
        <w:jc w:val="center"/>
        <w:rPr>
          <w:rFonts w:ascii="Times New Roman" w:hAnsi="Times New Roman"/>
          <w:b/>
          <w:sz w:val="28"/>
        </w:rPr>
      </w:pPr>
      <w:r>
        <w:rPr>
          <w:rFonts w:ascii="Times New Roman" w:hAnsi="Times New Roman"/>
          <w:b/>
          <w:sz w:val="28"/>
        </w:rPr>
        <w:t xml:space="preserve">Pre-Funded Warrants to Purchase up to      Shares of Common Stock </w:t>
      </w:r>
    </w:p>
    <w:p>
      <w:pPr>
        <w:pStyle w:val="TextBody"/>
        <w:bidi w:val="0"/>
        <w:spacing w:before="120" w:after="0"/>
        <w:ind w:left="960" w:right="960" w:hanging="0"/>
        <w:jc w:val="center"/>
        <w:rPr>
          <w:rFonts w:ascii="Times New Roman" w:hAnsi="Times New Roman"/>
          <w:b/>
          <w:sz w:val="28"/>
        </w:rPr>
      </w:pPr>
      <w:r>
        <w:rPr>
          <w:rFonts w:ascii="Times New Roman" w:hAnsi="Times New Roman"/>
          <w:b/>
          <w:sz w:val="28"/>
        </w:rPr>
        <w:t xml:space="preserve">Warrants to Purchase up to      Shares of 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60" w:after="0"/>
        <w:ind w:left="960" w:right="960" w:hanging="0"/>
        <w:jc w:val="left"/>
        <w:rPr>
          <w:rFonts w:ascii="Times New Roman" w:hAnsi="Times New Roman"/>
          <w:sz w:val="16"/>
        </w:rPr>
      </w:pPr>
      <w:r>
        <w:rPr>
          <w:rFonts w:ascii="Times New Roman" w:hAnsi="Times New Roman"/>
          <w:sz w:val="16"/>
        </w:rPr>
        <w:t xml:space="preserve">We are selling    shares of our common stock, par value $0.00001 per share, or the common stock, and, in lieu of common stock to certain investors, pre-funded warrants to purchase    shares of common stock, as well as accompanying common stock warrants to purchase up to an aggregate of    shares of our common stock, or the common stock warrants, pursuant to this prospectus supplement and the accompanying prospectus. Each share of common stock and each pre-funded warrant will be sold in combination with an accompanying common stock warrant to purchase  shares of common stock issued. This prospectus supplement also relates to the offering of the shares of common stock issuable upon exercise of the pre-funded warrants and common stock warrants sold in this offering. </w:t>
      </w:r>
    </w:p>
    <w:p>
      <w:pPr>
        <w:pStyle w:val="TextBody"/>
        <w:bidi w:val="0"/>
        <w:spacing w:before="60" w:after="0"/>
        <w:ind w:left="960" w:right="960" w:hanging="0"/>
        <w:jc w:val="left"/>
        <w:rPr>
          <w:rFonts w:ascii="Times New Roman" w:hAnsi="Times New Roman"/>
          <w:sz w:val="16"/>
        </w:rPr>
      </w:pPr>
      <w:r>
        <w:rPr>
          <w:rFonts w:ascii="Times New Roman" w:hAnsi="Times New Roman"/>
          <w:sz w:val="16"/>
        </w:rPr>
        <w:t>The purchase price of each pre-funded warrant and accompanying warrant equals the price per share at which shares of common stock and the accompanying common stock warrants are being sold to the public in this offering, minus $0.00001, and the exercise price of each pre-funded warrant equals $0.00001 per share. The shares of our common stock (or pre-funded warrants) and common stock warrants are immediately separable and will be issued separately. The common stock warrants will be immediately exercisable and will expire five years from the date of issuance. The initial exercise price of the common stock warrants is $  per share of common stock. The exercise price of the common stock warrants and the number of shares of our common stock issuable upon exercise of the common stock warrants is subject to adjustments as described elsewhere in this prospectus supplement. In addition, beginning on the date of our initial public announcement of the decision by the U.S. Food and Drug Administration, or FDA, regarding the acceptance for review of our New Drug Application, or NDA, for rezatapopt for the treatment of patients with platinum-resistant/refractory ovarian cancer harboring a TP53 Y220C mutation, or the NDA Acceptance Announcement, the exercise price of the common stock warrants will be reduced to the greater of (i) 33% of the initial exercise price of the common stock warrants and (ii) the lesser of (x) the then exercise price and (y) the volume weighted average price of our common stock for the five trading day period beginning on the trading day following the NDA Acceptance Announcement, referred to as the Reset Exercise Price, if such Reset Exercise Price is less than the initial exercise price. If the exercise price of the common stock warrants is reduced to the Reset Exercise Price, the number of shares of common stock issuable pursuant to the common stock warrant shall be increased such that the aggregate exercise price payable thereunder, after taking into account the decrease in the exercise price to the Reset Exercise Price, shall be equal to the aggregate exercise price immediately prior to the date of the NDA Acceptance Announcement. See “</w:t>
      </w:r>
      <w:r>
        <w:rPr>
          <w:rFonts w:ascii="Times New Roman" w:hAnsi="Times New Roman"/>
          <w:i/>
          <w:sz w:val="16"/>
        </w:rPr>
        <w:t>Description of Securities</w:t>
      </w:r>
      <w:r>
        <w:rPr>
          <w:rFonts w:ascii="Times New Roman" w:hAnsi="Times New Roman"/>
          <w:sz w:val="16"/>
        </w:rPr>
        <w:t xml:space="preserve">.” </w:t>
      </w:r>
    </w:p>
    <w:p>
      <w:pPr>
        <w:pStyle w:val="TextBody"/>
        <w:bidi w:val="0"/>
        <w:spacing w:before="60" w:after="0"/>
        <w:ind w:left="960" w:right="960" w:hanging="0"/>
        <w:jc w:val="left"/>
        <w:rPr>
          <w:rFonts w:ascii="Times New Roman" w:hAnsi="Times New Roman"/>
          <w:sz w:val="16"/>
        </w:rPr>
      </w:pPr>
      <w:r>
        <w:rPr>
          <w:rFonts w:ascii="Times New Roman" w:hAnsi="Times New Roman"/>
          <w:sz w:val="16"/>
        </w:rPr>
        <w:t xml:space="preserve">To the extent that the NDA Acceptance Announcement relates to a positive decision of the FDA to accept the NDA, then during the period beginning on the 30th day following the date of the NDA Acceptance Announcement and ending on the 60th calendar day thereafter, we may require the holders of common stock warrants to exercise up to 50% of their common stock warrants for cash, or the Mandatory Exercise. Any common stock warrant which has not been exercised pursuant to the Mandatory Exercise shall become null and void and the rights of the holder of the common stock warrant to exercise such common stock warrant shall lapse. </w:t>
      </w:r>
    </w:p>
    <w:p>
      <w:pPr>
        <w:pStyle w:val="TextBody"/>
        <w:bidi w:val="0"/>
        <w:spacing w:before="60" w:after="0"/>
        <w:ind w:left="960" w:right="960" w:hanging="0"/>
        <w:jc w:val="left"/>
        <w:rPr>
          <w:rFonts w:ascii="Times New Roman" w:hAnsi="Times New Roman"/>
          <w:sz w:val="16"/>
        </w:rPr>
      </w:pPr>
      <w:r>
        <w:rPr>
          <w:rFonts w:ascii="Times New Roman" w:hAnsi="Times New Roman"/>
          <w:sz w:val="16"/>
        </w:rPr>
        <w:t xml:space="preserve">Our common stock is listed on the Nasdaq Global Select Market under the symbol “PMVP.” On August 28, 2026, the last reported sale price of our common stock on the Nasdaq Global Select Market was $1.22 per share. There is no established public trading market for the pre-funded warrants or the common stock warrants, and we do not expect a market to develop. In addition, we do not intend to apply for a listing of the pre-funded warrants or the common stock warrants on the Nasdaq Global Select Market, any other national securities exchange or any other nationally recognized trading system. </w:t>
      </w:r>
    </w:p>
    <w:p>
      <w:pPr>
        <w:pStyle w:val="TextBody"/>
        <w:bidi w:val="0"/>
        <w:spacing w:before="60" w:after="0"/>
        <w:ind w:left="960" w:right="960" w:hanging="0"/>
        <w:jc w:val="left"/>
        <w:rPr>
          <w:rFonts w:ascii="Times New Roman" w:hAnsi="Times New Roman"/>
          <w:sz w:val="16"/>
        </w:rPr>
      </w:pPr>
      <w:r>
        <w:rPr>
          <w:rFonts w:ascii="Times New Roman" w:hAnsi="Times New Roman"/>
          <w:sz w:val="16"/>
        </w:rPr>
        <w:t>We are a “smaller reporting company” as defined under Rule 12b-2 promulgated under the Exchange Act, and, as such, are subject to certain reduced public company reporting requirements. See “</w:t>
      </w:r>
      <w:r>
        <w:rPr>
          <w:rFonts w:ascii="Times New Roman" w:hAnsi="Times New Roman"/>
          <w:i/>
          <w:sz w:val="16"/>
        </w:rPr>
        <w:t>Prospectus Supplement Summary—Implications of Being a Smaller Reporting Company</w:t>
      </w:r>
      <w:r>
        <w:rPr>
          <w:rFonts w:ascii="Times New Roman" w:hAnsi="Times New Roman"/>
          <w:sz w:val="16"/>
        </w:rPr>
        <w:t xml:space="preserv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60" w:after="0"/>
        <w:ind w:left="960" w:right="960" w:hanging="0"/>
        <w:jc w:val="left"/>
        <w:rPr/>
      </w:pPr>
      <w:r>
        <w:rPr>
          <w:rFonts w:ascii="Times New Roman" w:hAnsi="Times New Roman"/>
          <w:b/>
          <w:sz w:val="20"/>
        </w:rPr>
        <w:t>Investing in our securities involves a high degree of risk. See the information contained under “</w:t>
      </w:r>
      <w:hyperlink w:anchor="supptx95425_4">
        <w:r>
          <w:rPr>
            <w:rStyle w:val="InternetLink"/>
            <w:rFonts w:ascii="Times New Roman" w:hAnsi="Times New Roman"/>
            <w:b/>
            <w:sz w:val="20"/>
          </w:rPr>
          <w:t>Risk Factors</w:t>
        </w:r>
      </w:hyperlink>
      <w:r>
        <w:rPr>
          <w:rFonts w:ascii="Times New Roman" w:hAnsi="Times New Roman"/>
          <w:b/>
          <w:sz w:val="20"/>
        </w:rPr>
        <w:t xml:space="preserve">” beginning on page S-8 of this prospectus supplement and the documents incorporated by reference herein. </w:t>
      </w:r>
    </w:p>
    <w:p>
      <w:pPr>
        <w:pStyle w:val="TextBody"/>
        <w:bidi w:val="0"/>
        <w:spacing w:before="60" w:after="0"/>
        <w:ind w:left="960" w:right="960" w:hanging="0"/>
        <w:jc w:val="left"/>
        <w:rPr>
          <w:rFonts w:ascii="Times New Roman" w:hAnsi="Times New Roman"/>
          <w:b/>
          <w:sz w:val="16"/>
        </w:rPr>
      </w:pPr>
      <w:r>
        <w:rPr>
          <w:rFonts w:ascii="Times New Roman" w:hAnsi="Times New Roman"/>
          <w:b/>
          <w:sz w:val="16"/>
        </w:rPr>
        <w:t xml:space="preserve">Neither the Securities and Exchange Commission nor any state securities commission has approved or disapproved of these securities or determined if this prospectus supplement is truthful or complete. Any representation to the contrary is a criminal offense. </w:t>
      </w:r>
    </w:p>
    <w:p>
      <w:pPr>
        <w:pStyle w:val="TextBody"/>
        <w:bidi w:val="0"/>
        <w:spacing w:before="0" w:after="0"/>
        <w:ind w:left="960" w:right="960" w:hanging="0"/>
        <w:jc w:val="left"/>
        <w:rPr/>
      </w:pPr>
      <w:r>
        <w:rPr/>
        <w:t> </w:t>
      </w:r>
    </w:p>
    <w:tbl>
      <w:tblPr>
        <w:tblW w:w="4200" w:type="pct"/>
        <w:jc w:val="center"/>
        <w:tblInd w:w="0" w:type="dxa"/>
        <w:tblLayout w:type="fixed"/>
        <w:tblCellMar>
          <w:top w:w="0" w:type="dxa"/>
          <w:left w:w="0" w:type="dxa"/>
          <w:bottom w:w="0" w:type="dxa"/>
          <w:right w:w="0" w:type="dxa"/>
        </w:tblCellMar>
      </w:tblPr>
      <w:tblGrid>
        <w:gridCol w:w="1418"/>
        <w:gridCol w:w="185"/>
        <w:gridCol w:w="468"/>
        <w:gridCol w:w="2685"/>
        <w:gridCol w:w="74"/>
        <w:gridCol w:w="185"/>
        <w:gridCol w:w="305"/>
        <w:gridCol w:w="1753"/>
        <w:gridCol w:w="74"/>
        <w:gridCol w:w="184"/>
        <w:gridCol w:w="173"/>
        <w:gridCol w:w="985"/>
        <w:gridCol w:w="83"/>
      </w:tblGrid>
      <w:tr>
        <w:trPr/>
        <w:tc>
          <w:tcPr>
            <w:tcW w:w="1418"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r>
      <w:tr>
        <w:trPr/>
        <w:tc>
          <w:tcPr>
            <w:tcW w:w="141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31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 and</w:t>
              <w:br/>
              <w:t>Accompanying Common</w:t>
              <w:br/>
              <w:t>Stock Warrant</w:t>
            </w:r>
          </w:p>
        </w:tc>
        <w:tc>
          <w:tcPr>
            <w:tcW w:w="74"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0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Pre-Funded</w:t>
              <w:br/>
              <w:t>Warrant and</w:t>
              <w:br/>
              <w:t>Accompanying</w:t>
              <w:br/>
              <w:t>Common Stock</w:t>
              <w:br/>
              <w:t>Warrant</w:t>
            </w:r>
          </w:p>
        </w:tc>
        <w:tc>
          <w:tcPr>
            <w:tcW w:w="7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83" w:type="dxa"/>
            <w:tcBorders/>
            <w:vAlign w:val="bottom"/>
          </w:tcPr>
          <w:p>
            <w:pPr>
              <w:pStyle w:val="TableContents"/>
              <w:bidi w:val="0"/>
              <w:spacing w:before="0" w:after="283"/>
              <w:jc w:val="left"/>
              <w:rPr/>
            </w:pPr>
            <w:r>
              <w:rPr/>
              <w:t> </w:t>
            </w:r>
          </w:p>
        </w:tc>
      </w:tr>
      <w:tr>
        <w:trPr/>
        <w:tc>
          <w:tcPr>
            <w:tcW w:w="1418"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Public offering price</w:t>
            </w:r>
          </w:p>
        </w:tc>
        <w:tc>
          <w:tcPr>
            <w:tcW w:w="185"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b/>
                <w:i/>
              </w:rPr>
            </w:pPr>
            <w:r>
              <w:rPr>
                <w:b/>
                <w:i/>
              </w:rPr>
              <w:t>$</w:t>
            </w:r>
          </w:p>
        </w:tc>
        <w:tc>
          <w:tcPr>
            <w:tcW w:w="2685"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b/>
                <w:i/>
              </w:rPr>
            </w:pPr>
            <w:r>
              <w:rPr>
                <w:b/>
                <w:i/>
              </w:rPr>
              <w:t>$</w:t>
            </w:r>
          </w:p>
        </w:tc>
        <w:tc>
          <w:tcPr>
            <w:tcW w:w="1753"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b/>
                <w:i/>
              </w:rPr>
            </w:pPr>
            <w:r>
              <w:rPr>
                <w:b/>
                <w:i/>
              </w:rPr>
              <w:t>$</w:t>
            </w:r>
          </w:p>
        </w:tc>
        <w:tc>
          <w:tcPr>
            <w:tcW w:w="985"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r>
      <w:tr>
        <w:trPr/>
        <w:tc>
          <w:tcPr>
            <w:tcW w:w="1418"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Underwriting discounts and commissions(1)</w:t>
            </w:r>
          </w:p>
        </w:tc>
        <w:tc>
          <w:tcPr>
            <w:tcW w:w="185"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b/>
              </w:rPr>
            </w:pPr>
            <w:r>
              <w:rPr>
                <w:b/>
              </w:rPr>
              <w:t>$</w:t>
            </w:r>
          </w:p>
        </w:tc>
        <w:tc>
          <w:tcPr>
            <w:tcW w:w="2685"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b/>
              </w:rPr>
            </w:pPr>
            <w:r>
              <w:rPr>
                <w:b/>
              </w:rPr>
              <w:t>$</w:t>
            </w:r>
          </w:p>
        </w:tc>
        <w:tc>
          <w:tcPr>
            <w:tcW w:w="1753"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b/>
              </w:rPr>
            </w:pPr>
            <w:r>
              <w:rPr>
                <w:b/>
              </w:rPr>
              <w:t>$</w:t>
            </w:r>
          </w:p>
        </w:tc>
        <w:tc>
          <w:tcPr>
            <w:tcW w:w="985" w:type="dxa"/>
            <w:tcBorders/>
            <w:vAlign w:val="bottom"/>
          </w:tcPr>
          <w:p>
            <w:pPr>
              <w:pStyle w:val="TableContents"/>
              <w:bidi w:val="0"/>
              <w:spacing w:before="0" w:after="283"/>
              <w:jc w:val="right"/>
              <w:rPr/>
            </w:pPr>
            <w:r>
              <w:rPr/>
              <w:t> </w:t>
            </w:r>
          </w:p>
        </w:tc>
        <w:tc>
          <w:tcPr>
            <w:tcW w:w="83" w:type="dxa"/>
            <w:tcBorders/>
            <w:vAlign w:val="bottom"/>
          </w:tcPr>
          <w:p>
            <w:pPr>
              <w:pStyle w:val="TableContents"/>
              <w:bidi w:val="0"/>
              <w:spacing w:before="0" w:after="283"/>
              <w:jc w:val="left"/>
              <w:rPr/>
            </w:pPr>
            <w:r>
              <w:rPr/>
              <w:t> </w:t>
            </w:r>
          </w:p>
        </w:tc>
      </w:tr>
      <w:tr>
        <w:trPr/>
        <w:tc>
          <w:tcPr>
            <w:tcW w:w="1418"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Proceeds, before expenses, to us</w:t>
            </w:r>
          </w:p>
        </w:tc>
        <w:tc>
          <w:tcPr>
            <w:tcW w:w="185"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b/>
              </w:rPr>
            </w:pPr>
            <w:r>
              <w:rPr>
                <w:b/>
              </w:rPr>
              <w:t>$</w:t>
            </w:r>
          </w:p>
        </w:tc>
        <w:tc>
          <w:tcPr>
            <w:tcW w:w="2685"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b/>
              </w:rPr>
            </w:pPr>
            <w:r>
              <w:rPr>
                <w:b/>
              </w:rPr>
              <w:t>$</w:t>
            </w:r>
          </w:p>
        </w:tc>
        <w:tc>
          <w:tcPr>
            <w:tcW w:w="1753"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b/>
              </w:rPr>
            </w:pPr>
            <w:r>
              <w:rPr>
                <w:b/>
              </w:rPr>
              <w:t>$</w:t>
            </w:r>
          </w:p>
        </w:tc>
        <w:tc>
          <w:tcPr>
            <w:tcW w:w="985"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(1)</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i/>
                <w:sz w:val="16"/>
              </w:rPr>
              <w:t>See the section entitled “Underwriting” for additional disclosure regarding underwriter compensation and estimated offering expenses.</w:t>
            </w:r>
            <w:r>
              <w:rPr>
                <w:rFonts w:ascii="Times New Roman" w:hAnsi="Times New Roman"/>
                <w:sz w:val="16"/>
              </w:rPr>
              <w:t xml:space="preserve"> </w:t>
            </w:r>
          </w:p>
        </w:tc>
      </w:tr>
    </w:tbl>
    <w:p>
      <w:pPr>
        <w:pStyle w:val="TextBody"/>
        <w:bidi w:val="0"/>
        <w:spacing w:before="60" w:after="0"/>
        <w:ind w:left="960" w:right="960" w:hanging="0"/>
        <w:jc w:val="left"/>
        <w:rPr>
          <w:rFonts w:ascii="Times New Roman" w:hAnsi="Times New Roman"/>
          <w:i/>
          <w:sz w:val="16"/>
        </w:rPr>
      </w:pPr>
      <w:r>
        <w:rPr>
          <w:rFonts w:ascii="Times New Roman" w:hAnsi="Times New Roman"/>
          <w:i/>
          <w:sz w:val="16"/>
        </w:rPr>
        <w:t xml:space="preserve">Delivery of the securities is expected to be made on or about  , 2026.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60" w:after="0"/>
        <w:ind w:left="960" w:right="960" w:hanging="0"/>
        <w:jc w:val="center"/>
        <w:rPr>
          <w:rFonts w:ascii="Times New Roman" w:hAnsi="Times New Roman"/>
          <w:b/>
          <w:i/>
          <w:sz w:val="20"/>
        </w:rPr>
      </w:pPr>
      <w:r>
        <w:rPr>
          <w:rFonts w:ascii="Times New Roman" w:hAnsi="Times New Roman"/>
          <w:b/>
          <w:i/>
          <w:sz w:val="20"/>
        </w:rPr>
        <w:t xml:space="preserve">Sole Book-Running Manager </w:t>
      </w:r>
    </w:p>
    <w:p>
      <w:pPr>
        <w:pStyle w:val="TextBody"/>
        <w:bidi w:val="0"/>
        <w:spacing w:before="60" w:after="0"/>
        <w:ind w:left="960" w:right="960" w:hanging="0"/>
        <w:jc w:val="center"/>
        <w:rPr>
          <w:rFonts w:ascii="Times New Roman" w:hAnsi="Times New Roman"/>
          <w:b/>
          <w:sz w:val="26"/>
        </w:rPr>
      </w:pPr>
      <w:r>
        <w:rPr>
          <w:rFonts w:ascii="Times New Roman" w:hAnsi="Times New Roman"/>
          <w:b/>
          <w:sz w:val="26"/>
        </w:rPr>
        <w:t xml:space="preserve">TD Cowen </w:t>
      </w:r>
    </w:p>
    <w:p>
      <w:pPr>
        <w:pStyle w:val="TextBody"/>
        <w:bidi w:val="0"/>
        <w:spacing w:before="60" w:after="0"/>
        <w:ind w:left="960" w:right="960" w:hanging="0"/>
        <w:jc w:val="center"/>
        <w:rPr>
          <w:rFonts w:ascii="Times New Roman" w:hAnsi="Times New Roman"/>
          <w:b/>
          <w:sz w:val="16"/>
        </w:rPr>
      </w:pPr>
      <w:r>
        <w:rPr>
          <w:rFonts w:ascii="Times New Roman" w:hAnsi="Times New Roman"/>
          <w:b/>
          <w:sz w:val="16"/>
        </w:rPr>
        <w:t xml:space="preserve">Prospectus supplement dated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5">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7">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8">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9">
              <w:r>
                <w:rPr>
                  <w:rStyle w:val="InternetLink"/>
                  <w:rFonts w:ascii="Times New Roman" w:hAnsi="Times New Roman"/>
                  <w:sz w:val="20"/>
                </w:rPr>
                <w:t>MATERIAL U.S.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10">
              <w:r>
                <w:rPr>
                  <w:rStyle w:val="InternetLink"/>
                  <w:rFonts w:ascii="Times New Roman" w:hAnsi="Times New Roman"/>
                  <w:sz w:val="20"/>
                </w:rPr>
                <w:t>DESCRIPTION OF SECURITIES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11">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12">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13">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14">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15">
              <w:r>
                <w:rPr>
                  <w:rStyle w:val="InternetLink"/>
                  <w:rFonts w:ascii="Times New Roman" w:hAnsi="Times New Roman"/>
                  <w:sz w:val="20"/>
                </w:rPr>
                <w:t>INCORPORATION OF CERTAIN DOCUMENTS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S-40</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2">
              <w:r>
                <w:rPr>
                  <w:rStyle w:val="InternetLink"/>
                  <w:rFonts w:ascii="Times New Roman" w:hAnsi="Times New Roman"/>
                  <w:sz w:val="20"/>
                </w:rPr>
                <w:t>Prospectus Summary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3">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4">
              <w:r>
                <w:rPr>
                  <w:rStyle w:val="InternetLink"/>
                  <w:rFonts w:ascii="Times New Roman" w:hAnsi="Times New Roman"/>
                  <w:sz w:val="20"/>
                </w:rPr>
                <w:t>Special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5">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6">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6a">
              <w:r>
                <w:rPr>
                  <w:rStyle w:val="InternetLink"/>
                  <w:rFonts w:ascii="Times New Roman" w:hAnsi="Times New Roman"/>
                  <w:sz w:val="20"/>
                </w:rPr>
                <w:t xml:space="preserve">Description of Debt Securities </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7">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8">
              <w:r>
                <w:rPr>
                  <w:rStyle w:val="InternetLink"/>
                  <w:rFonts w:ascii="Times New Roman" w:hAnsi="Times New Roman"/>
                  <w:sz w:val="20"/>
                </w:rPr>
                <w:t>Description of Subscription Rights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9">
              <w:r>
                <w:rPr>
                  <w:rStyle w:val="InternetLink"/>
                  <w:rFonts w:ascii="Times New Roman" w:hAnsi="Times New Roman"/>
                  <w:sz w:val="20"/>
                </w:rPr>
                <w:t>Description of Purchase Contracts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0">
              <w:r>
                <w:rPr>
                  <w:rStyle w:val="InternetLink"/>
                  <w:rFonts w:ascii="Times New Roman" w:hAnsi="Times New Roman"/>
                  <w:sz w:val="20"/>
                </w:rPr>
                <w:t>Description of Units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1">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2">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3">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4">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5">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95425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shelf registration statement on Form S-3 that we filed with the Securities and Exchange Commission, or the SEC. Under the shelf registration process, we may offer from time to time various securities, of which this offering of shares of our common stock, common stock warrants and pre-funded warrants to certain investors is a part. Such registration statement also includes exhibits that provide more detail on the matters discussed in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If the information contained in this prospectus supplement differs or varies from the information contained in any document incorporated by reference herein that was filed with the SEC before the date of this prospectus supplement, you should rely on the information set forth in this prospectus supplement. If any statement in one of these documents is inconsistent with a statement in another document having a later date (for example, a subsequently filed document deemed incorporated by reference in this prospectus supplement), the statement in the document having the later date modifies or supersedes the earlier statement. Any statement so modified or superseded will not be deemed, except as so modified or superseded, to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supplement. We have not, and the underwriters have not, authorized anyone to provide you with information that is in addition to or different from that contained or incorporated by reference in this prospectus supplement or contained in any permitted free writing prospectuses we have authorized for use in connection with this offering. We and the underwriters take no responsibility for, and can provide no assurance as to the reliability of, any other information that others may provide. </w:t>
      </w:r>
    </w:p>
    <w:p>
      <w:pPr>
        <w:pStyle w:val="TextBody"/>
        <w:bidi w:val="0"/>
        <w:spacing w:before="240" w:after="0"/>
        <w:jc w:val="left"/>
        <w:rPr>
          <w:rFonts w:ascii="Times New Roman" w:hAnsi="Times New Roman"/>
          <w:sz w:val="20"/>
        </w:rPr>
      </w:pPr>
      <w:r>
        <w:rPr>
          <w:rFonts w:ascii="Times New Roman" w:hAnsi="Times New Roman"/>
          <w:sz w:val="20"/>
        </w:rPr>
        <w:t>The information contained in this prospectus supplement and the documents incorporated by reference herein is accurate only as of their respective dates, regardless of the time of delivery of any such document or the time of any sale of our securities. Our business, financial condition, results of operations and prospects may have changed since those dates. It is important for you to read and consider all information contained or incorporated by reference in this prospectus supplement in making your investment decision. You should read this prospectus supplement, as well as the documents incorporated by reference herein, the additional information described under the sections titled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of Certain Documents by Reference</w:t>
      </w:r>
      <w:r>
        <w:rPr>
          <w:rFonts w:ascii="Times New Roman" w:hAnsi="Times New Roman"/>
          <w:sz w:val="20"/>
        </w:rPr>
        <w:t xml:space="preserve">” in this prospectus supplement and any free writing prospectus that we have authorized for use in connection with this offering,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in this prospectus supplement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We use various trademarks, trade names and service marks in our business, including without limitation our corporate name and logo. All other trademarks, trade names or service marks referred to in this prospectus supplement are the property of their respective owners. Solely for convenience, the trademarks, trade names and service marks in this prospectus supplement may be referred to without the ®,  and SM symbols, but such references should not be construed as any indicator that their respective owners will not assert, to the fullest extent under applicable law, their rights thereto. This prospectus supplement and the documents incorporated by reference herein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shares of securities to certain investors only in jurisdictions where such offers and sales are permitted. The distribution of this prospectus supplement and the offering of our securities in certain jurisdictions may be restricted by law. Persons outside the United States who come into possession of this prospectus supplement must inform themselves about, and observe any restrictions relating to, the offering of our securities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suggests otherwise, all references in this prospectus supplement and any free writing prospectus to “us,” “our,” “PMV Pharma,” “we,” the “Company” and similar designations refer to PMV Pharmaceuticals,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x95425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of our business highlights certain of the information contained elsewhere in, or incorporated by reference into, this prospectus supplement and the accompanying prospectus. This summary does not contain all of the information that may be important to you. You should carefully read this entire prospectus supplement and the accompanying prospectus, including any information incorporated by reference, which are described in the sections titled “Where You Can Find More Information” and “Incorporation of Certain Documents by Reference” herein and therein. In particular, you should carefully consider the risks and uncertainties described in the section titled “Risk Factors” in this prospectus supplement and in the accompanying prospectus and under “Risk Factors” and the financial statements and related notes and other information that we incorporate by reference herein and any related free writing prospectus, including in our Annual Report on Form 10-K and our Quarterly Reports on Form 10-Q, as well as those contained in the other documents incorporated by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lead product candidate, rezatapopt, is an orally available small molecule designed to potently and selectively correct p53 misfolding caused by a specific p53 mutation, Y220C, while sparing wild-type p53. The p53 Y220C mutation is associated with approximately 1% of all cancers, including endometrial, breast, non-small cell lung cancer, or NSCLC, colorectal, pancreatic and notably, approximately 3.2% of ovarian cancers. With respect to ovarian cancers caused by the p53 Y220C mutation, we estimate approximately 1,900 patients (U.S. plus EU4/UK) in the second-line plus setting, of which 1,000 patients represent between approximately $550 million and approximately $700 million U.S. market, and between approximately $850 million and approximately $1 billion global market.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Rezatapopt is designed to restore the wild-type conformation by occupying the pocket created by the tyrosine to cysteine mutation in amino acid position 220. We are pursuing a tumor-agnostic development strategy and initiated a Phase 1/2 clinical trial, PYNNACLE, in October 2020. Our strategy is to seek approval under an accelerated pathway, and we believe the Phase 2 portion of the PYNNACLE clinical trial has the potential to serve as a pivotal study. In October 2020, we were granted FDA Fast Track designation of rezatapopt for the treatment of patients with locally advanced or metastatic solid tumors that have a p53 Y220C mutation. In July 2023, we met with the FDA at an End-of-Phase 1 meeting where alignment was obtained on the recommended Phase 2 dose and key elements of the single-arm, Phase 2 registrational portion of our PYNNACLE study. In October 2023, we presented our updated Phase 1 clinical data for rezatapopt at the 2023 American Association for Cancer Research, the National Cancer Institute, and the European Organisation for Research and Treatment of Cancer, International Conference, the AACR-NCI-EORTC International Conference, on Molecular Targets and Cancer Therapeutics Annual Meeting. We dosed our first patient in the pivotal Phase 2 monotherapy portion of the PYNNACLE study in the first quarter of 2024. In September 2025, we announced interim data from the Phase 2 pivotal portion of the PYNNACLE clinical trial, which was updated in October 2025 in a late-breaking oral presentation and poster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presentation at the 2025 AACR-NCI-EORTC International Conference on Molecular Targets and Cancer Therapeutics Meeting. In March 2026, rezatapopt was granted orphan drug designation from the FDA for the treatment of TP53 Y220C positive ovarian cancer, fallopian tube cancer, and primary peritoneal cancer.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Regulatory Update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 recent meeting with the FDA, we obtained feedback that continues to support our strategy for submitting an NDA for accelerated approval for rezatapopt in patients with platinum-resistant/refractory ovarian cancer with a </w:t>
      </w:r>
      <w:r>
        <w:rPr>
          <w:rFonts w:ascii="Times New Roman" w:hAnsi="Times New Roman"/>
          <w:i/>
          <w:sz w:val="20"/>
          <w:bdr w:val="single" w:sz="8" w:space="1" w:color="000000"/>
        </w:rPr>
        <w:t>TP53</w:t>
      </w:r>
      <w:r>
        <w:rPr>
          <w:rFonts w:ascii="Times New Roman" w:hAnsi="Times New Roman"/>
          <w:sz w:val="20"/>
          <w:bdr w:val="single" w:sz="8" w:space="1" w:color="000000"/>
        </w:rPr>
        <w:t xml:space="preserve"> Y220C mutation based on the Phase 2 portion of the PYNNACLE clinical trial. We plan to submit an NDA for the treatment of patients with platinum-resistant/refractory ovarian cancer harboring a </w:t>
      </w:r>
      <w:r>
        <w:rPr>
          <w:rFonts w:ascii="Times New Roman" w:hAnsi="Times New Roman"/>
          <w:i/>
          <w:sz w:val="20"/>
          <w:bdr w:val="single" w:sz="8" w:space="1" w:color="000000"/>
        </w:rPr>
        <w:t>TP53</w:t>
      </w:r>
      <w:r>
        <w:rPr>
          <w:rFonts w:ascii="Times New Roman" w:hAnsi="Times New Roman"/>
          <w:sz w:val="20"/>
          <w:bdr w:val="single" w:sz="8" w:space="1" w:color="000000"/>
        </w:rPr>
        <w:t xml:space="preserve"> Y220C mutation in the first quarter of 2027.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PYNNACLE Phase 2 Ovarian Cancer Interim Data Update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Enrollment of platinum-resistant/refractory ovarian cancer patients for the primary analysis in the Phase 2 monotherapy portion of the PYNNACLE Phase 2 pivotal trial has been completed. The updated interim ovarian cancer data below are summarized as of a May 14, 2026 data cutoff date.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Efficacy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efficacy population consisted of 76 patients enrolled as of the data cutoff date who either had reached the first post-baseline tumor assessment or discontinued early.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 response rate was 46% (35/76 patients, including four confirmed complete responses, 29 confirmed partial responses, and two unconfirmed partial responses) per investigator assessment according to Response Evaluation Criteria in Solid Tumors version 1.1.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median time to response was 1.3 months and median duration of response was 10.0 months based on confirmed responses only.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Safety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Rezatapopt continued to show a favorable and consistent safety and tolerability profile across all cohorts, with mostly Grade 1 and 2 treatment-related adverse events, or AEs, observed as well as a low rate (5%) of discontinuation due to treatment-related AEs. The safety and tolerability profile of rezatapopt in the ovarian cancer cohort was similar to the overall population.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meaning that the market value of our shares held by non-affiliates plus the proposed aggregate amount of gross proceeds to us as a result of this offering is less than $700.0 million and our annual revenue was less than $100.0 million during the most recently completed fiscal year. We may continue to be a smaller reporting company if either (i) the market value of our shares held by non-affiliates is less than $250.0 million measured on the last business day of the second fiscal quarter of the preceding fiscal year or (ii) our annual revenue was less than $100.0 million during the most recently completed fiscal year and the market value of our shares held by non-affiliates is less than $700.0 million measured on the last business day of the second fiscal quarter of the preceding fiscal year.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smaller reporting companies have reduced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disclosure obligations regarding executive compensation. Accordingly, the information contained or incorporated by reference herein may be different than the information you receive from other public companies in which you hold stock.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in March 2013 under the name “PJ Pharmaceuticals, Inc.” In July 2013, we changed our name to “PMV Pharmaceuticals, Inc.” Our principal executive offices are located at 400 Alexander Park Drive, Suite 301, Princeton, New Jersey 08540, and our telephone number is (609) 642-6670. Our website address is www.pmvpharma.com. The information contained on, or accessible through, our website is not incorporated by reference in this prospectus. Our Annual Report on Form 10-K, Quarterly Reports on Form 10-Q, Current Reports on Form 8-K and amendments to reports filed pursuant to Sections 13(a) and 15(d) of the Securities Exchange Act of 1934, as amended, or the Exchange Act, are filed with the SEC. Such reports and other information filed by us with the SEC are available free of charge on our website at ir.pmvpharma.com when such reports are available on the SEC’s website. The SEC maintains an internet site that contains reports, proxy and information statements and other information regarding issuers that file electronically with the SEC at www.sec.gov. The information contained on the websites referenced in this prospectus and in the documents that are incorporated by reference in this prospectus is not incorporated by reference in this filing. Further, our references to website URLs are intended to be inactive textual references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x95425_3"/>
      <w:bookmarkEnd w:id="5"/>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9" w:type="dxa"/>
            <w:tcBorders/>
          </w:tcPr>
          <w:p>
            <w:pPr>
              <w:pStyle w:val="TableContents"/>
              <w:bidi w:val="0"/>
              <w:spacing w:before="0" w:after="283"/>
              <w:jc w:val="left"/>
              <w:rPr/>
            </w:pPr>
            <w:r>
              <w:rPr/>
              <w:t xml:space="preserve">      </w:t>
            </w:r>
            <w:r>
              <w:rPr/>
              <w:t xml:space="preserve">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Each share of common stock is being offered and sold together with an accompanying common stock warrant to purchase      shares of common stock at a combined offering price of $    .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Pre-funded Warrants offered by us: </w:t>
            </w:r>
          </w:p>
        </w:tc>
        <w:tc>
          <w:tcPr>
            <w:tcW w:w="6327" w:type="dxa"/>
            <w:tcBorders/>
          </w:tcPr>
          <w:p>
            <w:pPr>
              <w:pStyle w:val="TableContents"/>
              <w:bidi w:val="0"/>
              <w:spacing w:before="0" w:after="283"/>
              <w:jc w:val="left"/>
              <w:rPr/>
            </w:pPr>
            <w:r>
              <w:rPr/>
              <w:t xml:space="preserve">Pre-funded warrants to purchase      shares of common stock. Each pre-funded warrant is being offered and sold together with an accompanying common stock warrant to purchase      shares of common stock at a combined offering price of $    .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The purchase price of each pre-funded warrant equals the price per share at which the shares of common stock and accompanying common stock warrants are being sold to the public in this offering, minus $0.00001, and the exercise price of each pre-funded warrant will be $0.00001 per share. Each pre-funded warrant will be exercisable at any time after the date of issuance, subject to an ownership limitation. See “</w:t>
            </w:r>
            <w:r>
              <w:rPr>
                <w:i/>
              </w:rPr>
              <w:t>Description of Securities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warrants offered by us </w:t>
            </w:r>
          </w:p>
        </w:tc>
        <w:tc>
          <w:tcPr>
            <w:tcW w:w="6327" w:type="dxa"/>
            <w:tcBorders/>
          </w:tcPr>
          <w:p>
            <w:pPr>
              <w:pStyle w:val="TableContents"/>
              <w:bidi w:val="0"/>
              <w:spacing w:before="0" w:after="283"/>
              <w:jc w:val="left"/>
              <w:rPr/>
            </w:pPr>
            <w:r>
              <w:rPr/>
              <w:t xml:space="preserve">Common stock warrants to purchase up to      shares of our common stock, accompanying the shares of common stock and pre-funded warrants being offered and sold.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initial exercise price of the common stock warrants is $    per share of common stock. The exercise price of the common stock warrants and the number of shares of our common stock issuable upon exercise of the common stock warrants is subject to adjustments as described elsewhere in this prospectus supplement. In addition, beginning on the date of the NDA Acceptance Announcement, the exercise price of the common stock warrants will be reduced to the Reset Exercise Price if such Reset Exercise Price is less than the initial exercise price. If the exercise price of the common stock warrants is reduced to the Reset Exercise Price, the number of shares of common stock issuable pursuant to the common stock warrant shall be increased such that the aggregate exercise price payable thereunder, after taking into account the decrease in the exercise price to the Reset Exercise Price, shall be equal to the aggregate exercise price immediately prior to the date of the NDA Acceptance Announcement.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To the extent that the NDA Acceptance Announcement relates to a positive decision of the FDA to accept the NDA, then during the period beginning on the 30th day following the date of the NDA Acceptance Announcement and ending on the 60th calendar day thereafter, the common stock warrants are subject to the Mandatory Exercise. Any common stock warrant which has not been exercised pursuant to the Mandatory Exercise shall become null and void and the rights of the holder of the common stock warrant to exercise such common stock warrant shall lapse.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The common stock warrants will be immediately exercisable and will expire five years from the date of issuance. For more information, see the section titled “</w:t>
            </w:r>
            <w:r>
              <w:rPr>
                <w:i/>
              </w:rPr>
              <w:t>Description of Securities</w:t>
            </w:r>
            <w:r>
              <w:rPr/>
              <w:t xml:space="preserve">.” This prospectus supplement also relates to the offering of the shares of our common stock issuable upon exercise of the common stock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after this offering: </w:t>
            </w:r>
          </w:p>
        </w:tc>
        <w:tc>
          <w:tcPr>
            <w:tcW w:w="6327" w:type="dxa"/>
            <w:tcBorders/>
          </w:tcPr>
          <w:p>
            <w:pPr>
              <w:pStyle w:val="TableContents"/>
              <w:bidi w:val="0"/>
              <w:spacing w:before="0" w:after="283"/>
              <w:jc w:val="left"/>
              <w:rPr/>
            </w:pPr>
            <w:r>
              <w:rPr/>
              <w:t xml:space="preserve">      </w:t>
            </w:r>
            <w:r>
              <w:rPr/>
              <w:t xml:space="preserve">shares assuming no exercise of any warrants included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Our management will retain broad discretion regarding the allocation and use of the net proceeds. We currently intend to use the net proceeds from this offering, together with our existing cash and cash equivalents, to fund the late-stage clinical development, regulatory submission and commercialization preparation activities for rezatapopt, in addition to working capital and general corporate purposes. Based upon our current operating plan, we believe that the net proceeds from this offering together with our existing cash and cash equivalents, will enable us to fund our operating expenses and capital expenditure requirements into     . See “</w:t>
            </w:r>
            <w:r>
              <w:rPr>
                <w:i/>
              </w:rPr>
              <w:t>Use of Proceeds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Investing in our securities involves risks. See “</w:t>
            </w:r>
            <w:r>
              <w:rPr>
                <w:i/>
              </w:rPr>
              <w:t>Risk Factors</w:t>
            </w:r>
            <w:r>
              <w:rPr/>
              <w:t xml:space="preserve">” beginning on page S-8 of this prospectus supplement and under similar headings in the documents incorporated by reference herein for a discussion of the factors you should carefully consider before deciding to purchase our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symbol: </w:t>
            </w:r>
          </w:p>
        </w:tc>
        <w:tc>
          <w:tcPr>
            <w:tcW w:w="6328" w:type="dxa"/>
            <w:tcBorders/>
          </w:tcPr>
          <w:p>
            <w:pPr>
              <w:pStyle w:val="TableContents"/>
              <w:bidi w:val="0"/>
              <w:spacing w:before="0" w:after="283"/>
              <w:jc w:val="left"/>
              <w:rPr/>
            </w:pPr>
            <w:r>
              <w:rPr/>
              <w:t xml:space="preserve">Our common stock is listed on the Nasdaq Global Select Market under the symbol “PMVP.” There is no established public trading market for the common stock warrants or the pre-funded warrants and we do not expect a market to develop. In addition, we do not intend to apply for listing of the common stock warrants or the pre-funded warrants on any securities exchange or recognized trading system.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noted, the number of shares of our common stock outstanding is based on 53,460,432 shares of our common stock outstanding as of June 30, 2026,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15,809,535 shares of our common stock issuable upon the exercise of outstanding options as of June 30, 2026, with a weighted-average exercise price of $2.21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400,000 shares of our common stock issuable upon the exercise of outstanding options granted subsequent to June 30, 2026, with a weighted-average exercise price of $1.25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3,185,748 shares of our common stock reserved for future issuance under our 2020 Equity Incentive Plan, or the 2020 Plan, as of June 30, 2026, as well as any automatic increases in the number of shares of our common stock reserved for issuance under the 2020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1,033,530 shares of our common stock reserved for future issuance under our 2020 Employee Stock Purchase Plan, or the 2020 ESPP, as of June 30, 2026, as well as any automatic increases in the number of shares of our common stock reserved for issuance under the 2020 ESPP.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stated, all information contained in this prospectus supplement assumes no exercise of options after June 30, 2026. Except as otherwise indicated, all information in this preliminary prospectus supplement assumes no exercise of the pre-funded warrants or common stock warrants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95425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securities involves a high degree of risk. Before making a decision to invest in our securities, you should consider carefully the risks, uncertainties and assumptions described under the heading “Risk Factors” contained or incorporated by reference in this prospectus supplement and the accompanying prospectus, including the risk factors incorporated by reference herein from the Annual Report on Form 10-K and in our subsequent Quarterly Reports on Form 10-Q, as updated by our subsequent filings under the Exchange Act, each of which is incorporated by reference in this prospectus supplement in their entirety, together with other information in this prospectus supplement, and the information and documents incorporated by reference in this prospectus supplement, and any free writing prospectus that we have authorized for use in connection with this offering before you make a decision to invest in our securities. The risks described in these documents are not the only ones we face. There may be other unknown or unpredictable economic, business, competitive, regulatory or other factors that could harm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harmed. This could cause the trading price of our common stock to decline, resulting in a loss of all or part of your investment. Please also read carefully the section below titled “Special Note Regarding Forward-Looking Statements” and “Incorporation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broad discretion over the use of the net proceeds from this offering and our existing cash and may not use them effectively. </w:t>
      </w:r>
    </w:p>
    <w:p>
      <w:pPr>
        <w:pStyle w:val="TextBody"/>
        <w:bidi w:val="0"/>
        <w:spacing w:before="120" w:after="0"/>
        <w:jc w:val="left"/>
        <w:rPr>
          <w:rFonts w:ascii="Times New Roman" w:hAnsi="Times New Roman"/>
          <w:sz w:val="20"/>
        </w:rPr>
      </w:pPr>
      <w:r>
        <w:rPr>
          <w:rFonts w:ascii="Times New Roman" w:hAnsi="Times New Roman"/>
          <w:sz w:val="20"/>
        </w:rPr>
        <w:t>Our management will have broad discretion over the application of the net proceeds from this offering, including for any of the purposes described in the section titled “</w:t>
      </w:r>
      <w:r>
        <w:rPr>
          <w:rFonts w:ascii="Times New Roman" w:hAnsi="Times New Roman"/>
          <w:i/>
          <w:sz w:val="20"/>
        </w:rPr>
        <w:t>Use of Proceeds</w:t>
      </w:r>
      <w:r>
        <w:rPr>
          <w:rFonts w:ascii="Times New Roman" w:hAnsi="Times New Roman"/>
          <w:sz w:val="20"/>
        </w:rPr>
        <w:t xml:space="preserve">,” as well as our existing cash, and you will be relying on the judgment of our management regarding such application. You will not have the opportunity, as part of your investment decision, to assess whether the proceeds are being used effectively. Our management might not apply the net proceeds or our existing cash in ways that ultimately increase the value of your investment. If we do not invest or apply the net proceeds from this offering or our existing cash in ways that enhance stockholder value, we may fail to achieve expected results, which could cause our stock price to decline.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purchase our securities in this offering, you may incur immediate and substantial dilution in the net tangible book value of your shares. </w:t>
      </w:r>
    </w:p>
    <w:p>
      <w:pPr>
        <w:pStyle w:val="TextBody"/>
        <w:bidi w:val="0"/>
        <w:spacing w:before="120" w:after="0"/>
        <w:jc w:val="left"/>
        <w:rPr>
          <w:rFonts w:ascii="Times New Roman" w:hAnsi="Times New Roman"/>
          <w:sz w:val="20"/>
        </w:rPr>
      </w:pPr>
      <w:r>
        <w:rPr>
          <w:rFonts w:ascii="Times New Roman" w:hAnsi="Times New Roman"/>
          <w:sz w:val="20"/>
        </w:rPr>
        <w:t xml:space="preserve">The offering price per share in this offering may exceed the net tangible book value per share of our common stock outstanding prior to this offering. After giving effect to (i) an aggregate of      shares of our common stock sold at a price of $     per share and accompanying common stock warrants and (ii) pre-funded warrants to purchase      shares of our common stock sold at a price of $     per pre-funded warrant and accompanying common stock warrants, and after deducting commissions and estimated offering expenses payable by us, you will experience immediate dilution of $     per share, representing the difference between our as adjusted net tangible book value per share as of June 30, 2026 after giving effect to this offering at the offering price. If the holders of pre-funded warrants exercised the pre-funded warrants offered in this offering in full, our as adjusted net tangible book value per share after this offering would be $    , representing an immediate increase in as adjusted net tangible book value per share of $     to existing stockholders and immediate dilution in as adjusted net tangible book value per share of $     to purchasers in this offering. If the holders of the common stock warrants exercise the warrants in full, our pro forma as adjusted net tangible book value per share after this offering would be $ , representing an immediate increase in pro forma as adjusted net tangible book value per share of  $    to existing stockholders and immediate dilution in pro forma as adjusted net tangible book value per share of $    to new investors purchasing securities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This dilution would be due to the substantially lower price paid by some of our investors who purchased shares prior to this offering as compared to the price offered to the public in this offering and the exercise of stock options granted to our employees, directors and consultants. In addition, we have a significant number of stock options outstanding. The exercise of any of these outstanding options would result in further dilution. As a result of the dilution to investors purchasing shares in this offering, investors may receive significantly less than the purchase price paid in this offering, if anything, in the event of our liquidation. Further, because we expect we will need to raise additional capital to fund our future activities, we may in the future sell substantial amounts of common stock or securities convertible into or exchangeable for common stock. Future issuances of common stock or common stock-related securities, together with the exercise of outstanding stock options, if any, may result in further dilution. For a further description of the dilution that you will experience immediately after this offering, see the section titled “</w:t>
      </w:r>
      <w:r>
        <w:rPr>
          <w:rFonts w:ascii="Times New Roman" w:hAnsi="Times New Roman"/>
          <w:i/>
          <w:sz w:val="20"/>
        </w:rPr>
        <w:t>Dilution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stock price is and may continue to be volatile and you may not be able to resell our securities at or above the price you paid.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for our common stock is volatile and may fluctuate significantly in response to a number of factors, most of which we cannot control, such as quarterly fluctuations in financial results, the timing and our ability to advance the development of our product candidates or changes in securities analysts’ recommendations. Each of these factors, among others, could harm your investment in our securities and could result in your being unable to resell the securities that you purchase at a price equal to or above the price you 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pre-funded warrants and common stock warrants are not listed on any exchange and we do not intend to list the pre-funded warrants or common stock warrants on any exchange. </w:t>
      </w:r>
    </w:p>
    <w:p>
      <w:pPr>
        <w:pStyle w:val="TextBody"/>
        <w:bidi w:val="0"/>
        <w:spacing w:before="120" w:after="0"/>
        <w:jc w:val="left"/>
        <w:rPr>
          <w:rFonts w:ascii="Times New Roman" w:hAnsi="Times New Roman"/>
          <w:sz w:val="20"/>
        </w:rPr>
      </w:pPr>
      <w:r>
        <w:rPr>
          <w:rFonts w:ascii="Times New Roman" w:hAnsi="Times New Roman"/>
          <w:sz w:val="20"/>
        </w:rPr>
        <w:t xml:space="preserve">There is no existing trading market for the pre-funded warrants or the common stock warrants and we do not expect a market to develop. In addition, we do not intend to apply for listing of the pre-funded warrants or common stock warrants on Nasdaq or any other securities exchange or nationally recognized trading system. Without an active market, the liquidity of the pre-funded warrants and/or common stock warrants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common stock warrants are speculative in nature. You may not be able to recover your investment in the common stock warrants, and the common stock warrants may expire worthless.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warrants do not confer any rights of our common stock ownership on their holders, such as voting rights, but rather merely represent the right to acquire shares of our common stock at a price for a limited period of time. Specifically, the initial exercise price of the common stock warrants is $    per share of common stock. The exercise price of the common stock warrants and the number of shares of our common stock issuable upon exercise of the common stock warrants is subject to adjustments as described elsewhere in this prospectus supplement. In addition, beginning on the date of the NDA Acceptance Announcement, the exercise price of the common stock warrants will be reduced to the Reset Exercise Price if such Reset Exercise Price is less than the initial exercise price. If the exercise price of the common stock warrants is reduced to the Reset Exercise Price, the number of shares of common stock pursuant to the common stock warrant shall be increased such that the aggregate exercise price payable thereunder, after taking into account the decrease in the exercise price to the Reset Exercise Price, shall be equal to the aggregate exercise price immediately prior to the date of the NDA Acceptance Announcement. Additionally, to the extent that the NDA Acceptance Announcement relates to a positive decision of the FDA to accept the NDA, then during the period beginning on the 30th day following the date of the NDA Acceptance Announcement and ending on the 60th calendar day thereafter, the common stock warrants are subject to the Mandatory Exercise. Any common stock warrant which has not been exercised pursuant to the Mandatory Exercise shall become null and void and the rights of the holder of the common stock warrant to exercise such common stock warrant shall lapse. Moreover, following this offering, the market value of the common stock warrants, if any, is uncertain and there can be no assurance that the market value of the common stock warrants will equal or exceed their imputed offering price.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 there can be no assurance that the market price of our common stock will equal or exceed the exercise price of the common stock warrants for a sustained period of time or at all, and, consequently, it may not ever be profitable for holders of the common stock warrants to exercise the common stock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not receive any meaningful amount of additional funds upon the exercise of the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Each pre-funded warrant will be exercisable until it is fully exercised and by means of payment of the nominal cash purchase price upon exercise or by means of a “cashless exercise” according to a formula set forth in the pre-funded warrant. Accordingly, we will not receive any meaningful additional funds upon the exercise of the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pre-funded warrants or common stock warrants purchased in this offering will have no rights as common stockholders until such holders exercise their pre-funded warrants or common stock warrants and acquire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Until holders of pre-funded warrants or common stock warrants acquire shares of our common stock upon exercise of the pre-funded warrants or common stock warrants, holders of pre-funded warrants or common stock warrants will have no rights with respect to the shares of our common stock underlying such pre-funded warrants or common stock warrants. Upon exercise of the pre-funded warrants or common stock warrants, the holders will be entitled to exercise the rights of a common stockholder only as to matters for which the record date occurs after the exercise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holders or beneficial holders of our common stock may not be permitted to exercise warrants that they hold. </w:t>
      </w:r>
    </w:p>
    <w:p>
      <w:pPr>
        <w:pStyle w:val="TextBody"/>
        <w:bidi w:val="0"/>
        <w:spacing w:before="120" w:after="0"/>
        <w:jc w:val="left"/>
        <w:rPr>
          <w:rFonts w:ascii="Times New Roman" w:hAnsi="Times New Roman"/>
          <w:sz w:val="20"/>
        </w:rPr>
      </w:pPr>
      <w:r>
        <w:rPr>
          <w:rFonts w:ascii="Times New Roman" w:hAnsi="Times New Roman"/>
          <w:sz w:val="20"/>
        </w:rPr>
        <w:t xml:space="preserve">A holder of a warrant will not be entitled to exercise any portion of any warrant into shares of common stock, (i) if immediately prior to exercise the holder (together with its affiliates) beneficially owns an aggregate number of shares of our common stock greater than 4.99% or 9.99%, as applicable, of the number of shares of our common stock outstanding immediately before giving effect to the exercise of the warrant or (ii) to the extent that immediately following exercise, the holder (together with its affiliates) would beneficially own in excess of 4.99% or 9.99%, as applicable, of the number of shares of common stock outstanding immediately after giving effect to the issuance of such shares of common stock unless such percentage is increased upon at least 61 days’ prior notice, but not in excess of 19.99%. As a result, you may not be able to exercise your warrants for shares of our common stock at a time when it would be financially beneficial for you to do so. In such circumstance, you could seek to sell your warrants to realize value, but you may be unable to do so in the absence of an established trading market for the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do not maintain a current and effective registration statement relating to the shares of our common stock issuable upon exercise of the pre-funded warrants or common stock warrants, holders will only be able to exercise such warrants on a “cashless basis.” </w:t>
      </w:r>
    </w:p>
    <w:p>
      <w:pPr>
        <w:pStyle w:val="TextBody"/>
        <w:bidi w:val="0"/>
        <w:spacing w:before="120" w:after="0"/>
        <w:jc w:val="left"/>
        <w:rPr>
          <w:rFonts w:ascii="Times New Roman" w:hAnsi="Times New Roman"/>
          <w:sz w:val="20"/>
        </w:rPr>
      </w:pPr>
      <w:r>
        <w:rPr>
          <w:rFonts w:ascii="Times New Roman" w:hAnsi="Times New Roman"/>
          <w:sz w:val="20"/>
        </w:rPr>
        <w:t xml:space="preserve">If we do not maintain a current and effective registration statement relating to the shares of our common stock issuable upon exercise of the pre-funded warrants or common stock warrants at the time that holders wish to exercise such pre-funded warrants or common stock warrants, they will only be able to exercise them on a “cashless basis” provided that an exemption from registration is available. As a result, the number of shares of our common stock that holders will receive upon exercise of the pre-funded warrants or common stock warrants will be fewer than it would have been had such holder exercised the warrant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pre-funded warrants or common stock warrants for cash if a current and effective registration statement relating to the shares of our common stock issuable upon exercise of the pre-funded warrants or common stock warrants is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Future sales or issuances of our common stock in the public markets, or the perception of such sales, could depress the trading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expect to pay any dividends for the foreseeable future. Investors in this offering may never obtain a return on their investment. </w:t>
      </w:r>
    </w:p>
    <w:p>
      <w:pPr>
        <w:pStyle w:val="TextBody"/>
        <w:bidi w:val="0"/>
        <w:spacing w:before="120" w:after="0"/>
        <w:jc w:val="left"/>
        <w:rPr>
          <w:rFonts w:ascii="Times New Roman" w:hAnsi="Times New Roman"/>
          <w:sz w:val="20"/>
        </w:rPr>
      </w:pPr>
      <w:r>
        <w:rPr>
          <w:rFonts w:ascii="Times New Roman" w:hAnsi="Times New Roman"/>
          <w:sz w:val="20"/>
        </w:rPr>
        <w:t xml:space="preserve">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95425_5"/>
      <w:bookmarkEnd w:id="7"/>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the documents incorporated or deemed to be incorporated by reference in this prospectus supplement and the accompanying prospectus, contain forward-looking statements. We make such forward-looking statements pursuant to the safe harbor provisions of the Private Securities Litigation Reform Act of 1995 and other federal securities laws. All statements other than statements of historical facts contained and incorporated by reference in this prospectus supplement,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“should,” “would,” “expect,” “plan,” “anticipate,” “could,” “intend,” “target,” “project,” “contemplate,” “estimate,” “believe,” “predict,” “potential” or “continue” or the negative of these terms or other similar expressions intended to identify statements about the future. Forward-looking statements contained and incorporated by reference in this prospectus supplement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existing cash, cash equivalents, and marketable securities to fund our future operating expenses and capital expenditure requirements, and our ability to continue as a going concern;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need to raise additional funding before we can expect to generate any revenues from product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additional funding for our operations, when needed, including funding necessary to complete further development and commercialization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our existing cash, cash equivalents, and marketable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strategic plans for our business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of the market opportunity for our product candidates and our ability to maximize those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and results of our research and development programs, preclinical studies, clinical trials and investigational new drug applications, or IND, including potential NDA acceptance for rezatapopt, and other regulatory submissions;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safety, efficacy and therapeutic effects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the number of patients for each of our programs including patients expected to have certain p53 mutations and the number of patients that will enroll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clinical trials to demonstrate safety and efficacy of our product candidates, and other favorable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clinical development of our product candidates, including the disease areas to be evaluated;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progress and focus of our clinical trials, and the reporting of data from those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commercializing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benefits of our existing and any potential future strategic collaborations with third parties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regulatory filings and approvals, including our expectation to seek accelerated reviews or special designations, such as breakthrough therapy and orphan drug designation, for our product candidates, including our intention to seek accelerated approval for rezatapopt, our lead product candidate, for a platinum-resistant/refractory ovarian cancer harboring a TP53 Y220C mutation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further development and manufacturing of our product candidates, including for additional indications that we may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regulations and regulatory developments in the United States and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ability to obtain or protect intellectual property rights, including extensions of existing patent terms where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rely on third parties to conduct and support preclinical and clinical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the continued service of our key personnel and to identify, hire and then retain additional qualified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geopolitical tensions, such as the Ukraine-Russia war and the conflict in the Middle East, the impact of other disruptions resulting from public health epidemics, macroeconomic events such as future changes in trade regulations, tariff structures, global supply chain challenges, elevated inflation and interest rates and monetary policy changes (including the impact of changes to U.S. federal income tax law), instability in the global banking system, or other related disruptions on our business and the execution of our clinical trials;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proceeds from this offering. </w:t>
            </w:r>
          </w:p>
        </w:tc>
      </w:tr>
    </w:tbl>
    <w:p>
      <w:pPr>
        <w:pStyle w:val="TextBody"/>
        <w:bidi w:val="0"/>
        <w:spacing w:before="240" w:after="0"/>
        <w:jc w:val="left"/>
        <w:rPr>
          <w:rFonts w:ascii="Times New Roman" w:hAnsi="Times New Roman"/>
          <w:sz w:val="20"/>
        </w:rPr>
      </w:pPr>
      <w:r>
        <w:rPr>
          <w:rFonts w:ascii="Times New Roman" w:hAnsi="Times New Roman"/>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contained and incorporated by reference in this prospectus speak only as of the applicable date of such document and are subject to a number of risks, uncertainties and assumptions described in the section titled “</w:t>
      </w:r>
      <w:r>
        <w:rPr>
          <w:rFonts w:ascii="Times New Roman" w:hAnsi="Times New Roman"/>
          <w:i/>
          <w:sz w:val="20"/>
        </w:rPr>
        <w:t>Risk Factors</w:t>
      </w:r>
      <w:r>
        <w:rPr>
          <w:rFonts w:ascii="Times New Roman" w:hAnsi="Times New Roman"/>
          <w:sz w:val="20"/>
        </w:rPr>
        <w:t xml:space="preserve">” and elsewhere in this prospectus supplement and in the documents incorporated by reference herein. Because forward-looking statements are inherently subject to risks and uncertainties, some of which cannot be predicted or quantified and some of which are beyond our control, you should not rely on these forward-looking statements as predictions of future events. Although we believe that we have a reasonable basis for each forward-looking statement contained in this prospectus supplement and the documents incorporated by reference herein,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in this prospectus supplement and in the documents incorporated by reference herein that “we believe” and similar statements reflect our beliefs and opinions on the relevant subject. These statements are based upon information available to us as of the date of the document containing such statement,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read this prospectus supplement, the accompanying prospectus, the documents we have filed with the SEC that are incorporated by reference and any free writing prospectus that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95425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we will receive net proceeds of approximately $     million, after deducting the underwriting discounts and commissions and estimated offering expenses payable by us. We will receive nominal proceeds, if any, from the exercise of the pre-funded warrants. If all of the common stock warrants sold in this offering were to be exercised in cash at an exercise price per share equal to $    , we would receive additional proceeds of approximately $     million. We cannot predict when or if the common stock warrants will be exercised. It is also possible that the common stock warrants may expire and may never be exercised. </w:t>
      </w:r>
    </w:p>
    <w:p>
      <w:pPr>
        <w:pStyle w:val="TextBody"/>
        <w:bidi w:val="0"/>
        <w:spacing w:before="240" w:after="0"/>
        <w:jc w:val="left"/>
        <w:rPr>
          <w:rFonts w:ascii="Times New Roman" w:hAnsi="Times New Roman"/>
          <w:sz w:val="20"/>
        </w:rPr>
      </w:pPr>
      <w:r>
        <w:rPr>
          <w:rFonts w:ascii="Times New Roman" w:hAnsi="Times New Roman"/>
          <w:sz w:val="20"/>
        </w:rPr>
        <w:t xml:space="preserve">The principal purpose of this offering is to obtain additional capital to support our operations. As of June 30, 2026, we had cash, cash equivalents and restricted cash of $79.4 million. We currently intend to use the net proceeds from this offering, together with our existing cash and cash equivalents, to fund the late-stage clinical development, regulatory submission and commercialization preparation activities for rezatapopt, in addition to working capital and general corporate purposes. Based upon our current operating plan, we believe that the net proceeds from this offering together with our existing cash and cash equivalents, will enable us to fund our operating expenses and capital expenditure requirements into    . We have based these estimates on assumptions that may prove to be wrong, and we could use our available capital resources sooner than we expect. </w:t>
      </w:r>
    </w:p>
    <w:p>
      <w:pPr>
        <w:pStyle w:val="TextBody"/>
        <w:bidi w:val="0"/>
        <w:spacing w:before="240" w:after="0"/>
        <w:jc w:val="left"/>
        <w:rPr>
          <w:rFonts w:ascii="Times New Roman" w:hAnsi="Times New Roman"/>
          <w:sz w:val="20"/>
        </w:rPr>
      </w:pPr>
      <w:r>
        <w:rPr>
          <w:rFonts w:ascii="Times New Roman" w:hAnsi="Times New Roman"/>
          <w:sz w:val="20"/>
        </w:rPr>
        <w:t>The expected use of the net proceeds from this offering represents our intentions based upon our current plans and business conditions, which could change in the future as our plans and business conditions evolve. The amounts and timing of our actual expenditures will depend on numerous factors, including the factors described under “</w:t>
      </w:r>
      <w:r>
        <w:rPr>
          <w:rFonts w:ascii="Times New Roman" w:hAnsi="Times New Roman"/>
          <w:i/>
          <w:sz w:val="20"/>
        </w:rPr>
        <w:t>Risk Factors</w:t>
      </w:r>
      <w:r>
        <w:rPr>
          <w:rFonts w:ascii="Times New Roman" w:hAnsi="Times New Roman"/>
          <w:sz w:val="20"/>
        </w:rPr>
        <w:t xml:space="preserve">” in this prospectus supplement and in the documents incorporated by reference herein, as well as the amount of cash used in our operations. We may find it necessary or advisable to use the net proceeds for other purposes, and we will have broad discretion in the application of the net proceeds. Pending the uses described above, we may invest the net proceeds from this offering in short- and intermediate-term, interest-bearing obligations, investment-grade instruments,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95425_7"/>
      <w:bookmarkEnd w:id="9"/>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95425_8"/>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this offering, your ownership interest will be diluted to the extent of the difference between the public offering price per share of our common stock (or pre-funded warrant) and accompanying common stock warrants in this offering and the as adjusted net tangible book value per share of our common stock immediately after this offering. The net tangible book value of our common stock as of June 30, 2026 was approximately $71.5 million, or approximately $1.34 per share of common stock, based upon 53,460,432 shares outstanding as of such date. Net tangible book value per share is equal to our total tangible assets, less our total liabilities, divided by the total number of shares of common stock outstanding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Net tangible book value dilution per share to investors participating in this offering represents the difference between the amount per share paid by purchasers of securities in this offering and the as adjusted net tangible book value per share of our common stock immediately after this offering. After giving effect to the (i) sale of      shares of common stock and accompanying common stock warrants to purchase an additional      shares of our common stock in this offering at the combined public offering price of $     per share and accompanying common stock warrant and (ii) pre-funded warrants to purchase      shares of our common stock and accompanying common stock warrants to purchase an additional      shares of our common stock in this offering at a combined public offering price of $     per pre-funded warrant and accompanying common stock warrant (which equals the price per share at which shares of our common stock are being sold in this offering, minus the $0.00001 per share exercise price of each such pre-funded warrant), after deducting underwriting discounts and commissions and estimated aggregate offering expenses payable by us, our as adjusted net tangible book value as of June 30, 2026 would have been approximately $     million, or approximately $     per share of common stock. This would represent an immediate increase in as adjusted net tangible book value of $     per share of common stock to our existing stockholders and an immediate dilution in net tangible book value of $     per share of common stock to purchasers of our common stock and pre-funded warrants and accompanying common stock warrants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Dilution per share to new investors is determined by subtracting as adjusted net tangible book value per share after this offering from the public offering price per share paid by new investors. The following table illustrates this per share dilution to new investors: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65"/>
        <w:gridCol w:w="416"/>
        <w:gridCol w:w="141"/>
        <w:gridCol w:w="825"/>
        <w:gridCol w:w="60"/>
        <w:gridCol w:w="416"/>
        <w:gridCol w:w="141"/>
        <w:gridCol w:w="825"/>
        <w:gridCol w:w="66"/>
      </w:tblGrid>
      <w:tr>
        <w:trPr/>
        <w:tc>
          <w:tcPr>
            <w:tcW w:w="4865"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 (or pre-funded warrant ) and accompanying common stock warrant</w:t>
            </w:r>
          </w:p>
        </w:tc>
        <w:tc>
          <w:tcPr>
            <w:tcW w:w="41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8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865"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865"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June 30, 2026</w:t>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25" w:type="dxa"/>
            <w:tcBorders/>
            <w:vAlign w:val="bottom"/>
          </w:tcPr>
          <w:p>
            <w:pPr>
              <w:pStyle w:val="TableContents"/>
              <w:bidi w:val="0"/>
              <w:spacing w:before="0" w:after="283"/>
              <w:jc w:val="right"/>
              <w:rPr/>
            </w:pPr>
            <w:r>
              <w:rPr/>
              <w:t>1.34</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865"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the offering</w:t>
            </w:r>
          </w:p>
        </w:tc>
        <w:tc>
          <w:tcPr>
            <w:tcW w:w="41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82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865"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865"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giving effect to this offering</w:t>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25"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865"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in net tangible book value per share to investors participating in this offering</w:t>
            </w:r>
          </w:p>
        </w:tc>
        <w:tc>
          <w:tcPr>
            <w:tcW w:w="41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8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865"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holders of pre-funded warrants exercised the pre-funded warrants offered in this offering in full, our as adjusted net tangible book value per share after this offering would be $    , representing an immediate increase in as adjusted net tangible book value per share of $     to existing stockholders and immediate dilution in as adjusted net tangible book value per share of $     to purchasers in this offering. If the holders of common stock warrants exercised the common stock warrants offered in this offering in full, our as adjusted net tangible book value per share after this offering would be $    , representing an immediate increase in as adjusted net tangible book value per share of $     to existing stockholders and immediate dilution in as adjusted net tangible book value per share of $     to purchasers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above table is based on 53,460,432 shares of our common stock outstanding as of June 30, 2026 and excludes the shares of common stock issuable upon the exercise of the pre-funded warrants and common stock warrants sold in this offering. The number of shares outstanding as of June 30, 2026 also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15,809,535 shares of our common stock issuable upon the exercise of outstanding options as of June 30, 2026, with a weighted-average exercise price of $2.21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400,000 shares of our common stock issuable upon the exercise of outstanding options granted subsequent to June 30, 2026, with a weighted-average exercise price of $1.25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3,185,748 shares of our common stock reserved for future issuance under the 2020 Plan as of June 30, 2026, as well as any automatic increases in the number of shares of our common stock reserved for issuance under the 2020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1,033,530 shares of our common stock reserved for future issuance under the 2020 ESPP as of June 30, 2026, as well as any automatic increases in the number of shares of our common stock reserved for issuance under the 2020 ESPP.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any stock options are exercised, new options are issued under our 2020 Plan or our 2020 ESPP, or we otherwise issue additional shares of common stock in the future (including shares issued in connection with acquisitions), there will be further dilution to new investors.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95425_9"/>
      <w:bookmarkEnd w:id="11"/>
      <w:r>
        <w:rPr>
          <w:rFonts w:ascii="Times New Roman" w:hAnsi="Times New Roman"/>
          <w:b/>
          <w:sz w:val="20"/>
        </w:rPr>
        <w:t xml:space="preserve">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certain material U.S. federal income tax considerations applicable to U.S. holders and non-U.S. holders (both as defined below) with respect to their purchase, ownership and disposition of shares of our common stock, common stock warrants and pre-funded warrants issued pursuant to this offering. For purposes of this discussion, a “U.S. holder” means a beneficial owner of our common stock, common stock warrants and pre-funded warrants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any other organization taxable as a corporation, created or organized in the United States or under the laws of the United States or any political subdivision thereof, or otherwise treated as such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U.S. federal income tax regardless of its sources;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(1) whose administration is subject to the primary supervision of a court within the United States and over which one or more U.S. persons have authority to control all substantial decisions or (2) which has made an election to be treated as a U.S. person under applicable U.S. Treasury Regulations.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“non-U.S. holder” means a beneficial owner of our common stock, common stock warrants and pre-funded warrants that is neither a U.S. holder nor a partnership (including any entity or arrangement treated as a partnership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the tax treatment of partnerships or other entities or arrangements that are pass-through entities for U.S. federal income tax purposes (including S-corporations) or persons that hold their common stock, common stock warrants or pre-funded warrants through partnerships or other pass-through entities. A partner in a partnership or other pass-through entity that will hold our common stock, common stock warrants or pre-funded warrants should consult his, her or its tax advisor regarding the tax consequences of acquiring, holding and disposing of our common stock, common stock warrants or pre-funded warrants through a partnership or other pass-through entity,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supplement and all of which are subject to change or to differing interpretation, possibly with retroactive effect. Any such change or differing interpretation could alter the tax consequences to holders described in this prospectus supplement. There can be no assurance that the Internal Revenue Service, which we refer to as the IRS, will not challenge one or more of the tax consequences described in this prospectus supplement. We have not sought and will not seek any rulings from the IRS regarding the matters discussed below. We assume in this discussion that a holder holds shares of our common stock, common stock warrants or pre-funded warrants as a capital asset within the meaning of Section 1221 of the Code, generally property held for investment.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all aspects of U.S. federal income taxation that may be relevant to a particular holder in light of that holder’s individual circumstances nor does it address any aspects of U.S. state, local or non-U.S. taxes, the alternative minimum tax, the rules regarding qualified small business stock within the meaning of Section 1202 of the Code, the Medicare tax on net investment income or any aspects of any U.S. federal tax other than the income tax. This discussion also does not consider any specific facts or circumstances that may apply to a holder and does not address the special tax rules applicable to particular holders,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 governmental organizations;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or dealers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pension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“foreign 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treated as partnerships for U.S. federal income tax purposes (and partners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common stock warrants or pre-funded warrants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our common stock, common stock warrants or pre-funded warrants as part of a straddle, hedge, conversion transaction, synthetic security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common stock, common stock warrants or pre-funded warrants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have elected to mark securities to market;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for general information only and is not tax advice. Accordingly, all prospective holders of our common stock, common stock warrants or pre-funded warrants should consult their tax advisors with respect to the U.S. federal, state, local and non-U.S. tax consequences of the purchase, ownership and disposition of our common stock, common stock warrants or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Although it is not entirely free from doubt, we believe a pre-funded warrant should be treated as a share of our common stock for U.S. federal income tax purposes and a holder of pre-funded warrants should generally be taxed in the same manner as a holder of common stock as described below. Accordingly, for U.S. federal income tax purposes, no gain or loss should be recognized upon the exercise of a pre-funded warrant, and upon exercise, the holding period of the share of common stock received should include the holding period of the pre-funded warrant. Similarly, the tax basis of a share of common stock received upon exercise of a pre-funded warrant should include the tax basis of the pre-funded warrant increased by the exercise price of $0.00001 per share. Each holder should consult his, her or its own tax advisor regarding the risks associated with the acquisition of a pre-funded warrant pursuant to this offering (including potential alternative characterizations). The balance of this discussion generally assumes that the characterization described above is respected for U.S. federal income tax purposes, and the discussion below, to the extent it pertains to our common stock, is generally intended to also pertain to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Common Stock Warrants </w:t>
      </w:r>
    </w:p>
    <w:p>
      <w:pPr>
        <w:pStyle w:val="TextBody"/>
        <w:bidi w:val="0"/>
        <w:spacing w:before="120" w:after="0"/>
        <w:jc w:val="left"/>
        <w:rPr>
          <w:rFonts w:ascii="Times New Roman" w:hAnsi="Times New Roman"/>
          <w:sz w:val="20"/>
        </w:rPr>
      </w:pPr>
      <w:r>
        <w:rPr>
          <w:rFonts w:ascii="Times New Roman" w:hAnsi="Times New Roman"/>
          <w:sz w:val="20"/>
        </w:rPr>
        <w:t xml:space="preserve">A U.S. holder generally will not recognize gain or loss on the exercise of a common stock warrant and the related receipt of warrant shares (unless cash is received in lieu of the issuance of a fractional warrant share). A U.S. holder’s initial tax basis in a warrant share will be equal to the sum of (a) such U.S. holder’s tax basis in the common stock warrant plus (b) the exercise price paid by such U.S. holder on the exercise of such common stock warrant. A U.S. holder’s holding period in a warrant share received on the exercise of a common stock warrant generally should begin on the day after the date that such common stock warrant is exercised by such U.S.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certain circumstances, the common stock warrants may be exercised on a cashless basis. The U.S. federal income tax treatment of an exercise of a warrant on a cashless basis is not clear, and could differ from the consequences described above. It is possible that a cashless exercise could be a taxable event. U.S. holders are urged to consult their tax advisors as to the consequences of an exercise of a common stock warrant on a cashless basis, including with respect to their holding period and tax basis in the warrant share.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on the Shares or the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We do not anticipate declaring or paying any future distributions. However, if we do make distributions on the shares or the warrant shares, such distributions will constitute dividends to the extent paid from our current or accumulated earnings and profits, as determined under U.S. federal income tax principles, and will be includible in your income as ordinary income when received. However, with respect to dividends received by individuals, such dividends are generally taxed at the lower applicable long-term capital gains rates, provided certain holding period and other requirements are satisfied. If a distribution exceeds our current and accumulated earnings and profits, the excess will be treated as a tax-free return of the U.S. holder’s investment, up to such U.S. holder’s adjusted tax basis in the shares or the warrant shares, as applicable. Any remaining excess will be treated as capital gain from the sale or exchange of such shares or warrant shares, subject to the tax treatment described in “Tax Consequences to U.S. Holders —Sale or Other Taxable Disposition of the Shares, Pre-Funded Warrants, Common Stock Warrants or Warrant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Taxable Disposition of the Shares, Pre-Funded Warrants, Common Stock Warrants or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Upon the sale, exchange or other taxable disposition of the shares, pre-funded warrants (other than by exercise), common stock warrants (other than by exercise) or warrant shares, a U.S. holder will generally recognize capital gain or loss equal to the difference between the amount of cash and the fair market value of any property received upon the sale, exchange or other taxable disposition and such U.S. holder’s adjusted tax basis in the shares, pre-funded warrants, common stock warrants or warrant shares. This capital gain or loss will be long-term capital gain or loss if the U.S. holder’s holding period in such shares, pre-funded warrants, common stock warrants or warrant shares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certain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of Common Stock Warrants </w:t>
      </w:r>
    </w:p>
    <w:p>
      <w:pPr>
        <w:pStyle w:val="TextBody"/>
        <w:bidi w:val="0"/>
        <w:spacing w:before="120" w:after="0"/>
        <w:jc w:val="left"/>
        <w:rPr>
          <w:rFonts w:ascii="Times New Roman" w:hAnsi="Times New Roman"/>
          <w:sz w:val="20"/>
        </w:rPr>
      </w:pPr>
      <w:r>
        <w:rPr>
          <w:rFonts w:ascii="Times New Roman" w:hAnsi="Times New Roman"/>
          <w:sz w:val="20"/>
        </w:rPr>
        <w:t xml:space="preserve">Except as discussed below with respect to the cashless exercise of a common stock warrant, a U.S. holder generally will not recognize taxable gain or loss upon the exercise of a common stock warrant for cash. The U.S. holder’s initial tax basis in the share of our common stock received upon exercise of the common stock warrant generally will be an amount equal to the sum of the holder’s acquisition cost of the common stock warrant and the exercise price of such common stock warrant. It is unclear whether the holder’s holding period for the common stock received upon exercise of the common stock warrant would commence on the date of exercise of the common stock warrant or the day following the date of exercise of the common stock warrant; however, in either case, the holding period will not include the period during which the holder held the common stock warrants. </w:t>
      </w:r>
    </w:p>
    <w:p>
      <w:pPr>
        <w:pStyle w:val="TextBody"/>
        <w:bidi w:val="0"/>
        <w:spacing w:before="240" w:after="0"/>
        <w:jc w:val="left"/>
        <w:rPr>
          <w:rFonts w:ascii="Times New Roman" w:hAnsi="Times New Roman"/>
          <w:sz w:val="20"/>
        </w:rPr>
      </w:pPr>
      <w:r>
        <w:rPr>
          <w:rFonts w:ascii="Times New Roman" w:hAnsi="Times New Roman"/>
          <w:sz w:val="20"/>
        </w:rPr>
        <w:t xml:space="preserve">In certain circumstances, the common stock warrants may be exercised on a cashless basis. The U.S. federal income tax treatment of an exercise of a common stock warrant on a cashless basis is not clear and could differ from the consequences described above. It is possible that a cashless exercise could be a taxable event, a non-realization event, or a tax-free recapitalization within the meaning of Section 368(a)(1)(E) of the Code. If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cashless exercise is treated as a non-realization event, it is unclear whether a U.S. holder’s holding period for common stock would commence on the date of exercise of the common stock warrant or the following day. If, however, a cashless exercise is treated as a recapitalization, the holding period of common stock would include the holding period of the common stock warrant. </w:t>
      </w:r>
    </w:p>
    <w:p>
      <w:pPr>
        <w:pStyle w:val="TextBody"/>
        <w:bidi w:val="0"/>
        <w:spacing w:before="240" w:after="0"/>
        <w:jc w:val="left"/>
        <w:rPr>
          <w:rFonts w:ascii="Times New Roman" w:hAnsi="Times New Roman"/>
          <w:sz w:val="20"/>
        </w:rPr>
      </w:pPr>
      <w:r>
        <w:rPr>
          <w:rFonts w:ascii="Times New Roman" w:hAnsi="Times New Roman"/>
          <w:sz w:val="20"/>
        </w:rPr>
        <w:t xml:space="preserve">If a cashless exercise were treated as a taxable exchange, a U.S. holder could be deemed to have surrendered a number of common stock warrants having an aggregate fair market value equal to the aggregate exercise price of the total number of common stock warrants being exercised. The U.S. holder would recognize capital gain or loss in an amount equal to the difference between the fair market value of the common stock warrants deemed surrendered and the U.S. holder’s tax basis in such common stock warrants. Such gain or loss would be long-term or short-term depending on the U.S. holder’s holding period in the common stock warrants deemed surrendered. In this case, a U.S. holder’s tax basis in common stock received would equal the sum of the U.S. holder’s initial investment in the common stock warrants exercised, the amount of any constructive distributions included in income by such U.S. holder (as described below under “Tax Consequences to U.S. Holders—Certain Adjustments to the Pre-Funded Warrants and Common Stock Warrants”) and the amount of gain recognized in the exchange. It is unclear whether a U.S. holder’s holding period for common stock would commence on the date of exercise of the common stock warrant or the day following the date of exercise of the common stock warrant.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absence of authority on the U.S. federal income tax treatment of a cashless exercise, investors are urged to consult their own tax advisors as to the consequences of an exercise of a common stock warrant on a cashless basis, including with respect to such investors’ holding period and tax basis in the common stock received upon exercise of the common stock warrant.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Lapse of Pre-Funded Warrants and Common Stock Warrants </w:t>
      </w:r>
    </w:p>
    <w:p>
      <w:pPr>
        <w:pStyle w:val="TextBody"/>
        <w:bidi w:val="0"/>
        <w:spacing w:before="120" w:after="0"/>
        <w:jc w:val="left"/>
        <w:rPr>
          <w:rFonts w:ascii="Times New Roman" w:hAnsi="Times New Roman"/>
          <w:sz w:val="20"/>
        </w:rPr>
      </w:pPr>
      <w:r>
        <w:rPr>
          <w:rFonts w:ascii="Times New Roman" w:hAnsi="Times New Roman"/>
          <w:sz w:val="20"/>
        </w:rPr>
        <w:t xml:space="preserve">Upon the lapse or expiration of a pre-funded warrant or a common stock warrant, a U.S. holder will recognize a loss in an amount equal to such U.S. holder’s tax basis in the pre-funded warrant or the common stock warrant. Any such loss generally will be a capital loss and will be long-term capital loss if the pre-funded warrant or the common stock warrant is held for more than one year. Deductions for capital losses are subject to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Adjustments to the Pre-Funded Warrants and Common Stock Warrants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pre-funded warrant and common stock warrant provide for an adjustment to the number of warrant shares for which the pre-funded warrant or common stock warrant may be exercised and/or to the exercise price of the pre-funded warrant or common stock warrant in certain events. An adjustment to the exercise price of a pre-funded warrant or common stock warrant may be treated as a constructive distribution to a U.S. holder of the pre-funded warrants or common stock warrants depending on the circumstances of such adjustment if, and to the extent that, such adjustment has the effect of increasing such U.S. holder’s proportionate interest in our “earnings and profits” or assets, depending on the circumstances of such adjustment. In addition, the failure to provide for such an adjustment (or to adequately adjust) may also result in a deemed distribution to U.S. holders of the pre-funded warrants or common stock warrants or shares. Any such constructive distribution may be taxable whether or not there is an actual distribution of cash or other property. However, adjustments to the exercise price of pre-funded warrants or common stock warrants made pursuant to a bona fide reasonable adjustment formula that has the effect of preventing dilution of the interest of the holders thereof generally should not be considered to result in a constructive distribution. Generally, such deemed distributions will be taxable in the same manner as an actual distribution as described in “Tax Consequences to U.S. Holders —Distributions on the Shares or the Warrant Shares,” except that it is unclear whether such deemed distributions would be eligible for the reduced tax rate applicable to certain dividends paid to non-corporate holders or the dividend-received deduction applicable to certain dividends paid to corporate holders. Generally, a U.S. holder’s tax basis in the underlying stock will be increased to the extent any such constructive distribution is treated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dividend. Proposed U.S. Treasury Regulations address the amount of, timing of, and withholding obligations in respect to, constructive distributions made to holders of convertible securities such as the pre-funded warrants or common stock warrants. These proposed regulations are effective for constructive distributions made on or after the date of finalization, but may generally be relied upon as to certain matters for constructive distributions that occur prior to such date. U.S. holders should consult their own tax advisors regarding the application of such regulations and other tax considerations relating to the possibility of constructive distributions.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on the Shares or the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 If we or the applicable withholding agent are unable to determine, at a time reasonably close to the date of payment of a distribution on our common stock, what portion, if any, of the distribution will constitute a dividend, then we or the applicable withholding agent may withhold U.S. federal income tax on the basis of assuming that the full amount of the distribution will be a dividend. If we or another withholding agent apply over-withholding, a non-U.S. holder may be entitled to a refund or credit of any excess tax withheld by timely filing an appropriate claim with the IRS. </w:t>
      </w:r>
    </w:p>
    <w:p>
      <w:pPr>
        <w:pStyle w:val="TextBody"/>
        <w:bidi w:val="0"/>
        <w:spacing w:before="240" w:after="0"/>
        <w:jc w:val="left"/>
        <w:rPr>
          <w:rFonts w:ascii="Times New Roman" w:hAnsi="Times New Roman"/>
          <w:sz w:val="20"/>
        </w:rPr>
      </w:pPr>
      <w:r>
        <w:rPr>
          <w:rFonts w:ascii="Times New Roman" w:hAnsi="Times New Roman"/>
          <w:sz w:val="20"/>
        </w:rPr>
        <w:t xml:space="preserve">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properly executed IRS Form W-8ECI (or applicable successor form) certifying that the dividends are effectively connected with the non-U.S. holder’s conduct of a trade or business within the United States). However, such U.S. effectively connected income, net of specified deductions and credits, is taxed at the same graduated U.S. federal income tax rates applicable to United States persons (as defined in the Code). Any U.S. effectively connected income received by a non-U.S. holder that is classified as a 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of our common stock who claims the benefit of an applicable income tax treaty between the United States and such holder’s country of residence generally will be required to provide a properly executed IRS Form W-8BEN or W-8BEN-E (or applicable successor form) to the applicable withholding agent and satisfy applicable certification and other requirements. Non-U.S. holders are urged to consult their own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Gain on Sale, Exchange or Other Taxable Disposition of the Shares, Pre-Funded Warrants, Common Stock Warrants or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under “Backup Withholding and Information Reporting” and “FATCA,” a non-U.S. holder generally will not be subject to any U.S. federal income or withholding tax on any gain realized upon such holder’s sale, exchange or other taxable disposition of the shares, pre-funded warrants (other than by exercise), common stock warrants (other than by exercise) or warrant shares,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U.S. trade or business and, if an applicable income tax treaty so provides, the gain is attributable to a permanent establishment or a fixed base maintained by such non-U.S. holder in the United States, in which case the non-U.S. 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generally will be taxed on a net income basis at the graduated U.S. federal income tax rates applicable to United States persons (as defined in the Code) with respect to the gain and, if the non-U.S. holder is a foreign corporation, an additional branch profits tax described above also may apply with respect to such effectively connected gain, as adjusted for certain items;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at any time during the five-year period preceding such sale, exchange or other taxable disposition (or the non-U.S. holder’s holding period, if shorter) a “United States real property holding corporation,” as defined in the Code and applicable Treasury Regulations, unless our common stock is “regularly traded,” as defined by applicable U.S. Treasury Regulations,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If we are or were a “United States real property holding corporation” during the relevant period and the foregoing 5% exception does not apply, the non-U.S. holder generally will be taxed on its net gain derived from the disposition at the graduated U.S. federal income tax rates applicable to United States persons (as defined in the Code). Generally, a corporation is a U.S. real property holding corporation only if the fair market value of its “United States real property interests,” as defined in the Code and applicable Treasury Regulations, equals or exceeds 50% of the sum of the fair market value of its worldwide real property interests plus its other assets used or held for use in a trade or business. Although there can be no assurance, we do not believe that we are, or have been, a “United States real property holding corporation,” or that we are likely to become one in the future. No assurance can be provided that our common stock will be regularly traded on an established securities market for purposes of the rules described above. Special rules may apply to non-U.S. holders of pre-funded warrants or common stock warrants, who should consult their own tax advisors.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Exercise of Common Stock Warrants </w:t>
      </w:r>
    </w:p>
    <w:p>
      <w:pPr>
        <w:pStyle w:val="TextBody"/>
        <w:bidi w:val="0"/>
        <w:spacing w:before="120" w:after="0"/>
        <w:jc w:val="left"/>
        <w:rPr>
          <w:rFonts w:ascii="Times New Roman" w:hAnsi="Times New Roman"/>
          <w:sz w:val="20"/>
        </w:rPr>
      </w:pPr>
      <w:r>
        <w:rPr>
          <w:rFonts w:ascii="Times New Roman" w:hAnsi="Times New Roman"/>
          <w:sz w:val="20"/>
        </w:rPr>
        <w:t>The U.S. federal income tax treatment of a non-U.S. holder’s exercise of a common stock warrant generally will correspond to the U.S. federal income tax treatment of the exercise of a common stock warrant by a U.S. holder, as described under “</w:t>
      </w:r>
      <w:r>
        <w:rPr>
          <w:rFonts w:ascii="Times New Roman" w:hAnsi="Times New Roman"/>
          <w:i/>
          <w:sz w:val="20"/>
        </w:rPr>
        <w:t>Tax Consequences to U.S. Holders—Exercise of Common Stock Warrants</w:t>
      </w:r>
      <w:r>
        <w:rPr>
          <w:rFonts w:ascii="Times New Roman" w:hAnsi="Times New Roman"/>
          <w:sz w:val="20"/>
        </w:rPr>
        <w:t>” above, although to the extent a cashless exercise results in a taxable exchange, the tax consequences to a non-U.S. holder would be the same as those described above in “</w:t>
      </w:r>
      <w:r>
        <w:rPr>
          <w:rFonts w:ascii="Times New Roman" w:hAnsi="Times New Roman"/>
          <w:i/>
          <w:sz w:val="20"/>
        </w:rPr>
        <w:t>Tax Consequences to Non-U.S. Holders—Gain on Sale, Exchange or Other Taxable Disposition of the Shares, Pre-Funded Warrants, Common Stock Warrants or Warrant Shares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Adjustments to the Pre-Funded Warrants and Common Stock Warrants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pre-funded warrant and common stock warrant provide for an adjustment to the number of warrant shares for which the pre-funded warrant or common stock warrant may be exercised and/or to the exercise price of the pre-funded warrant or common stock warrant in certain events. An adjustment to the exercise price of a pre-funded warrant or common stock warrant may be treated as a constructive distribution to a non-U.S. holder of the pre-funded warrants or common stock warrants depending on the circumstances of such adjustment if, and to the extent that, such adjustment has the effect of increasing such non-U.S. holder’s proportionate interest in our “earnings and profits” or assets, depending on the circumstances of such adjustment. In addition, the failure to provide for such an adjustment (or to adequately adjust) may also result in a 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distribution to non-U.S. holders of the pre-funded warrants or common stock warrants or shares. Any such constructive distribution may be taxable whether or not there is an actual distribution of cash or other property. However, adjustments to the exercise price of pre-funded warrants or common stock warrants made pursuant to a bona fide reasonable adjustment formula that has the effect of preventing dilution of the interest of the holders thereof generally should not be considered to result in a constructive distribution. Generally, such deemed distributions will be taxable in the same manner as an actual distribution as described in “</w:t>
      </w:r>
      <w:r>
        <w:rPr>
          <w:rFonts w:ascii="Times New Roman" w:hAnsi="Times New Roman"/>
          <w:i/>
          <w:sz w:val="20"/>
        </w:rPr>
        <w:t>Tax Consequences to Non-U.S. Holders—Distributions on the Shares or the Warrant Shares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We, or any other applicable withholding agent, must report annually to the IRS and to each holder the gross amount of the distributions on our common stock paid to such holder and the tax withheld, if any, with respect to such distributions, regardless of whether any tax was actually withheld. Backup withholding at the then-current rate (24% as of the date of this prospectus supplement) will apply to those payments if a U.S. holder fails to provide the holder’s taxpayer identification number (generally in the form of a valid IRS Form W-9), or certification of exempt status, or if the U.S. holder otherwise fails to comply with applicable requirements to establish an exemption. Non-U.S. holders may have to comply with specific certification procedures, such as the provision of a valid IRS Form W-8BEN, W-8BEN-E or W-8ECI (or other applicable Form W-8), to establish that the holder is not a United States person (as defined in the Code), or otherwise establish an exemption, in order to avoid backup withholding at the applicable rate with respect to dividends on our common stock. Dividends paid to non-U.S. holders subject to withholding of U.S. federal income tax, as described above in “</w:t>
      </w:r>
      <w:r>
        <w:rPr>
          <w:rFonts w:ascii="Times New Roman" w:hAnsi="Times New Roman"/>
          <w:i/>
          <w:sz w:val="20"/>
        </w:rPr>
        <w:t>Tax Consequences to Non-U.S. Holders—Distributions on the Shares or the Warrant Shares</w:t>
      </w:r>
      <w:r>
        <w:rPr>
          <w:rFonts w:ascii="Times New Roman" w:hAnsi="Times New Roman"/>
          <w:sz w:val="20"/>
        </w:rPr>
        <w:t xml:space="preserve">,” generally will be exempt from U.S.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backup withholding will generally apply to the proceeds of a disposition of our common stock, pre-funded warrants or common stock warrants by a U.S. holder, or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Any documentation provided to an applicable withholding agent may need to be updated in certain circumstances. Backup withholding is not an additional tax. Any amounts withheld under the backup withholding rules from a payment to a holder may be refunded or credited against the holder’s U.S. federal income tax liability, if any, provided that an appropriate claim is filed with the IRS in a timely manner. </w:t>
      </w:r>
    </w:p>
    <w:p>
      <w:pPr>
        <w:pStyle w:val="TextBody"/>
        <w:bidi w:val="0"/>
        <w:spacing w:before="360" w:after="0"/>
        <w:jc w:val="left"/>
        <w:rPr>
          <w:rFonts w:ascii="Times New Roman" w:hAnsi="Times New Roman"/>
          <w:b/>
          <w:sz w:val="20"/>
        </w:rPr>
      </w:pPr>
      <w:r>
        <w:rPr>
          <w:rFonts w:ascii="Times New Roman" w:hAnsi="Times New Roman"/>
          <w:b/>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The Foreign Account Tax Compliance Act, or FATCA, generally imposes a U.S. federal withholding tax at a rate of 30% on payments of dividends on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Such withholding may also apply to gross proceeds from the sale or other disposition of our common stock, common stock warrants or pre-funded warrants, although under proposed U.S. Treasury Regulations, no withholding would apply to such gross proceeds. The preamble to the proposed regulations specifies that taxpayers (including withholding agents) are permitted to rely on the proposed regulations pending finalization.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certain circumstances, a holder may be eligible for refunds or credits of this withholding tax. An intergovernmental agreement between the United States and an applicable foreign country may modify the requirements described in this paragraph. Prospective holders should consult their tax advisors regarding the possible implications of this legislation on their investment in our common stock, common stock warrants and pre-funded warrants and the entities through which they hold our securities, including, without limitation, the process and deadlines for meeting the applicable requirements to prevent the imposition of the 30% withholding tax under FATCA. </w:t>
      </w:r>
    </w:p>
    <w:p>
      <w:pPr>
        <w:pStyle w:val="TextBody"/>
        <w:bidi w:val="0"/>
        <w:spacing w:before="240" w:after="0"/>
        <w:jc w:val="left"/>
        <w:rPr>
          <w:rFonts w:ascii="Times New Roman" w:hAnsi="Times New Roman"/>
          <w:sz w:val="20"/>
        </w:rPr>
      </w:pPr>
      <w:r>
        <w:rPr>
          <w:rFonts w:ascii="Times New Roman" w:hAnsi="Times New Roman"/>
          <w:sz w:val="20"/>
        </w:rPr>
        <w:t xml:space="preserve">THE PRECEDING DISCUSSION OF MATERIAL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COMMON STOCK WARRANTS OR PRE-FUNDED WARRANTS, INCLUDING THE CONSEQUENCES OF ANY PROPOSED CHANGE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x95425_10"/>
      <w:bookmarkEnd w:id="12"/>
      <w:r>
        <w:rPr>
          <w:rFonts w:ascii="Times New Roman" w:hAnsi="Times New Roman"/>
          <w:b/>
          <w:sz w:val="20"/>
        </w:rPr>
        <w:t xml:space="preserve">DESCRIPTION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brief summary of certain terms and conditions of the pre-funded warrants and common stock warrants being offered by this prospectus supplement. The following description is subject in all respects to the provisions contained in the pre-funded warrants and common stock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Pre-Funded Warrants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Form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be issued as individual warrant agreements to the investors. You should review the form of pre-funded warrant, which will be filed as an exhibit to a Current Report on Form 8-K that we expect to file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expire on the date the warrant is exercised in full.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Exercisability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are exercisable at any time on or after their original issuance. The pre-funded warrants will be exercisable, at the option of each holder, in whole or in part by delivering to us a duly executed exercise notice and by payment in full in immediately available funds for the number of shares of common stock purchased upon such exercise. As an alternative to payment in immediately available funds, the holder may, in its sole discretion, elect to exercise the pre-funded warrant through a cashless exercise, in which case the holder would receive upon such exercise the net number of shares of common stock determined according to the formula set forth in the pre-funded warrant. No fractional shares of common stock will be issued in connection with the exercise of a pre-funded warrant. In lieu of fractional shares, we will pay the holder an amount in cash equal to the fractional amount multiplied by the fair market value of the common stock on the exercise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We may not effect the exercise of any pre-funded warrant, and a holder will not be entitled to exercise any portion of any pre-funded warrant that, upon giving effect to such exercise, would cause: (i) the aggregate number of shares of our common stock beneficially owned by such holder (together with its affiliates) to exceed 4.99% or, at the election of the holder prior to the issuance of the warrant, 9.99% of the number of shares of our common stock outstanding immediately after giving effect to the exercise; or (ii) the combined voting power of our securities beneficially owned by such holder (together with its affiliates) to exceed 4.99% or, at the election of the holder prior to the issuance of the warrant, 9.99% of the combined voting power of all of our securities outstanding immediately after giving effect to the exercise, as such percentage ownership is determined in accordance with the terms of the pre-funded warrants. However, any holder of a pre-funded warrant may increase or decrease such percentage to any other percentage not in excess of 19.99% (or, at the election of the holder prior to the issuance of the warrant, 9.99%) upon at least 61 days’ prior notice from the holder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Price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per whole share of our common stock purchasable upon the exercise of the pre-funded warrants is $0.00001 per share of common stock. The exercise price of the pre-funded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the pre-funded warrants may be offered for sale, sold, transferred or assigned without our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established trading market for the pre-funded warrants, and we do not expect a market to develop. We do not plan on applying to list the pre-funded warrants on the Nasdaq Global Select Market or any other national securities exchange or any nationally recognized trading system. </w:t>
      </w:r>
    </w:p>
    <w:p>
      <w:pPr>
        <w:pStyle w:val="TextBody"/>
        <w:bidi w:val="0"/>
        <w:spacing w:before="360" w:after="0"/>
        <w:jc w:val="left"/>
        <w:rPr>
          <w:rFonts w:ascii="Times New Roman" w:hAnsi="Times New Roman"/>
          <w:b/>
          <w:i/>
          <w:sz w:val="20"/>
        </w:rPr>
      </w:pPr>
      <w:r>
        <w:rPr>
          <w:rFonts w:ascii="Times New Roman" w:hAnsi="Times New Roman"/>
          <w:b/>
          <w:i/>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the voting power of our outstanding common stock, or any person or group becoming the beneficial owner of more than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 contained in the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as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Except by virtue of such holder’s ownership of shares of our common stock, the holder of a pre-funded warrant does not have the rights or privileges of a holder of our common stock, including any voting rights, until the holder exercises the pre-funded warrant. In the event of certain distributions, including cash dividends, if any, to all holders of our common stock for no consideration, the holder of a pre-funded warrant shall be entitled to participate in such distributions to the same extent as if such holder held the number of shares of our common stock acquirable upon complete exercise of its pre-funded warrant (without regard to any limitations on exercise). If such distribution would result in such holder and the other attribution parties exceeding the exercise limitations described above, a portion of such distribution shall be held in abeyance for the benefit of such holder until such time as the ownership limitations would not be exceeded.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Common Stock Warrants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Form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warrants will be issued as individual warrant agreements to the investors. The form of common stock warrant will be filed as an exhibit to our Current Report on Form 8-K that we expect to file with the SEC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warrants will expire on    2031. </w:t>
      </w:r>
    </w:p>
    <w:p>
      <w:pPr>
        <w:pStyle w:val="TextBody"/>
        <w:bidi w:val="0"/>
        <w:spacing w:before="360" w:after="0"/>
        <w:jc w:val="left"/>
        <w:rPr>
          <w:rFonts w:ascii="Times New Roman" w:hAnsi="Times New Roman"/>
          <w:b/>
          <w:sz w:val="20"/>
        </w:rPr>
      </w:pPr>
      <w:r>
        <w:rPr>
          <w:rFonts w:ascii="Times New Roman" w:hAnsi="Times New Roman"/>
          <w:b/>
          <w:sz w:val="20"/>
        </w:rPr>
        <w:t xml:space="preserve">Exercisability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warrants are immediately exercisable. The common stock warrants will be exercisable by means of a cash exercise at the option of each holder, in whole or in part by delivering to us a duly executed exercise notice and by payment in full of the applicable exercise price in immediately available funds for the number of shares of our common stock purchased upon such exercise. Additionally, to the extent that the NDA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Acceptance Announcement relates to a positive decision of the FDA to accept the NDA, then during the period beginning on the 30th day following the date of the NDA Acceptance Announcement and ending on the 60th calendar day thereafter, the common stock warrants are subject to the Mandatory Exercise. Any common stock warrant which has not been exercised pursuant to the Mandatory Exercise shall become null and void and the rights of the holder of the common stock warrant to exercise such common stock warrant shall lapse. </w:t>
      </w:r>
    </w:p>
    <w:p>
      <w:pPr>
        <w:pStyle w:val="TextBody"/>
        <w:bidi w:val="0"/>
        <w:spacing w:before="240" w:after="0"/>
        <w:jc w:val="left"/>
        <w:rPr>
          <w:rFonts w:ascii="Times New Roman" w:hAnsi="Times New Roman"/>
          <w:sz w:val="20"/>
        </w:rPr>
      </w:pPr>
      <w:r>
        <w:rPr>
          <w:rFonts w:ascii="Times New Roman" w:hAnsi="Times New Roman"/>
          <w:sz w:val="20"/>
        </w:rPr>
        <w:t xml:space="preserve">If, at the time a holder exercises its common stock warrants, a registration statement registering the issuance of the shares of common stock underlying the common stock warrants under the Securities Act is not then effective or available for the issuance of such shares, then in lieu of making the cash payment otherwise contemplated to be made to us upon such exercise in payment of the aggregate exercise price, the holder may elect to exercise the common stock warrant through a cashless exercise, in which the holder would receive upon such exercise the net number of shares of our common stock determined according to the formula set forth in the common stock warrant. No fractional shares of our common stock will be issued in connection with the exercise of a common stock warrant. In lieu of any fractional shares, we will pay cash equal to the product of such fraction multiplied by the fair market value of one share underlying such common stock warrant.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common stock warrants, we may not effect the exercise of any common stock warrant for shares of common stock, and a holder will not be entitled to exercise any portion of any common stock warrant for shares of common stock, (i) if immediately prior to exercise the holder (together with its affiliates) beneficially owns an aggregate number of shares of our common stock greater than 4.99% or 9.99%, as applicable, of the number of shares of our common stock outstanding immediately before giving effect to the exercise of any common stock warrant or (ii) to the extent that immediately following exercise, the holder (together with its affiliates) would beneficially own in excess of 4.99% or 9.99%, as applicable, of the number of shares of common stock outstanding immediately after giving effect to the issuance of such shares of common stock. However, any holder may increase or decrease such percentage to any other percentage not in excess of 19.99% upon at least 61 days’ prior notice from the holder to us.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Price and Warrant Adjustment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initial exercise price per whole share of our common stock purchasable upon the exercise of the common stock warrants is $     per share of common stock (or, if the purchaser elects, $     per pre-funded warrant). The exercise price of the common stock warrants and the number of shares of our common stock (or, if the purchaser elects, pre-funded warrants) issuable upon exercise of the common stock warrants is subject to appropriate adjustment in the event of certain stock dividends, subdivisions, stock splits, stock combinations, reclassifications, reorganizations or similar events affecting our common stock. In addition, to the extent that the NDA Acceptance Announcement relates to a positive decision of the FDA to accept the NDA, then beginning on the date of the NDA Acceptance Announcement, the exercise price of the common stock warrants will be reduced to the Reset Exercise Price, if such Reset Exercise Price is less than the initial exercise price. If the exercise price of the common stock warrants is reduced to the Reset Exercise Price, the number of shares of common stock or pre-funded warrants issuable pursuant to the common stock warrant shall be increased such that the aggregate exercise price payable thereunder, after taking into account the decrease in the exercise price to the Reset Exercise Price, shall be equal to the aggregate exercise price immediately prior to the date of the NDA Acceptance Announcement.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the common stock warrants may be offered for sale, sold, transferred or assigned without our consent. The ownership of the common stock warrants and any transfers of the common stock warrants will be registered in a warrant register maintained by the warrant agent. We will initially act as warrant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established trading market for the common stock warrants, and we do not expect a market to develop. We do not plan on applying to list the common stock warrants on the Nasdaq Global Select Market or any other national securities exchange or any nationally recognized trading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fundamental transaction, as described in the common stock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more than 50% of the voting power represented by our outstanding common stock, the holders of the common stock warrants will be entitled to receive upon exercise of the common stock warrants the kind and amount of securities, cash or other property that the holders would have received had they exercised the common stock warrants immediately prior to such fundamental transaction. In the event a holder does not exercise its common stock warrants in connection with a fundamental transaction, such holder’s common stock warrants will be deemed exercised in full pursuant to the “cashless exercise” mechanism described above upon the consummation of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a holder does not exercise its common stock warrants in connection with a fundamental transaction, we or our successor or acquiring corporation shall, at such holder’s option, exercisable at any time concurrently with, or within thirty days after, the consummation of the fundamental transaction (or, if later, the date of the public announcement of the applicable fundamental transaction), purchase the common stock warrant from the holder by paying to the holder an amount of cash equal to the Black Scholes value of the remaining unexercised portion of the common stock warrants on the date of the consummation of such fundamental transaction, subject to certain limitations and conditions as set forth in the common stock warrant. </w:t>
      </w:r>
    </w:p>
    <w:p>
      <w:pPr>
        <w:pStyle w:val="TextBody"/>
        <w:bidi w:val="0"/>
        <w:spacing w:before="360" w:after="0"/>
        <w:jc w:val="left"/>
        <w:rPr>
          <w:rFonts w:ascii="Times New Roman" w:hAnsi="Times New Roman"/>
          <w:b/>
          <w:sz w:val="20"/>
        </w:rPr>
      </w:pPr>
      <w:r>
        <w:rPr>
          <w:rFonts w:ascii="Times New Roman" w:hAnsi="Times New Roman"/>
          <w:b/>
          <w:sz w:val="20"/>
        </w:rPr>
        <w:t xml:space="preserve">No Rights as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Except by virtue of such holder’s ownership of shares of our common stock, the holder of a common stock warrant does not have the rights or privileges of a holder of our common stock, including any voting rights, until the holder exercises the common stock warrant. In the event of certain distributions, including cash dividends, if any, to all holders of our common stock for no consideration, the holder of a common stock warrant shall be entitled to participate in such distributions to the same extent as if such holder held the number of shares of our common stock acquirable upon complete exercise of its common stock warrant (without regard to any limitations on exercise). If such distribution would result in such holder and the other attribution parties exceeding the exercise limitations described above, a portion of such distribution shall be held in abeyance for the benefit of such holder until such time as the ownership limitations would not be exceeded.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x95425_11"/>
      <w:bookmarkEnd w:id="13"/>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and the underwriters for the offering named below have entered into an underwriting agreement with respect to the common stock, pre-funded warrants and the accompanying common stock warrants being offered. Subject to the terms and conditions of the underwriting agreement, each underwriter has severally agreed to purchase from us the number of shares of our common stock, pre-funded warrants and accompanying common stock warrants set forth opposite its name below. TD Securities (USA) LLC is the representative of the underwriters.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29"/>
        <w:gridCol w:w="182"/>
        <w:gridCol w:w="65"/>
        <w:gridCol w:w="1065"/>
        <w:gridCol w:w="60"/>
        <w:gridCol w:w="182"/>
        <w:gridCol w:w="72"/>
        <w:gridCol w:w="1180"/>
        <w:gridCol w:w="60"/>
        <w:gridCol w:w="182"/>
        <w:gridCol w:w="65"/>
        <w:gridCol w:w="1065"/>
        <w:gridCol w:w="65"/>
      </w:tblGrid>
      <w:tr>
        <w:trPr/>
        <w:tc>
          <w:tcPr>
            <w:tcW w:w="4329"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32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182"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Pre-Funded</w:t>
              <w:br/>
              <w:t>Warrants</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Common</w:t>
              <w:br/>
              <w:t>Stock</w:t>
              <w:br/>
              <w:t>Warrants</w:t>
            </w:r>
          </w:p>
        </w:tc>
        <w:tc>
          <w:tcPr>
            <w:tcW w:w="65" w:type="dxa"/>
            <w:tcBorders/>
            <w:vAlign w:val="bottom"/>
          </w:tcPr>
          <w:p>
            <w:pPr>
              <w:pStyle w:val="TableContents"/>
              <w:bidi w:val="0"/>
              <w:spacing w:before="0" w:after="283"/>
              <w:jc w:val="left"/>
              <w:rPr/>
            </w:pPr>
            <w:r>
              <w:rPr/>
              <w:t> </w:t>
            </w:r>
          </w:p>
        </w:tc>
      </w:tr>
      <w:tr>
        <w:trPr/>
        <w:tc>
          <w:tcPr>
            <w:tcW w:w="43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18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32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32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6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32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11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obligations of the underwriters are subject to certain conditions precedent and that the underwriters have agreed, severally and not jointly, to purchase all of the shares, pre-funded warrants and accompanying common stock warrants sold under the underwriting agreement if any of these securities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specified liabilities, including liabilities under the Securities Act of 1933, as amended, and to contribute to payments the underwriters may be required to make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securities,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 </w:t>
      </w:r>
    </w:p>
    <w:p>
      <w:pPr>
        <w:pStyle w:val="TextBody"/>
        <w:bidi w:val="0"/>
        <w:spacing w:before="240" w:after="0"/>
        <w:jc w:val="left"/>
        <w:rPr>
          <w:rFonts w:ascii="Times New Roman" w:hAnsi="Times New Roman"/>
          <w:sz w:val="20"/>
        </w:rPr>
      </w:pPr>
      <w:r>
        <w:rPr>
          <w:rFonts w:ascii="Times New Roman" w:hAnsi="Times New Roman"/>
          <w:i/>
          <w:sz w:val="20"/>
        </w:rPr>
        <w:t xml:space="preserve">Discounts and Commissions. </w:t>
      </w:r>
      <w:r>
        <w:rPr>
          <w:rFonts w:ascii="Times New Roman" w:hAnsi="Times New Roman"/>
          <w:sz w:val="20"/>
        </w:rPr>
        <w:t xml:space="preserve">The following table shows the public offering price, underwriting discounts and commissions and proceeds, before expenses, to us. We estimate that the total expenses of the offering, excluding underwriting discounts and commissions, will be approximately $     and are payable by us.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38"/>
        <w:gridCol w:w="383"/>
        <w:gridCol w:w="119"/>
        <w:gridCol w:w="1496"/>
        <w:gridCol w:w="60"/>
        <w:gridCol w:w="383"/>
        <w:gridCol w:w="125"/>
        <w:gridCol w:w="1550"/>
        <w:gridCol w:w="60"/>
        <w:gridCol w:w="383"/>
        <w:gridCol w:w="60"/>
        <w:gridCol w:w="749"/>
        <w:gridCol w:w="66"/>
      </w:tblGrid>
      <w:tr>
        <w:trPr/>
        <w:tc>
          <w:tcPr>
            <w:tcW w:w="3138"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138"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615" w:type="dxa"/>
            <w:gridSpan w:val="2"/>
            <w:tcBorders>
              <w:bottom w:val="single" w:sz="8" w:space="0" w:color="000000"/>
            </w:tcBorders>
            <w:tcMar>
              <w:bottom w:w="28" w:type="dxa"/>
            </w:tcMar>
            <w:vAlign w:val="bottom"/>
          </w:tcPr>
          <w:p>
            <w:pPr>
              <w:pStyle w:val="TableContents"/>
              <w:bidi w:val="0"/>
              <w:spacing w:before="0" w:after="283"/>
              <w:jc w:val="center"/>
              <w:rPr/>
            </w:pPr>
            <w:r>
              <w:rPr>
                <w:b/>
              </w:rPr>
              <w:t>Per Share and</w:t>
            </w:r>
            <w:r>
              <w:rPr/>
              <w:br/>
            </w:r>
            <w:r>
              <w:rPr>
                <w:b/>
              </w:rPr>
              <w:t>Accompanying</w:t>
              <w:br/>
              <w:t>Common Stock</w:t>
              <w:br/>
              <w:t>Warrant</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6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Pre-Funded</w:t>
              <w:br/>
              <w:t>Warrant and</w:t>
              <w:br/>
              <w:t>Accompanying</w:t>
              <w:br/>
              <w:t>Common Stock</w:t>
              <w:br/>
              <w:t>Warrant</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8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3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8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138"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w:t>
            </w:r>
          </w:p>
        </w:tc>
        <w:tc>
          <w:tcPr>
            <w:tcW w:w="38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4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8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4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5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the offering, excluding underwriting discounts and commissions, will be approximately $    and are payable by us. We have agreed to reimburse the underwriters for certain of their legal expenses in an amount not to exceed $100,000. In accordance with FINRA Rule 5110, this reimbursed fee is deemed underwriting compensation for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propose to offer the securities to the public at the public offering price set forth on the cover of this prospectus supplement. The underwriters may offer the securities to securities dealers at the public offering price less a concession not in excess of $    per share and accompanying common stock warrant. If all of the securities are not sold at the public offering price, the underwriters may change the offering price and other selling terms. Sales of any securities may be made by affiliates of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Discretionary Accounts. </w:t>
      </w:r>
      <w:r>
        <w:rPr>
          <w:rFonts w:ascii="Times New Roman" w:hAnsi="Times New Roman"/>
          <w:sz w:val="20"/>
        </w:rPr>
        <w:t xml:space="preserve">The underwriters do not intend to confirm sales of the securities to any accounts over which they have discretionary authority.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“PMVP”. We do not intend to list the pre-funded warrants or common stock warrants on the Nasdaq Global Select Market or any other national securities exchange or any nationally recognized trading system. </w:t>
      </w:r>
    </w:p>
    <w:p>
      <w:pPr>
        <w:pStyle w:val="TextBody"/>
        <w:bidi w:val="0"/>
        <w:spacing w:before="240" w:after="0"/>
        <w:jc w:val="left"/>
        <w:rPr>
          <w:rFonts w:ascii="Times New Roman" w:hAnsi="Times New Roman"/>
          <w:sz w:val="20"/>
        </w:rPr>
      </w:pPr>
      <w:r>
        <w:rPr>
          <w:rFonts w:ascii="Times New Roman" w:hAnsi="Times New Roman"/>
          <w:i/>
          <w:sz w:val="20"/>
        </w:rPr>
        <w:t xml:space="preserve">Stabilization. </w:t>
      </w:r>
      <w:r>
        <w:rPr>
          <w:rFonts w:ascii="Times New Roman" w:hAnsi="Times New Roman"/>
          <w:sz w:val="20"/>
        </w:rPr>
        <w:t xml:space="preserve">In connection with this offering, the underwriters (and their affiliates) may engage in stabilizing transactions, overallotment transactions, syndicate covering transactions, penalty bids and purchases to cover positions created by short sales.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Overallotment transactions involve sales by the underwriters of shares of common stock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a naked short position, the number of shares involved is greater than the number of shares that they may purchase. Because we have not granted the underwriters an option to purchase additional shares, the underwriters must close out any short position by purchasing shares in the open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Syndicate covering transactions involve purchases of common stock in the open market after the distribution has been completed in order to cover syndicate short positions. Because we have not granted the underwriters an option to purchase additional shares, the underwriters must close out any short position by purchasing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Penalty bids permit the representative to reclaim a selling concession from a syndicate member when the common stock originally sold by that syndicate member is purchased in stabilizing or syndicate covering transactions to cover syndicate short positions.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in the open market may be higher than it would otherwise be in the absence of these transactions. Neither we nor the underwriters make any representation or prediction as to the effect that the transactions described above may have on the price of our common stock. These transactions may be effected on the Nasdaq Stock Market, in the over-the-counter market or otherwise and, if commenced, may be discontinued at any time. </w:t>
      </w:r>
    </w:p>
    <w:p>
      <w:pPr>
        <w:pStyle w:val="TextBody"/>
        <w:bidi w:val="0"/>
        <w:spacing w:before="240" w:after="0"/>
        <w:jc w:val="left"/>
        <w:rPr>
          <w:rFonts w:ascii="Times New Roman" w:hAnsi="Times New Roman"/>
          <w:sz w:val="20"/>
        </w:rPr>
      </w:pPr>
      <w:r>
        <w:rPr>
          <w:rFonts w:ascii="Times New Roman" w:hAnsi="Times New Roman"/>
          <w:i/>
          <w:sz w:val="20"/>
        </w:rPr>
        <w:t xml:space="preserve">Passive Market Making. </w:t>
      </w:r>
      <w:r>
        <w:rPr>
          <w:rFonts w:ascii="Times New Roman" w:hAnsi="Times New Roman"/>
          <w:sz w:val="20"/>
        </w:rPr>
        <w:t xml:space="preserve">In connection with this offering, underwriters (and their affiliates) and selling group members may engage in passive market making transactions in our common stock on the Nasdaq Stock Market in accordance with Rule 103 of Regulation M under the Exchange Act during a period before the commencement of offers or sales of common stock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 </w:t>
      </w:r>
    </w:p>
    <w:p>
      <w:pPr>
        <w:pStyle w:val="TextBody"/>
        <w:bidi w:val="0"/>
        <w:spacing w:before="240" w:after="0"/>
        <w:jc w:val="left"/>
        <w:rPr>
          <w:rFonts w:ascii="Times New Roman" w:hAnsi="Times New Roman"/>
          <w:sz w:val="20"/>
        </w:rPr>
      </w:pPr>
      <w:r>
        <w:rPr>
          <w:rFonts w:ascii="Times New Roman" w:hAnsi="Times New Roman"/>
          <w:i/>
          <w:sz w:val="20"/>
        </w:rPr>
        <w:t xml:space="preserve">Lock-Up Agreements. </w:t>
      </w:r>
      <w:r>
        <w:rPr>
          <w:rFonts w:ascii="Times New Roman" w:hAnsi="Times New Roman"/>
          <w:sz w:val="20"/>
        </w:rPr>
        <w:t xml:space="preserve">Pursuant to certain ‘‘lock-up’’ agreements, we and our executive officers and directors, have agreed, subject to certain exceptions, not to and will not cause or direct any of its affiliates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offer, sell, contract to sell, pledge, grant any option to purchase, lend or otherwise dispose of any shares of common stock, or any options or warrants to purchase any shares of common stock, or any securities convertible into, exchangeable for or that represent the right to receive shares of our common stock,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would be expected to lead to or result in a sale, loan, pledge or other disposition, or transfer of any of the economic consequences of ownership, in whole or in part, directly or indirectly, of any lock-up securities, whether any such transaction described in clause (i) or (ii) above is to be settled by delivery of common stock or other securities, in cash or otherwise or (iii) otherwise publicly announce any intention to engage in or cause any action or activity described in clause (i) above or transaction or arrangement described in clause (ii) above without the prior written consent of TD Securities (USA) LLC, for a period of 90 days after the date of the pricing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lock-up provision applies to common stock and to securities convertible into or exchangeable or exercisable for common stock. It also applies to common stock owned now or acquired later by the person executing the agreement or for which the person executing the agreement later acquires the power of disposition. With respect to us, this restriction shall not apply to (i) the transactions contemplated by the offering, (ii) the issuance of shares or options to purchase our shares, or the issuance of shares upon exercise of options, pursuant to any share option, share bonus or other equity incentive or employee share purchase plan, but only if the holders of such shares or options agree in writing with the underwriters not to sell, offer, dispose of or otherwise transfer any such shares or options without the prior written consent of the representative (which consent may be withheld in their sole discretion), and (iii) the issuance of shares in connection with any joint venture, commercial or collaborative relationship or the acquisition or license by us of the securities, businesses, property or other assets of another person or entity or pursuant to any employee benefit plan as assumed by us in connection with any such acquisition, provided, however, in the case of this clause (iii), (x) such shares shall not in the aggregate exceed 7.5% of the number of ordinary shares outstanding immediately prior to giving effect to such issuance and (y) the recipients thereof provide to the representative a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our officers and directors, this restriction shall not apply to the transfer or otherwise disposition of the lock-up securities: </w:t>
      </w:r>
    </w:p>
    <w:p>
      <w:pPr>
        <w:pStyle w:val="TextBody"/>
        <w:bidi w:val="0"/>
        <w:spacing w:before="120" w:after="0"/>
        <w:jc w:val="left"/>
        <w:rPr>
          <w:rFonts w:ascii="Times New Roman" w:hAnsi="Times New Roman"/>
          <w:sz w:val="20"/>
        </w:rPr>
      </w:pPr>
      <w:r>
        <w:rPr>
          <w:rFonts w:ascii="Times New Roman" w:hAnsi="Times New Roman"/>
          <w:sz w:val="20"/>
        </w:rPr>
        <w:t xml:space="preserve">(a) as a </w:t>
      </w:r>
      <w:r>
        <w:rPr>
          <w:rFonts w:ascii="Times New Roman" w:hAnsi="Times New Roman"/>
          <w:i/>
          <w:sz w:val="20"/>
        </w:rPr>
        <w:t>bona fide</w:t>
      </w:r>
      <w:r>
        <w:rPr>
          <w:rFonts w:ascii="Times New Roman" w:hAnsi="Times New Roman"/>
          <w:sz w:val="20"/>
        </w:rPr>
        <w:t xml:space="preserve"> gift or gifts; provided that the donee or donees thereof agree to be bound in writing by the restrictions set forth therein; and provided further that any such transfer shall not involve a disposition for value; and provided further that any filing under Section 16 of the Exchange Act, reporting a reduction in beneficial ownership shall indicate in the footnotes thereto that the filing relates to the applicable circumstances described in the “lock-up” agreements, and no other public announcement shall be required or made voluntarily in connection with such transfer; </w:t>
      </w:r>
    </w:p>
    <w:p>
      <w:pPr>
        <w:pStyle w:val="TextBody"/>
        <w:bidi w:val="0"/>
        <w:spacing w:before="240" w:after="0"/>
        <w:jc w:val="left"/>
        <w:rPr>
          <w:rFonts w:ascii="Times New Roman" w:hAnsi="Times New Roman"/>
          <w:sz w:val="20"/>
        </w:rPr>
      </w:pPr>
      <w:r>
        <w:rPr>
          <w:rFonts w:ascii="Times New Roman" w:hAnsi="Times New Roman"/>
          <w:sz w:val="20"/>
        </w:rPr>
        <w:t xml:space="preserve">(b) to any trust for the direct or indirect benefit of the lock-up party or the immediate family of the lock-up party provided that the trustee of the trust agrees to be bound in writing by the restrictions set forth therein; and provided further that any such transfer shall not involve a disposition for value; </w:t>
      </w:r>
    </w:p>
    <w:p>
      <w:pPr>
        <w:pStyle w:val="TextBody"/>
        <w:bidi w:val="0"/>
        <w:spacing w:before="240" w:after="0"/>
        <w:jc w:val="left"/>
        <w:rPr>
          <w:rFonts w:ascii="Times New Roman" w:hAnsi="Times New Roman"/>
          <w:sz w:val="20"/>
        </w:rPr>
      </w:pPr>
      <w:r>
        <w:rPr>
          <w:rFonts w:ascii="Times New Roman" w:hAnsi="Times New Roman"/>
          <w:sz w:val="20"/>
        </w:rPr>
        <w:t xml:space="preserve">(c) acquired in open market transactions after the offering; </w:t>
      </w:r>
    </w:p>
    <w:p>
      <w:pPr>
        <w:pStyle w:val="TextBody"/>
        <w:bidi w:val="0"/>
        <w:spacing w:before="240" w:after="0"/>
        <w:jc w:val="left"/>
        <w:rPr>
          <w:rFonts w:ascii="Times New Roman" w:hAnsi="Times New Roman"/>
          <w:sz w:val="20"/>
        </w:rPr>
      </w:pPr>
      <w:r>
        <w:rPr>
          <w:rFonts w:ascii="Times New Roman" w:hAnsi="Times New Roman"/>
          <w:sz w:val="20"/>
        </w:rPr>
        <w:t xml:space="preserve">(d) if the lock-up party is a corporation, partnership, limited liability company, trust or other business entity (1) to another corporation, partnership, limited liability company, trust or other business entity that is an affiliate of the lock-up party or to any investment fund or other entity controlled or managed by or under common control with the lock-up party or affiliates of the lock-up party, or (2) as part of a distribution, transfer or disposition without consideration by the lock-up party to its stockholders, partners, members, beneficiaries or other equity holders; provided, however, that in the case of any transfer or disposition contemplated by clauses (1) or (2) above, it shall be a condition to the transfer or disposition that the transferee execute an agreement stating that the transferee is receiving and holding such securities subject to the restrictions on transfer set forth therein and there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be no further transfer of such securities except in accordance with the “lock-up” agreements; and provided further that any such transfer shall not involve a disposition for value; </w:t>
      </w:r>
    </w:p>
    <w:p>
      <w:pPr>
        <w:pStyle w:val="TextBody"/>
        <w:bidi w:val="0"/>
        <w:spacing w:before="240" w:after="0"/>
        <w:jc w:val="left"/>
        <w:rPr>
          <w:rFonts w:ascii="Times New Roman" w:hAnsi="Times New Roman"/>
          <w:sz w:val="20"/>
        </w:rPr>
      </w:pPr>
      <w:r>
        <w:rPr>
          <w:rFonts w:ascii="Times New Roman" w:hAnsi="Times New Roman"/>
          <w:sz w:val="20"/>
        </w:rPr>
        <w:t xml:space="preserve">(e) to us in connection with the exercise or settlement of options, warrants or other rights to acquire shares of common stock or any security convertible into or exercisable for shares of common stock in accordance with their terms pursuant to an employee benefit plan, option, warrant or other right disclosed in the final prospectus for the offering; provided, that any such shares issued upon exercise of such option, warrant or other right shall be subject to the restrictions on transfer set forth therein; provided further that any filing under Section 16 of the Exchange Act reporting a reduction in beneficial ownership shall indicate in the footnotes thereto that the filing relates to the applicable circumstances described in this clause, and no other public announcement shall be required or made voluntarily in connection with such transfer; </w:t>
      </w:r>
    </w:p>
    <w:p>
      <w:pPr>
        <w:pStyle w:val="TextBody"/>
        <w:bidi w:val="0"/>
        <w:spacing w:before="240" w:after="0"/>
        <w:jc w:val="left"/>
        <w:rPr>
          <w:rFonts w:ascii="Times New Roman" w:hAnsi="Times New Roman"/>
          <w:sz w:val="20"/>
        </w:rPr>
      </w:pPr>
      <w:r>
        <w:rPr>
          <w:rFonts w:ascii="Times New Roman" w:hAnsi="Times New Roman"/>
          <w:sz w:val="20"/>
        </w:rPr>
        <w:t xml:space="preserve">(f) by will or intestacy; provided that the legatee, heir or other transferee, as the case may be, agrees to be bound in writing by the restrictions on transfer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(g) to any immediate family member; provided that such family member agrees to be bound by the restrictions on transfer set forth therein; and provided further that any such transfer shall not involve a disposition for value; </w:t>
      </w:r>
    </w:p>
    <w:p>
      <w:pPr>
        <w:pStyle w:val="TextBody"/>
        <w:bidi w:val="0"/>
        <w:spacing w:before="240" w:after="0"/>
        <w:jc w:val="left"/>
        <w:rPr>
          <w:rFonts w:ascii="Times New Roman" w:hAnsi="Times New Roman"/>
          <w:sz w:val="20"/>
        </w:rPr>
      </w:pPr>
      <w:r>
        <w:rPr>
          <w:rFonts w:ascii="Times New Roman" w:hAnsi="Times New Roman"/>
          <w:sz w:val="20"/>
        </w:rPr>
        <w:t xml:space="preserve">(h) pursuant to a court order or a settlement agreement related to the distribution of assets in connection with the dissolution of a marriage or civil union; provided that such transferee agrees to be bound by the restrictions on transfer set forth therein; and provided further that any required filing under Section 16 of the Exchange Act shall indicate in the footnotes thereto that the filing relates to the circumstances described in the “lock-up” agreements and no other public announcement shall be required or shall be made voluntarily in connection with such transfer or disposition; and </w:t>
      </w:r>
    </w:p>
    <w:p>
      <w:pPr>
        <w:pStyle w:val="TextBody"/>
        <w:bidi w:val="0"/>
        <w:spacing w:before="240" w:after="0"/>
        <w:jc w:val="left"/>
        <w:rPr>
          <w:rFonts w:ascii="Times New Roman" w:hAnsi="Times New Roman"/>
          <w:sz w:val="20"/>
        </w:rPr>
      </w:pPr>
      <w:r>
        <w:rPr>
          <w:rFonts w:ascii="Times New Roman" w:hAnsi="Times New Roman"/>
          <w:sz w:val="20"/>
        </w:rPr>
        <w:t xml:space="preserve">(i) to us pursuant to agreements under which we have (A) the option to repurchase such shares or (B) a right of first refusal with respect to transfers of such shares upon termination of service of the lock-up party.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with respect to clauses (b), (c), (d), (g) and (i) above, it shall be a condition to such transfer that no filing under the Exchange Act (including, without limitation, Section 16(a) thereof) nor any other public filing or disclosure of such transfer by or on behalf of the lock-up party, reporting a reduction in beneficial ownership, shall be required or made until after the expiration of the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In addition, nothing therein shall prevent the lock-up party from establishing a 10b5-1 trading plan that complies with Rule 10b5-1 under the Exchange Act for the transfer of the lock-up party’s shares of common stock, provided that (i) such plan does not provide for any transfers of common stock during the lock-up period, (ii) no public disclosure or filing shall be voluntarily made during the lock-up period and (iii) to the extent a public announcement or filing under the Exchange Act, if any, is required by or on behalf of the lock-up party or us regarding the establishment of such plan, such announcement or filing shall include a statement to the effect that no transfer of common stock may be made under such plan during the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“lock-up” agreements shall not restrict any sale, disposal or transfer of the lock-up party’s shares of common stock to a </w:t>
      </w:r>
      <w:r>
        <w:rPr>
          <w:rFonts w:ascii="Times New Roman" w:hAnsi="Times New Roman"/>
          <w:i/>
          <w:sz w:val="20"/>
        </w:rPr>
        <w:t>bona fide</w:t>
      </w:r>
      <w:r>
        <w:rPr>
          <w:rFonts w:ascii="Times New Roman" w:hAnsi="Times New Roman"/>
          <w:sz w:val="20"/>
        </w:rPr>
        <w:t xml:space="preserve"> third party pursuant to a tender offer for our securities or any merger, consolidation or other business combination involving a change of control occurring after the settlement of the offering, that, in each case, has been approved by our board of directors; provided that all of the lock-up party’s shares of common stock subject to the “lock-up” agreements that are not so transferred, sold, tendered or otherwise disposed of remain subject to the “lock-up” agreements; and provided, further, that it shall be a condition of transfer, sale, tender or other disposition that if such tender offer or other transaction is not completed, any of the lock-up party’s shares of common stock subject to the “lock-up” agreements shall remain subject to the restrictions on transfer set forth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TD Securities (USA) LLC, in its sole discretion, may release our common stock and other securities subject to the lock-up agreements described above in whole or in part at any time. When determining whether or not to release our common stock and other securities from lock-up agreements, TD Securities (USA) LLC will consider, among other factors, the holder’s reasons for requesting the release, the number of shares for which the release is being requested and market conditions at the time of the request.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sz w:val="20"/>
        </w:rPr>
      </w:pPr>
      <w:r>
        <w:rPr>
          <w:rFonts w:ascii="Times New Roman" w:hAnsi="Times New Roman"/>
          <w:i/>
          <w:sz w:val="20"/>
        </w:rPr>
        <w:t>Canada</w:t>
      </w:r>
      <w:r>
        <w:rPr>
          <w:rFonts w:ascii="Times New Roman" w:hAnsi="Times New Roman"/>
          <w:sz w:val="20"/>
        </w:rPr>
        <w:t xml:space="preserve">. The securities may be sold only to purchasers purchasing, or deemed to be purchasing, as principal that are accredited investors, as defined in National Instrument 45-106 </w:t>
      </w:r>
      <w:r>
        <w:rPr>
          <w:rFonts w:ascii="Times New Roman" w:hAnsi="Times New Roman"/>
          <w:i/>
          <w:sz w:val="20"/>
        </w:rPr>
        <w:t>Prospectus Exemptions</w:t>
      </w:r>
      <w:r>
        <w:rPr>
          <w:rFonts w:ascii="Times New Roman" w:hAnsi="Times New Roman"/>
          <w:sz w:val="20"/>
        </w:rPr>
        <w:t xml:space="preserve"> or subsection 73.3(1) of the </w:t>
      </w:r>
      <w:r>
        <w:rPr>
          <w:rFonts w:ascii="Times New Roman" w:hAnsi="Times New Roman"/>
          <w:i/>
          <w:sz w:val="20"/>
        </w:rPr>
        <w:t xml:space="preserve">Securities Act </w:t>
      </w:r>
      <w:r>
        <w:rPr>
          <w:rFonts w:ascii="Times New Roman" w:hAnsi="Times New Roman"/>
          <w:sz w:val="20"/>
        </w:rPr>
        <w:t xml:space="preserve">(Ontario), and are permitted clients, as defined in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Any resale of the securities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w:t>
      </w:r>
      <w:r>
        <w:rPr>
          <w:rFonts w:ascii="Times New Roman" w:hAnsi="Times New Roman"/>
          <w:i/>
          <w:sz w:val="20"/>
        </w:rPr>
        <w:t xml:space="preserve">Underwriting Conflicts </w:t>
      </w:r>
      <w:r>
        <w:rPr>
          <w:rFonts w:ascii="Times New Roman" w:hAnsi="Times New Roman"/>
          <w:sz w:val="20"/>
        </w:rPr>
        <w:t xml:space="preserve">(NI 33-105), the underwriters are not required to comply with the disclosure requirements of NI 33-105 regarding underwriter conflicts of interest in connection with this offering. </w:t>
      </w:r>
    </w:p>
    <w:p>
      <w:pPr>
        <w:pStyle w:val="TextBody"/>
        <w:bidi w:val="0"/>
        <w:spacing w:before="240" w:after="0"/>
        <w:jc w:val="left"/>
        <w:rPr>
          <w:rFonts w:ascii="Times New Roman" w:hAnsi="Times New Roman"/>
          <w:sz w:val="20"/>
        </w:rPr>
      </w:pPr>
      <w:r>
        <w:rPr>
          <w:rFonts w:ascii="Times New Roman" w:hAnsi="Times New Roman"/>
          <w:i/>
          <w:sz w:val="20"/>
        </w:rPr>
        <w:t xml:space="preserve">Switzerland. </w:t>
      </w:r>
      <w:r>
        <w:rPr>
          <w:rFonts w:ascii="Times New Roman" w:hAnsi="Times New Roman"/>
          <w:sz w:val="20"/>
        </w:rPr>
        <w:t xml:space="preserve">The securities will not be offered, directly or indirectly, to the public in Switzerland and this prospectus does not constitute a public offering prospectus as that term is understood pursuant to article 652a or 1156 of the Swiss Federal Code of Obligations. </w:t>
      </w:r>
    </w:p>
    <w:p>
      <w:pPr>
        <w:pStyle w:val="TextBody"/>
        <w:bidi w:val="0"/>
        <w:spacing w:before="240" w:after="0"/>
        <w:jc w:val="left"/>
        <w:rPr>
          <w:rFonts w:ascii="Times New Roman" w:hAnsi="Times New Roman"/>
          <w:sz w:val="20"/>
        </w:rPr>
      </w:pPr>
      <w:r>
        <w:rPr>
          <w:rFonts w:ascii="Times New Roman" w:hAnsi="Times New Roman"/>
          <w:i/>
          <w:sz w:val="20"/>
        </w:rPr>
        <w:t xml:space="preserve">European Economic Area. </w:t>
      </w:r>
      <w:r>
        <w:rPr>
          <w:rFonts w:ascii="Times New Roman" w:hAnsi="Times New Roman"/>
          <w:sz w:val="20"/>
        </w:rPr>
        <w:t xml:space="preserve">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shares may be offered to the public in that Member State at any time: </w:t>
      </w:r>
    </w:p>
    <w:p>
      <w:pPr>
        <w:pStyle w:val="TextBody"/>
        <w:bidi w:val="0"/>
        <w:spacing w:before="120" w:after="0"/>
        <w:jc w:val="left"/>
        <w:rPr>
          <w:rFonts w:ascii="Times New Roman" w:hAnsi="Times New Roman"/>
          <w:sz w:val="20"/>
        </w:rPr>
      </w:pPr>
      <w:r>
        <w:rPr>
          <w:rFonts w:ascii="Times New Roman" w:hAnsi="Times New Roman"/>
          <w:sz w:val="20"/>
        </w:rPr>
        <w:t xml:space="preserve">A. to any legal entity which is a qualified investor as defined under Article 2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B. to fewer than 150 natural or legal persons (other than qualified investors as defined under Article 2 of the Prospectus Regulation), subject to obtaining the prior consent of the representatives for any such offer; or </w:t>
      </w:r>
    </w:p>
    <w:p>
      <w:pPr>
        <w:pStyle w:val="TextBody"/>
        <w:bidi w:val="0"/>
        <w:spacing w:before="240" w:after="0"/>
        <w:jc w:val="left"/>
        <w:rPr>
          <w:rFonts w:ascii="Times New Roman" w:hAnsi="Times New Roman"/>
          <w:sz w:val="20"/>
        </w:rPr>
      </w:pPr>
      <w:r>
        <w:rPr>
          <w:rFonts w:ascii="Times New Roman" w:hAnsi="Times New Roman"/>
          <w:sz w:val="20"/>
        </w:rPr>
        <w:t xml:space="preserve">C. in any other circumstances falling within Article 1(4)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shares shall require us or any of the representatives to publish a prospectus pursuant to Article 3 of the Prospectus Regulation or supplement a prospectus pursuant to Article 23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United Kingdom. </w:t>
      </w:r>
      <w:r>
        <w:rPr>
          <w:rFonts w:ascii="Times New Roman" w:hAnsi="Times New Roman"/>
          <w:sz w:val="20"/>
        </w:rPr>
        <w:t xml:space="preserve">No shares have been offered or will be offered pursuant to the offering to the public in the United Kingdom prior to the publication of a prospectus in relation to the shares which has been approved by the Financial Conduct Authority in accordance with the Public Offers and Admissions to Trading Regulations 2024 (the “POATRs”) and the Financial Services and Markets Act 2000, as amended, except that the securities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in paragraph 15 of Schedule 1 to the POATRs;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in paragraph 15 of Schedule 1 to the POATRs), subject to obtaining the prior consent of the representative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Part 1 to Schedule 1 of the POATRs,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shares shall require the issuer or any underwriter to publish a prospectus pursuant to POATRs or supplement a prospectus.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w:t>
      </w:r>
    </w:p>
    <w:p>
      <w:pPr>
        <w:pStyle w:val="TextBody"/>
        <w:bidi w:val="0"/>
        <w:spacing w:before="240" w:after="0"/>
        <w:jc w:val="left"/>
        <w:rPr>
          <w:rFonts w:ascii="Times New Roman" w:hAnsi="Times New Roman"/>
          <w:sz w:val="20"/>
        </w:rPr>
      </w:pPr>
      <w:r>
        <w:rPr>
          <w:rFonts w:ascii="Times New Roman" w:hAnsi="Times New Roman"/>
          <w:i/>
          <w:sz w:val="20"/>
        </w:rPr>
        <w:t xml:space="preserve">Hong Kong. </w:t>
      </w:r>
      <w:r>
        <w:rPr>
          <w:rFonts w:ascii="Times New Roman" w:hAnsi="Times New Roman"/>
          <w:sz w:val="20"/>
        </w:rPr>
        <w:t xml:space="preserve">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 </w:t>
      </w:r>
    </w:p>
    <w:p>
      <w:pPr>
        <w:pStyle w:val="TextBody"/>
        <w:bidi w:val="0"/>
        <w:spacing w:before="240" w:after="0"/>
        <w:jc w:val="left"/>
        <w:rPr>
          <w:rFonts w:ascii="Times New Roman" w:hAnsi="Times New Roman"/>
          <w:sz w:val="20"/>
        </w:rPr>
      </w:pPr>
      <w:r>
        <w:rPr>
          <w:rFonts w:ascii="Times New Roman" w:hAnsi="Times New Roman"/>
          <w:i/>
          <w:sz w:val="20"/>
        </w:rPr>
        <w:t xml:space="preserve">Singapore. </w:t>
      </w:r>
      <w:r>
        <w:rPr>
          <w:rFonts w:ascii="Times New Roman" w:hAnsi="Times New Roman"/>
          <w:sz w:val="20"/>
        </w:rPr>
        <w:t xml:space="preserve">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 </w:t>
      </w:r>
    </w:p>
    <w:p>
      <w:pPr>
        <w:pStyle w:val="TextBody"/>
        <w:bidi w:val="0"/>
        <w:spacing w:before="120" w:after="0"/>
        <w:jc w:val="left"/>
        <w:rPr>
          <w:rFonts w:ascii="Times New Roman" w:hAnsi="Times New Roman"/>
          <w:sz w:val="20"/>
        </w:rPr>
      </w:pPr>
      <w:r>
        <w:rPr>
          <w:rFonts w:ascii="Times New Roman" w:hAnsi="Times New Roman"/>
          <w:sz w:val="20"/>
        </w:rPr>
        <w:t xml:space="preserve">A. to an institutional investor (as defined in Section 4A of the Securities and Futures Act (Chapter 289) of Singapore, as modified or amended from time to time (the “SFA”)) pursuant to Section 274 of the SFA; </w:t>
      </w:r>
    </w:p>
    <w:p>
      <w:pPr>
        <w:pStyle w:val="TextBody"/>
        <w:bidi w:val="0"/>
        <w:spacing w:before="240" w:after="0"/>
        <w:jc w:val="left"/>
        <w:rPr>
          <w:rFonts w:ascii="Times New Roman" w:hAnsi="Times New Roman"/>
          <w:sz w:val="20"/>
        </w:rPr>
      </w:pPr>
      <w:r>
        <w:rPr>
          <w:rFonts w:ascii="Times New Roman" w:hAnsi="Times New Roman"/>
          <w:sz w:val="20"/>
        </w:rPr>
        <w:t xml:space="preserve">B. to a relevant person (as defined in Section 275(2) of the SFA) pursuant to Section 275(1) of the SFA, or any person pursuant to Section 275(1A) of the SFA, and in accordance with the conditions specified in Section 275 of the SFA; or </w:t>
      </w:r>
    </w:p>
    <w:p>
      <w:pPr>
        <w:pStyle w:val="TextBody"/>
        <w:bidi w:val="0"/>
        <w:spacing w:before="240" w:after="0"/>
        <w:jc w:val="left"/>
        <w:rPr>
          <w:rFonts w:ascii="Times New Roman" w:hAnsi="Times New Roman"/>
          <w:sz w:val="20"/>
        </w:rPr>
      </w:pPr>
      <w:r>
        <w:rPr>
          <w:rFonts w:ascii="Times New Roman" w:hAnsi="Times New Roman"/>
          <w:sz w:val="20"/>
        </w:rPr>
        <w:t xml:space="preserve">C. otherwise pursuant to, and in accordance with the conditions of, any other applicable provision of the SFA.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w:t>
      </w:r>
    </w:p>
    <w:p>
      <w:pPr>
        <w:pStyle w:val="TextBody"/>
        <w:bidi w:val="0"/>
        <w:spacing w:before="120" w:after="0"/>
        <w:jc w:val="left"/>
        <w:rPr>
          <w:rFonts w:ascii="Times New Roman" w:hAnsi="Times New Roman"/>
          <w:sz w:val="20"/>
        </w:rPr>
      </w:pPr>
      <w:r>
        <w:rPr>
          <w:rFonts w:ascii="Times New Roman" w:hAnsi="Times New Roman"/>
          <w:sz w:val="20"/>
        </w:rPr>
        <w:t xml:space="preserve">A. a corporation (which is not an accredited investor (as defined in Section 4A of the SFA)) the sole business of which is to hold investments and the entire share capital of which is owned by one or more individuals, each of whom is an accredited investor; or </w:t>
      </w:r>
    </w:p>
    <w:p>
      <w:pPr>
        <w:pStyle w:val="TextBody"/>
        <w:bidi w:val="0"/>
        <w:spacing w:before="240" w:after="0"/>
        <w:jc w:val="left"/>
        <w:rPr>
          <w:rFonts w:ascii="Times New Roman" w:hAnsi="Times New Roman"/>
          <w:sz w:val="20"/>
        </w:rPr>
      </w:pPr>
      <w:r>
        <w:rPr>
          <w:rFonts w:ascii="Times New Roman" w:hAnsi="Times New Roman"/>
          <w:sz w:val="20"/>
        </w:rPr>
        <w:t xml:space="preserve">B. a trust (where the trustee is not an accredited investor) whose sole purpose is to hold investments and each beneficiary of the trust is an individual who is an accredited investor, </w:t>
      </w:r>
    </w:p>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(however described) in that trust shall not be transferred within six months after that corporation or that trust has acquired the shares pursuant to an offer made under Section 275 of the SFA except: </w:t>
      </w:r>
    </w:p>
    <w:p>
      <w:pPr>
        <w:pStyle w:val="TextBody"/>
        <w:bidi w:val="0"/>
        <w:spacing w:before="120" w:after="0"/>
        <w:jc w:val="left"/>
        <w:rPr>
          <w:rFonts w:ascii="Times New Roman" w:hAnsi="Times New Roman"/>
          <w:sz w:val="20"/>
        </w:rPr>
      </w:pPr>
      <w:r>
        <w:rPr>
          <w:rFonts w:ascii="Times New Roman" w:hAnsi="Times New Roman"/>
          <w:sz w:val="20"/>
        </w:rPr>
        <w:t xml:space="preserve">(i) to an institutional investor or to a relevant person, or to any person arising from an offer referred to in Section 275(1A) or Section 276(4)(i)(B) of the SFA; </w:t>
      </w:r>
    </w:p>
    <w:p>
      <w:pPr>
        <w:pStyle w:val="TextBody"/>
        <w:bidi w:val="0"/>
        <w:spacing w:before="240" w:after="0"/>
        <w:jc w:val="left"/>
        <w:rPr>
          <w:rFonts w:ascii="Times New Roman" w:hAnsi="Times New Roman"/>
          <w:sz w:val="20"/>
        </w:rPr>
      </w:pPr>
      <w:r>
        <w:rPr>
          <w:rFonts w:ascii="Times New Roman" w:hAnsi="Times New Roman"/>
          <w:sz w:val="20"/>
        </w:rPr>
        <w:t xml:space="preserve">(ii) where no consideration is or will be given for the transfer; </w:t>
      </w:r>
    </w:p>
    <w:p>
      <w:pPr>
        <w:pStyle w:val="TextBody"/>
        <w:bidi w:val="0"/>
        <w:spacing w:before="240" w:after="0"/>
        <w:jc w:val="left"/>
        <w:rPr>
          <w:rFonts w:ascii="Times New Roman" w:hAnsi="Times New Roman"/>
          <w:sz w:val="20"/>
        </w:rPr>
      </w:pPr>
      <w:r>
        <w:rPr>
          <w:rFonts w:ascii="Times New Roman" w:hAnsi="Times New Roman"/>
          <w:sz w:val="20"/>
        </w:rPr>
        <w:t xml:space="preserve">(iii) where the transfer is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(iv) as specified in Section 276(7) of the SFA; or </w:t>
      </w:r>
    </w:p>
    <w:p>
      <w:pPr>
        <w:pStyle w:val="TextBody"/>
        <w:bidi w:val="0"/>
        <w:spacing w:before="240" w:after="0"/>
        <w:jc w:val="left"/>
        <w:rPr>
          <w:rFonts w:ascii="Times New Roman" w:hAnsi="Times New Roman"/>
          <w:sz w:val="20"/>
        </w:rPr>
      </w:pPr>
      <w:r>
        <w:rPr>
          <w:rFonts w:ascii="Times New Roman" w:hAnsi="Times New Roman"/>
          <w:sz w:val="20"/>
        </w:rPr>
        <w:t xml:space="preserve">(v) as specified in Regulation 37A of the Securities and Futures (Offers of Investments) (Securities and Securities-based Derivatives Contracts) Regulations 2018. </w:t>
      </w:r>
    </w:p>
    <w:p>
      <w:pPr>
        <w:pStyle w:val="TextBody"/>
        <w:bidi w:val="0"/>
        <w:spacing w:before="240" w:after="0"/>
        <w:jc w:val="left"/>
        <w:rPr>
          <w:rFonts w:ascii="Times New Roman" w:hAnsi="Times New Roman"/>
          <w:sz w:val="20"/>
        </w:rPr>
      </w:pPr>
      <w:r>
        <w:rPr>
          <w:rFonts w:ascii="Times New Roman" w:hAnsi="Times New Roman"/>
          <w:sz w:val="20"/>
        </w:rPr>
        <w:t xml:space="preserve">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240" w:after="0"/>
        <w:jc w:val="left"/>
        <w:rPr>
          <w:rFonts w:ascii="Times New Roman" w:hAnsi="Times New Roman"/>
          <w:sz w:val="20"/>
        </w:rPr>
      </w:pPr>
      <w:r>
        <w:rPr>
          <w:rFonts w:ascii="Times New Roman" w:hAnsi="Times New Roman"/>
          <w:i/>
          <w:sz w:val="20"/>
        </w:rPr>
        <w:t xml:space="preserve">Israel. </w:t>
      </w:r>
      <w:r>
        <w:rPr>
          <w:rFonts w:ascii="Times New Roman" w:hAnsi="Times New Roman"/>
          <w:sz w:val="20"/>
        </w:rPr>
        <w:t xml:space="preserve">In the State of Israel this prospectus supplement shall not be regarded as an offer to the public to purchase shares of securities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securities to any person within the State of Israel, other than to Qualified Investors and up to 35 Addressed Investors. </w:t>
      </w:r>
    </w:p>
    <w:p>
      <w:pPr>
        <w:pStyle w:val="TextBody"/>
        <w:bidi w:val="0"/>
        <w:spacing w:before="240" w:after="0"/>
        <w:jc w:val="left"/>
        <w:rPr>
          <w:rFonts w:ascii="Times New Roman" w:hAnsi="Times New Roman"/>
          <w:sz w:val="20"/>
        </w:rPr>
      </w:pPr>
      <w:r>
        <w:rPr>
          <w:rFonts w:ascii="Times New Roman" w:hAnsi="Times New Roman"/>
          <w:sz w:val="20"/>
        </w:rPr>
        <w:t xml:space="preserve">Qualified Investors may have to submit written evidence that they meet the definitions set out in the First Addendum to the Israeli Securities Law, 5728 – 1968. In particular, we may request, as a condition to be offered securities,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offer to be issued securities; (iv) that the securities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 Accordingly, no purchaser of the shares, other than the underwriters, is authorized to make any further offer of shares on our behalf or on behalf of the underwriters. </w:t>
      </w:r>
    </w:p>
    <w:p>
      <w:pPr>
        <w:pStyle w:val="TextBody"/>
        <w:bidi w:val="0"/>
        <w:spacing w:before="240" w:after="0"/>
        <w:jc w:val="left"/>
        <w:rPr>
          <w:rFonts w:ascii="Times New Roman" w:hAnsi="Times New Roman"/>
          <w:sz w:val="20"/>
        </w:rPr>
      </w:pPr>
      <w:r>
        <w:rPr>
          <w:rFonts w:ascii="Times New Roman" w:hAnsi="Times New Roman"/>
          <w:i/>
          <w:sz w:val="20"/>
        </w:rPr>
        <w:t xml:space="preserve">Electronic Offer, Sale and Distribution of Shares. </w:t>
      </w:r>
      <w:r>
        <w:rPr>
          <w:rFonts w:ascii="Times New Roman" w:hAnsi="Times New Roman"/>
          <w:sz w:val="20"/>
        </w:rPr>
        <w:t xml:space="preserve">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representative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 </w:t>
      </w:r>
    </w:p>
    <w:p>
      <w:pPr>
        <w:pStyle w:val="TextBody"/>
        <w:bidi w:val="0"/>
        <w:spacing w:before="240" w:after="0"/>
        <w:jc w:val="left"/>
        <w:rPr>
          <w:rFonts w:ascii="Times New Roman" w:hAnsi="Times New Roman"/>
          <w:sz w:val="20"/>
        </w:rPr>
      </w:pPr>
      <w:r>
        <w:rPr>
          <w:rFonts w:ascii="Times New Roman" w:hAnsi="Times New Roman"/>
          <w:i/>
          <w:sz w:val="20"/>
        </w:rPr>
        <w:t xml:space="preserve">Other Relationships. </w:t>
      </w:r>
      <w:r>
        <w:rPr>
          <w:rFonts w:ascii="Times New Roman" w:hAnsi="Times New Roman"/>
          <w:sz w:val="20"/>
        </w:rPr>
        <w:t xml:space="preserve">Certain of the underwriters and their affiliates have provided, and may in the future provide, various investment banking, commercial banking and other financial services for us and our affiliates for which they have received, and may in the future receive, customary fees. 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tx95425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issuance of our securities offered by this prospectus supplement will be passed upon for us by Wilson Sonsini Goodrich &amp; Rosati, Professional Corporation, New York, New York. Paul Hastings LLP, New York, New York is acting as counsel for the underwriters. </w:t>
      </w:r>
    </w:p>
    <w:p>
      <w:pPr>
        <w:pStyle w:val="TextBody"/>
        <w:bidi w:val="0"/>
        <w:spacing w:before="480" w:after="0"/>
        <w:jc w:val="center"/>
        <w:rPr>
          <w:rFonts w:ascii="Times New Roman" w:hAnsi="Times New Roman"/>
          <w:b/>
          <w:sz w:val="20"/>
        </w:rPr>
      </w:pPr>
      <w:bookmarkStart w:id="15" w:name="supptx95425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PMV Pharmaceuticals, Inc. appearing in PMV Pharmaceuticals, Inc.’s Annual Report (Form 10-K) for the year ended December 31, 2025,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480" w:after="0"/>
        <w:jc w:val="center"/>
        <w:rPr>
          <w:rFonts w:ascii="Times New Roman" w:hAnsi="Times New Roman"/>
          <w:b/>
          <w:sz w:val="20"/>
        </w:rPr>
      </w:pPr>
      <w:bookmarkStart w:id="16" w:name="supptx95425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an Internet website at </w:t>
      </w:r>
      <w:r>
        <w:rPr>
          <w:rFonts w:ascii="Times New Roman" w:hAnsi="Times New Roman"/>
          <w:i/>
          <w:sz w:val="20"/>
        </w:rPr>
        <w:t>www.sec.gov</w:t>
      </w:r>
      <w:r>
        <w:rPr>
          <w:rFonts w:ascii="Times New Roman" w:hAnsi="Times New Roman"/>
          <w:sz w:val="20"/>
        </w:rPr>
        <w:t xml:space="preserve"> that contains reports, proxy and information statements and other information about issuers, like us, that file electronically with the SEC. We also maintain a website at </w:t>
      </w:r>
      <w:r>
        <w:rPr>
          <w:rFonts w:ascii="Times New Roman" w:hAnsi="Times New Roman"/>
          <w:i/>
          <w:sz w:val="20"/>
        </w:rPr>
        <w:t>www.pmvpharma.com</w:t>
      </w:r>
      <w:r>
        <w:rPr>
          <w:rFonts w:ascii="Times New Roman" w:hAnsi="Times New Roman"/>
          <w:sz w:val="20"/>
        </w:rPr>
        <w:t xml:space="preserve">. We make available, free of charge, on our investor relations website at </w:t>
      </w:r>
      <w:r>
        <w:rPr>
          <w:rFonts w:ascii="Times New Roman" w:hAnsi="Times New Roman"/>
          <w:i/>
          <w:sz w:val="20"/>
        </w:rPr>
        <w:t>ir.pmvpharma.com</w:t>
      </w:r>
      <w:r>
        <w:rPr>
          <w:rFonts w:ascii="Times New Roman" w:hAnsi="Times New Roman"/>
          <w:sz w:val="20"/>
        </w:rPr>
        <w:t xml:space="preserve">, our Annual Reports on Form 10-K, Quarterly Reports on Form 10-Q, Current Reports on Form 8-K and amendments to these reports as soon as reasonably practicable after electronically filing or furnishing those reports to the SEC. Information contained on our website is not a part of or incorporated by reference in this prospectus supplement and the inclusion of our website and investor relations website addresses in this prospectus supplement is an inactive textual reference only.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that we filed with the SEC and do not contain all of the information in the registration statement. You should review the information and exhibits in the registration statement for further information on us and the securities that we are offering. Forms of other documents establishing the terms of the offered securities are filed as exhibits to the registration statement of which this prospectus supplement forms a part under cover of a Current Report on Form 8-K incorporated in this prospectus supplement by reference. Statements in this prospectus supplement and the accompanying prospectus are summaries and each statement is qualified in all respects by reference to the documents to which it refers. You should read the actual documents for a more complete description of the relevant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upptx95425_15"/>
      <w:bookmarkEnd w:id="17"/>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from other documents that we file with it, which means that we can disclose important information to you by referring you to those documents. The information incorporated by reference in this prospectus supplement and the accompanying prospectus is considered to be part of this prospectus supplement and the accompanying prospectus. We incorporate by reference into this prospectus supplement and the accompanying prospectus the information or documents listed below that we have filed with the SEC (File No. 001-39593):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April 22, 2026 (excluding those portions that are not incorporated by reference into our Annual Report on Form 10-K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 ended </w:t>
            </w:r>
            <w:hyperlink r:id="rId5">
              <w:r>
                <w:rPr>
                  <w:rStyle w:val="InternetLink"/>
                  <w:rFonts w:ascii="Times New Roman" w:hAnsi="Times New Roman"/>
                  <w:sz w:val="20"/>
                </w:rPr>
                <w:t>March 31, 2026</w:t>
              </w:r>
            </w:hyperlink>
            <w:r>
              <w:rPr>
                <w:rFonts w:ascii="Times New Roman" w:hAnsi="Times New Roman"/>
                <w:sz w:val="20"/>
              </w:rPr>
              <w:t xml:space="preserve">, filed with the SEC on May 12, 2026, and for the quarter ended </w:t>
            </w:r>
            <w:hyperlink r:id="rId6">
              <w:r>
                <w:rPr>
                  <w:rStyle w:val="InternetLink"/>
                  <w:rFonts w:ascii="Times New Roman" w:hAnsi="Times New Roman"/>
                  <w:sz w:val="20"/>
                </w:rPr>
                <w:t>June 30, 2026</w:t>
              </w:r>
            </w:hyperlink>
            <w:r>
              <w:rPr>
                <w:rFonts w:ascii="Times New Roman" w:hAnsi="Times New Roman"/>
                <w:sz w:val="20"/>
              </w:rPr>
              <w:t xml:space="preserve">, filed with the SEC on August 14,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June 5, 2026</w:t>
              </w:r>
            </w:hyperlink>
            <w:r>
              <w:rPr>
                <w:rFonts w:ascii="Times New Roman" w:hAnsi="Times New Roman"/>
                <w:sz w:val="20"/>
              </w:rPr>
              <w:t xml:space="preserve"> and </w:t>
            </w:r>
            <w:hyperlink r:id="rId8">
              <w:r>
                <w:rPr>
                  <w:rStyle w:val="InternetLink"/>
                  <w:rFonts w:ascii="Times New Roman" w:hAnsi="Times New Roman"/>
                  <w:sz w:val="20"/>
                </w:rPr>
                <w:t>August 31, 2026</w:t>
              </w:r>
            </w:hyperlink>
            <w:r>
              <w:rPr>
                <w:rFonts w:ascii="Times New Roman" w:hAnsi="Times New Roman"/>
                <w:sz w:val="20"/>
              </w:rPr>
              <w:t xml:space="preserve"> (in each case to the extent the information included in such reports is filed and not furnished);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the Registration Statement on </w:t>
            </w:r>
            <w:hyperlink r:id="rId9">
              <w:r>
                <w:rPr>
                  <w:rStyle w:val="InternetLink"/>
                  <w:rFonts w:ascii="Times New Roman" w:hAnsi="Times New Roman"/>
                  <w:sz w:val="20"/>
                </w:rPr>
                <w:t>Form 8-A</w:t>
              </w:r>
            </w:hyperlink>
            <w:r>
              <w:rPr>
                <w:rFonts w:ascii="Times New Roman" w:hAnsi="Times New Roman"/>
                <w:sz w:val="20"/>
              </w:rPr>
              <w:t xml:space="preserve"> relating thereto, filed with the SEC on September  21, 2020, as updated by the description of our common stock contained in </w:t>
            </w:r>
            <w:hyperlink r:id="rId10">
              <w:r>
                <w:rPr>
                  <w:rStyle w:val="InternetLink"/>
                  <w:rFonts w:ascii="Times New Roman" w:hAnsi="Times New Roman"/>
                  <w:sz w:val="20"/>
                </w:rPr>
                <w:t>Exhibit 4.1</w:t>
              </w:r>
            </w:hyperlink>
            <w:r>
              <w:rPr>
                <w:rFonts w:ascii="Times New Roman" w:hAnsi="Times New Roman"/>
                <w:sz w:val="20"/>
              </w:rPr>
              <w:t xml:space="preserve"> to our Annual Report on Form 10-K for the fiscal year ended December 31, 2020, filed with the SEC on March 3, 2021,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supplement and the accompanying prospectus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supplement but prior to the termination of the offering. These documents include periodic reports, such as Annual Reports on Form 10-K, Quarterly Reports on Form 10-Q and Current Reports on Form 8-K, as well as proxy statements.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statements in the preceding paragraphs, no document, report or exhibit (or portion of any of the foregoing) or any other information that we have “furnished” to the SEC pursuant to the Exchange Act shall be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without charge to you, on written or oral request, a copy of any or all of the documents incorporated by reference in this prospectus supplement and the accompanying prospectus, including exhibits to these documents. You should direct any requests for documents to PMV Pharmaceuticals, Inc., Attn: Corporate Secretary, 400 Alexander Park Drive, Suite 301, Princeton, New Jersey 08540. </w:t>
      </w:r>
    </w:p>
    <w:p>
      <w:pPr>
        <w:pStyle w:val="TextBody"/>
        <w:bidi w:val="0"/>
        <w:spacing w:before="240" w:after="0"/>
        <w:jc w:val="left"/>
        <w:rPr>
          <w:rFonts w:ascii="Times New Roman" w:hAnsi="Times New Roman"/>
          <w:sz w:val="20"/>
        </w:rPr>
      </w:pPr>
      <w:r>
        <w:rPr>
          <w:rFonts w:ascii="Times New Roman" w:hAnsi="Times New Roman"/>
          <w:sz w:val="20"/>
        </w:rPr>
        <w:t xml:space="preserve">You also may access these filings on our website at </w:t>
      </w:r>
      <w:r>
        <w:rPr>
          <w:rFonts w:ascii="Times New Roman" w:hAnsi="Times New Roman"/>
          <w:i/>
          <w:sz w:val="20"/>
        </w:rPr>
        <w:t>ir.pmvpharma.com</w:t>
      </w:r>
      <w:r>
        <w:rPr>
          <w:rFonts w:ascii="Times New Roman" w:hAnsi="Times New Roman"/>
          <w:sz w:val="20"/>
        </w:rPr>
        <w:t xml:space="preserve">. We do not incorporate the information on our website into this prospectus supplement or the accompanying prospectus and you should not consider any information on, or that can be accessed through, our website as part of this prospectus supplement or the accompanying prospectus (other than those filings with the SEC that we specifically incorporate by reference into this prospectus or any supplement to this prospectus). The inclusion of our website address is an inactive textual reference only.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in this prospectus supplement and the accompanying prospectus will be deemed modified, superseded or replaced for purposes of this prospectus supplement and the accompanying prospectus to the extent that a statement contained in this prospectus supplement or the accompanying prospectus modifies, supersedes or replaces such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81425" cy="76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3781425" cy="762000"/>
                    </a:xfrm>
                    <a:prstGeom prst="rect">
                      <a:avLst/>
                    </a:prstGeom>
                  </pic:spPr>
                </pic:pic>
              </a:graphicData>
            </a:graphic>
          </wp:inline>
        </w:drawing>
      </w:r>
      <w:r>
        <w:rPr/>
        <w:t xml:space="preserve"> </w:t>
      </w:r>
    </w:p>
    <w:p>
      <w:pPr>
        <w:pStyle w:val="TextBody"/>
        <w:bidi w:val="0"/>
        <w:spacing w:before="360" w:after="0"/>
        <w:jc w:val="center"/>
        <w:rPr>
          <w:rFonts w:ascii="Times New Roman" w:hAnsi="Times New Roman"/>
          <w:b/>
          <w:sz w:val="48"/>
        </w:rPr>
      </w:pPr>
      <w:r>
        <w:rPr>
          <w:rFonts w:ascii="Times New Roman" w:hAnsi="Times New Roman"/>
          <w:b/>
          <w:sz w:val="48"/>
        </w:rPr>
        <w:t xml:space="preserve">PMV Pharmaceuticals, Inc. </w:t>
      </w:r>
    </w:p>
    <w:p>
      <w:pPr>
        <w:pStyle w:val="TextBody"/>
        <w:bidi w:val="0"/>
        <w:spacing w:before="240" w:after="0"/>
        <w:jc w:val="center"/>
        <w:rPr>
          <w:rFonts w:ascii="Times New Roman" w:hAnsi="Times New Roman"/>
          <w:b/>
          <w:sz w:val="36"/>
        </w:rPr>
      </w:pPr>
      <w:r>
        <w:rPr>
          <w:rFonts w:ascii="Times New Roman" w:hAnsi="Times New Roman"/>
          <w:b/>
          <w:sz w:val="36"/>
        </w:rPr>
        <w:t xml:space="preserve">$200,000,000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Subscription Rights </w:t>
      </w:r>
    </w:p>
    <w:p>
      <w:pPr>
        <w:pStyle w:val="TextBody"/>
        <w:bidi w:val="0"/>
        <w:spacing w:before="0" w:after="0"/>
        <w:jc w:val="center"/>
        <w:rPr>
          <w:rFonts w:ascii="Times New Roman" w:hAnsi="Times New Roman"/>
          <w:b/>
          <w:sz w:val="28"/>
        </w:rPr>
      </w:pPr>
      <w:r>
        <w:rPr>
          <w:rFonts w:ascii="Times New Roman" w:hAnsi="Times New Roman"/>
          <w:b/>
          <w:sz w:val="28"/>
        </w:rPr>
        <w:t xml:space="preserve">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covered by this prospectus may be sold by PMV Pharmaceuticals, Inc. from time to time in one or more offerings. This prospectus provides you with a general description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securities from time to time in one or more offerings, in amounts, at prices and on terms determined at the time of offering, of up to $200,000,000 in the aggregate.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“PMVP.” On November 19, 2024, the last reported sale price of our common stock on the Nasdaq Global Select Market was $1.59 per share. Each prospectus supplement will indicate whether the securities offered thereby will be listed on any securities exchange.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PLEASE CAREFULLY READ THE INFORMATION UNDER THE HEADINGS “</w:t>
      </w:r>
      <w:hyperlink w:anchor="toc95425_3">
        <w:r>
          <w:rPr>
            <w:rStyle w:val="InternetLink"/>
            <w:rFonts w:ascii="Times New Roman" w:hAnsi="Times New Roman"/>
            <w:b/>
            <w:sz w:val="24"/>
          </w:rPr>
          <w:t>RISK FACTORS</w:t>
        </w:r>
      </w:hyperlink>
      <w:r>
        <w:rPr>
          <w:rFonts w:ascii="Times New Roman" w:hAnsi="Times New Roman"/>
          <w:b/>
          <w:sz w:val="24"/>
        </w:rPr>
        <w:t xml:space="preserve">” BEGINNING ON PAGE 4 OF THIS PROSPECTUS AND ANY SIMILAR SECTION CONTAINED IN THE APPLICABLE PROSPECTUS SUPPLEMENT AND “ITEM 1A – RISK FACTORS” OF OUR MOST RECENT REPORT ON FORM 10-K OR 10-Q THAT IS INCORPORATED BY REFERENCE IN THIS PROSPECTUS BEFORE YOU INVEST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November 27,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2">
              <w:r>
                <w:rPr>
                  <w:rStyle w:val="InternetLink"/>
                  <w:rFonts w:ascii="Times New Roman" w:hAnsi="Times New Roman"/>
                  <w:sz w:val="20"/>
                </w:rPr>
                <w:t>Prospectus Summary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3">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4">
              <w:r>
                <w:rPr>
                  <w:rStyle w:val="InternetLink"/>
                  <w:rFonts w:ascii="Times New Roman" w:hAnsi="Times New Roman"/>
                  <w:sz w:val="20"/>
                </w:rPr>
                <w:t>Special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5">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6">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6a">
              <w:r>
                <w:rPr>
                  <w:rStyle w:val="InternetLink"/>
                  <w:rFonts w:ascii="Times New Roman" w:hAnsi="Times New Roman"/>
                  <w:sz w:val="20"/>
                </w:rPr>
                <w:t xml:space="preserve">Description of Debt Securities </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7">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8">
              <w:r>
                <w:rPr>
                  <w:rStyle w:val="InternetLink"/>
                  <w:rFonts w:ascii="Times New Roman" w:hAnsi="Times New Roman"/>
                  <w:sz w:val="20"/>
                </w:rPr>
                <w:t>Description of Subscription Rights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9">
              <w:r>
                <w:rPr>
                  <w:rStyle w:val="InternetLink"/>
                  <w:rFonts w:ascii="Times New Roman" w:hAnsi="Times New Roman"/>
                  <w:sz w:val="20"/>
                </w:rPr>
                <w:t>Description of Purchase Contracts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0">
              <w:r>
                <w:rPr>
                  <w:rStyle w:val="InternetLink"/>
                  <w:rFonts w:ascii="Times New Roman" w:hAnsi="Times New Roman"/>
                  <w:sz w:val="20"/>
                </w:rPr>
                <w:t>Description of Units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1">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2">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3">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4">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5">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95425_1"/>
      <w:bookmarkEnd w:id="18"/>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that we filed with the U.S. Securities and Exchange Commission, or the SEC, under the Securities Act of 1933, as amended, or the Securities Act, using a “shelf” registration process. By using a shelf registration statement, we may sell securities from time to time and in one or more offerings as described in this prospectus for an aggregate offering amount of up to $200,000,000. Each time that we offer and sell securities pursuant to this prospectus, we will provide a prospectus supplement to this prospectus that contains specific information about the securities being offered and sold and the specific terms of that offering and, to the extent appropriate, any updates to the information about us contained in this prospectus.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and any related free writing prospectus, you should rely on the applicable prospectus supplement and any related free writing prospectus. Before purchasing any securities, you should carefully read this prospectus, the applicable prospectus supplement and any related free writing prospectus, together with the additional information described under the heading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by 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information or to make any representations other than those contained or incorporated by reference in this prospectus, the applicable prospectus supplement or in any related free writing prospectus prepared by or on behalf of us to which we have referred you. We take no responsibility for, and can provide no assurance as to the reliability of, any other information that others may give you. You should assume that the information appearing in this prospectus, the applicable prospectus supplement to this prospectus and any related free writing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materially since those dates. This prospectus and the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9" w:name="toc95425_2"/>
      <w:bookmarkEnd w:id="19"/>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10-K and our Quarterly Reports on Form 10-Q. Unless the context indicates otherwise, references in this prospectus to “PMV Pharmaceuticals, Inc.,” “we,” “our” and “us” refer, collectively, to PMV Pharmaceuticals, Inc., a Delaware corporation, and its subsidiaries taken as a whole.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lead product candidate, PC14586 (rezatapopt), is an orally available small molecule designed to potently and selectively correct p53 misfolding caused by a specific p53 mutation, Y220C, while sparing wild-type p53. The p53 Y220C mutation is associated with approximately 1.0% of all cancers, including breast, non-small cell lung cancer, or NSCLC, colorectal, pancreatic and ovarian cancers. PC14586 is designed to restore the wild-type conformation by occupying the pocket created by the tyrosine to cysteine mutation in amino acid position 220. We are pursuing a tumor-agnostic development strategy and initiated a Phase 1/2 clinical trial, PYNNACLE, in October 2020. Our strategy is to seek approval under an accelerated pathway, and we believe our PYNNACLE clinical trial has the potential to serve as a pivotal study. In October 2020, we were granted FDA Fast Track Designation of PC14586 for the treatment of patients with locally advanced or metastatic solid tumors that have a p53 Y220C mutation. In July 2023, we concluded our End of Phase 1 meeting with the FDA with alignment on the recommended Phase 2 dose and key elements of the single arm, Phase 2 registrational portion of the PYNNACLE study. In October 2023, we presented our updated Phase 1 clinical data for PC14586 at the 2023 AACR-NCI-EORTC International Conference on Molecular Targets and Cancer Therapeutics Meeting. We are continuing to dose patients in the pivotal Phase 2 monotherapy portion of our PYNNACLE trial, and have activated over 75% of sites globally across the U.S., Europe and Asia-Pacific. In October 2024, we discontinued enrollment in the Phase 1b combination arm of the PYNNACLE trial evaluating rezatapopt in combination with Merck and Co.’s anti-PD-1 therapy KEYTRUDA® (pembrolizumab) in patients with advanced solid tumors harboring a TP53 Y220C mutation. Additionally, we announced that we are collaborating with the MD Anderson Cancer Center and the Memorial Sloan Kettering Cancer Center to support an investigator-initiated Phase 1b study, which is designed to assess the safety, tolerability, pharmacokinetics, and preliminary efficacy of rezatapopt monotherapy in combination with azacytidine in patients harboring a TP53 Y220C mutation. We expect that enrollment for this Phase 1b study will begin in the first quarter of 2025. We also expect to provide interim data on the Phase 2 monotherapy registrational portion of the PYNNACLE trial by mid-2025.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better understanding of mutations that drive cancers have facilitated the development of precise, gene- and protein-specific drugs known as targeted therapies. Targeted therapies have the potential to transform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treatment of some cancers by providing robust clinical benefit to patients. In many cases, clinical responses can be dramatic enough to support expedited regulatory approval of these therapies. Further, recent advancements in next-generation-sequencing, or genomic NGS, have accelerated the development of targeted therapies. A recent study found that 75% of oncologists in the United States employ genetic sequencing. We believe p53 mutations are particularly well-suited for the evolving precision oncology paradigm, as a single mutation can cause p53 malfunction, and p53 is one of the genes commonly sequenced in NGS panels. We believe that our precision oncology platform offers a substantial opportunity to expand the number of patients who will benefit from targeted therapies.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in March 2013 under the name “PJ Pharmaceuticals, Inc.” In July 2013, we changed our name to “PMV Pharmaceuticals, Inc.” Our principal executive offices are located at 400 Alexander Park Drive, Suite 301, Princeton, New Jersey 08540. Our telephone number is (609) 642-6670. Our website address is www.pmvpharma.com. Information contained on, or that can be accessible through, our website is not a part of this prospectus and the inclusion of our website address in this prospectus is an inactive textual reference only.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That May Be Offered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or sell common stock, preferred stock, debt securities, warrants, subscription rights, purchase contracts and units in one or more offerings and in any combination for an aggregate offering amount of up to $200,000,000. Each time securities are offered with this prospectus, we will provide a prospectus supplement that will describe the specific amounts, prices and terms of the securities being offered and the net proceeds we expect to receive from that sale.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securities may be sold to or through underwriters, dealers or agents or directly to purchasers or as otherwise set forth in the section of this prospectus captioned “</w:t>
      </w:r>
      <w:r>
        <w:rPr>
          <w:rFonts w:ascii="Times New Roman" w:hAnsi="Times New Roman"/>
          <w:i/>
          <w:sz w:val="20"/>
          <w:bdr w:val="single" w:sz="8" w:space="1" w:color="000000"/>
        </w:rPr>
        <w:t>Plan of Distribution</w:t>
      </w:r>
      <w:r>
        <w:rPr>
          <w:rFonts w:ascii="Times New Roman" w:hAnsi="Times New Roman"/>
          <w:sz w:val="20"/>
          <w:bdr w:val="single" w:sz="8" w:space="1" w:color="000000"/>
        </w:rPr>
        <w:t xml:space="preserve">.” Each prospectus supplement will set forth the names of any underwriters, dealers, agents or other entities involved in the sale of securities described in that prospectus supplement and any applicable fee, commission or discount arrangements with them.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shares of our common stock, par value $0.00001 per share, either alone or underlying other registered securities convertible into our common stock. Holders of our common stock are entitled to receive dividends, if any, as may be declared from time to time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Preferred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Debt Securities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Warrants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warrants for the purchase of common stock, preferred stock or debt securities. We may offer warrants independently or together with other securities.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Subscription Rights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subscription rights to purchase our common stock, preferred stock, debt securities, warrants or units consisting of some or all of these securities. These subscription rights may be offered independently or together with any other security offered hereby and may or may not be transferable by the stockholder receiving the subscription rights in such offering.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Purchase Contracts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purchase contracts, including contracts obligating holders or us to purchase from the other a specific or variable number of securities at a future date or dates.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Units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units comprised of one or more of the other classes of securities described in this prospectus in any combination. Each unit will be issued so that the holder of the unit is also the holder of each security included in the unit.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Rule 12b-2 promulgated under the Securities Exchange Act of 1934, as amended, or the Exchange Act. We will remain a smaller reporting company until we have a non-affiliate public float in excess of $250.0 million and annual revenues in excess of $100.0 million, or a non-affiliate public float in excess of $700.0 million, each as determined on an annual basis. A smaller reporting company may take advantage of relief from some of the reporting requirements and other burdens that are otherwise applicable generally to public companies, such as reduced disclosure obligations regarding executive compensation in this prospectus and our periodic reports and proxy statement. To the extent that we take advantage of these reduced burdens, the information that we provide stockholders may be different than you might obtain from other public companies in which you hold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95425_3"/>
      <w:bookmarkEnd w:id="20"/>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and any applicable free writing prospectus or appearing or incorporated by reference in this prospectus. You should also consider the risks, uncertainties and assumptions discussed under “</w:t>
      </w:r>
      <w:r>
        <w:rPr>
          <w:rFonts w:ascii="Times New Roman" w:hAnsi="Times New Roman"/>
          <w:i/>
          <w:sz w:val="20"/>
        </w:rPr>
        <w:t>Part I—Item 1A—Risk Factors</w:t>
      </w:r>
      <w:r>
        <w:rPr>
          <w:rFonts w:ascii="Times New Roman" w:hAnsi="Times New Roman"/>
          <w:sz w:val="20"/>
        </w:rPr>
        <w:t>” of our most recent Annual Report on Form 10-K and in “</w:t>
      </w:r>
      <w:r>
        <w:rPr>
          <w:rFonts w:ascii="Times New Roman" w:hAnsi="Times New Roman"/>
          <w:i/>
          <w:sz w:val="20"/>
        </w:rPr>
        <w:t>Part II—Item 1A—Risk Factors</w:t>
      </w:r>
      <w:r>
        <w:rPr>
          <w:rFonts w:ascii="Times New Roman" w:hAnsi="Times New Roman"/>
          <w:sz w:val="20"/>
        </w:rPr>
        <w:t xml:space="preserve">” in our most recent Quarterly Report on Form 10-Q filed subsequent to such Form 10-K or Current Reports on Form 8-K we file after the date of this prospectus,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95425_4"/>
      <w:bookmarkEnd w:id="21"/>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This prospectus, each prospectus supplement and any free writing prospectus and the information incorporated by reference in this prospectus, each prospectus supplement and any free writing prospectus contain certain statements that constitute “forward-looking statements” within the meaning of Section 27A of the Securities Act and Section 21E of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accompanying prospectus supplement, any free writing prospectus and the documents incorporated herein and therein by reference, particularly in the sections captioned “</w:t>
      </w:r>
      <w:r>
        <w:rPr>
          <w:rFonts w:ascii="Times New Roman" w:hAnsi="Times New Roman"/>
          <w:i/>
          <w:sz w:val="20"/>
        </w:rPr>
        <w:t>Risk Factors</w:t>
      </w:r>
      <w:r>
        <w:rPr>
          <w:rFonts w:ascii="Times New Roman" w:hAnsi="Times New Roman"/>
          <w:sz w:val="20"/>
        </w:rPr>
        <w:t>” and “</w:t>
      </w:r>
      <w:r>
        <w:rPr>
          <w:rFonts w:ascii="Times New Roman" w:hAnsi="Times New Roman"/>
          <w:i/>
          <w:sz w:val="20"/>
        </w:rPr>
        <w:t>Management’s Discussion and Analysis of Financial Condition and Results of Operations</w:t>
      </w:r>
      <w:r>
        <w:rPr>
          <w:rFonts w:ascii="Times New Roman" w:hAnsi="Times New Roman"/>
          <w:sz w:val="20"/>
        </w:rPr>
        <w:t xml:space="preserve">”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 </w:t>
      </w:r>
    </w:p>
    <w:p>
      <w:pPr>
        <w:pStyle w:val="TextBody"/>
        <w:bidi w:val="0"/>
        <w:spacing w:before="240" w:after="0"/>
        <w:jc w:val="left"/>
        <w:rPr>
          <w:rFonts w:ascii="Times New Roman" w:hAnsi="Times New Roman"/>
          <w:sz w:val="20"/>
        </w:rPr>
      </w:pPr>
      <w:r>
        <w:rPr>
          <w:rFonts w:ascii="Times New Roman" w:hAnsi="Times New Roman"/>
          <w:sz w:val="20"/>
        </w:rPr>
        <w:t xml:space="preserve">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95425_5"/>
      <w:bookmarkEnd w:id="2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our intended use for the net proceeds received from the sale of any securities. We will retain broad discretion over the use of the net proceeds to us from the sale of our securities under this prospectus. Pending our use of the net proceeds from the sale of our securities, we intend to invest the net proceeds in bank deposits, money market funds, treasury obligations, and investment-grade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95425_6"/>
      <w:bookmarkEnd w:id="23"/>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Copies of these documents have been filed with the SEC as exhibits to our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1,000,000,000 shares of common stock, par value $0.00001 per share, and 5,000,000 shares of preferred stock, par value $0.00001 per share. The number of beneficial stockholders is substantially greater than the number of stockholders of record as a large portion of our common stock is held through brokerage firms.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common stock is entitled to one vote for each share on all matters submitted to a vote of the stockholders, including the election of directors. Our stockholders do not have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be applicable to any then-outstanding preferred stock, holders of our common stock are entitled to receive dividends, if any, as may be declared from time to time by our board of directors out of legally available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and Preferences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All of our outstanding shares of common stock are fully paid and nonassessable.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the authority, without further action by the stockholders, to issue up to 5,000,000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stock we may issue will be fully paid and nonassessable upon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Certain Provisions of Delaware Law, Our Amended and Restated Certificate of Incorporation and Our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the General Corporation Law of the State of Delaware, or DGCL, and certain provisions of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our board of directors is divided into three classes, designated Class I, Class II and Class III. Each class contains an equal number of directors, as nearly as possible, consisting of one third of the total number of directors constituting the entire board of directors. The directors in each class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stockholders may only remove a director for cause by a vote of at least a majority of the voting power of the issued and outstanding capital stock of our company entitled to vote.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Vacancies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authorizes only our board of directors to fill vacant directorships.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stockholders do not have the right to cumulate votes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except as otherwise required by law or subject to the terms of any series of preferred stock, special meetings of the stockholders may be called only by the chairperson of our board of directors, our Chief Executive Officer, our President or our board of directors acting pursuant to a resolution adopted by a majority of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Advance Notice Procedures for 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stockholders seeking to nominate candidates for election as directors at an annual or special meeting of stockholders or seeking to propose matters that can be acted upon by stockholders at annual stockholder meetings must provide timely notice thereof in writing. To be timely, a stockholder’s notice generally must be delivered to and received at our principal executive offices before notice of the meeting is issued by the secretary of the company, with such notice being served not less than 90 nor more than 120 days before the meeting. Although our amended and restated bylaws do not give the board of directors the power to approve or disapprove stockholder nominations of candidates to be elected at an annual meeting, our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any action to be taken by the stockholders must be effected at a duly called annual or special meeting of stockholders and may not be effected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Amending our Amended and Restated Certificate of Incorporation and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may be amended or altered in any manner provided by the DGCL, except that amendment of certain provisions would require the approval of two-thirds of the voting power of our then outstanding voting securities, voting together as a single class. Our amended and restated bylaws may be adopted, amended, altered or repealed by stockholders only upon approval of at least majority of the voting power of all the then outstanding shares of the common stock, except for any amendment of certain provisions, which would require the approval of at least two-thirds of the total voting power of our then outstanding voting securities, voting together as a single class. Additionally, our amended and restated certificate of incorporation provides that our bylaws may be amended, altered or repealed by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but unissued shares of common stock and preferred stock will be available for future issuances without stockholder approval, except as required by the listing standards of the Nasdaq Global Select Market,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Jurisdiction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Our amended and restated bylaws further provide that the federal district courts of the United States of America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We note that investors cannot waive compliance with the federal securities laws and the rules and regulations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Business Combinations with Interested Stockholders </w:t>
      </w:r>
    </w:p>
    <w:p>
      <w:pPr>
        <w:pStyle w:val="TextBody"/>
        <w:bidi w:val="0"/>
        <w:spacing w:before="120" w:after="0"/>
        <w:jc w:val="left"/>
        <w:rPr>
          <w:rFonts w:ascii="Times New Roman" w:hAnsi="Times New Roman"/>
          <w:sz w:val="20"/>
        </w:rPr>
      </w:pPr>
      <w:r>
        <w:rPr>
          <w:rFonts w:ascii="Times New Roman" w:hAnsi="Times New Roman"/>
          <w:sz w:val="20"/>
        </w:rPr>
        <w:t xml:space="preserve">We are governed by Section 203 of the DGCL,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Liability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on liability and indemnification provisions in our amended and restated certificate of incorporation and amended and restated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“PMVP.”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The transfer agent and registrar’s address is 55 Challenger Road, 2nd Floor, Ridgefield Park, NJ 07660. The transfer agent and registrar’s telephone number is (800) 937-5449.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95425_6a"/>
      <w:bookmarkEnd w:id="24"/>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to be identified in an accompanying prospectus supplement. We have summarized material provisions of the debt securities and select portions of the indenture below. The indenture will be qualified under the Trust Indenture Act of 1939, as amended, or the Trust Indenture Act. The summary is not complete. The form of the indenture has been filed as an exhibit to the registration statement of which this prospectus forms a part and you should read the indenture for provisions that may be important to you. Capitalized terms used in the summary and not defined herein have the meanings specified in the indenture. Unless the context requires otherwise, whenever we refer to an indenture, we are also referring to any supplemental indentures or forms of debt securities that specify the terms of a particular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offer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terms of the debt securities, including,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which may be sold at a discount below their stated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repurchase the debt securities pursuant to any sinking fund or analogous provisions or at the option of a holder of debt securities and the period or periods within which, the price or prices at which and the terms and conditions upon which securities of the series shall be repurchased,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relating to conversion or exchange of any debt securities of the series into our common stock or other securities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forms of the debt securities and whether the debt securities will be issued in the form of certificated debt securities or global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and, if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or premium or interest, if any, or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or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more than one trustee or a different trustee, the identity of the trustee and, if not the trustee, the identity of each security registrar, paying agent or authenticating agent with respect to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offer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titled “Global Debt Securities and Book-Entry System,” below, book-entry debt securities will not be issuable in certificated form.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Global Debt Securities and 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Each global debt security representing book-entry debt securities will be deposited with, or on behalf of, the depositary, and registered in the name of the depositary or a nominee of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or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provide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which we refer to as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us) is a corporation organized and validly existing under the laws of any U.S. domestic jurisdiction and expressly assumes our obligations on the debt securities and under the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(as defined below), shall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pPr>
      <w:r>
        <w:rPr/>
        <w:t>“</w:t>
      </w: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(except an Event of Default resulting from certain events of bankruptcy, insolvency, or reorganization as described below),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covenants in the indenture described above under the heading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Legal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provide that, unless otherwise provided by the terms of the applicable series of debt securities, we may be discharged from any and all obligations in respect of the debt securities of any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certain exceptions). We will be so discharged upon the irrevocable deposit with the trustee, in trust, of money and/or United States government obligations or, in the case of debt securities denominated in a single currency other than United States dollars, government obligations of the government that issued or caused to be issued such currency, that, through the payment of interest and principal in accordance with their terms, will provide money or United States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refer to this as covenant defeasance. 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United States government obligations or, in the case of debt securities denominated in a single currency other than United States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deposit will not result in a breach or violation of, or constitute a default under the indenture or any other agreement to which we are a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the applicable series of debt securities shall have occurred or is continuing on the date of such deposit;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income tax on the same amounts and in the same manner and at the same times as would have been the case if the deposit and related covenant defeasance had not occurred.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or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95425_7"/>
      <w:bookmarkEnd w:id="25"/>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offer warrants to purchase debt securities, preferred stock or common stock. We may offer warrants separately or together with one or more additional warrants, debt securities, preferred stock or common stock, or any combination of those securities in the form of units, as described in the applicable prospectus supplement and any free writing prospectus. If we issue warrants as part of a unit, the applicable prospectus supplement and any free writing prospectus will specify whether those warrants may be separated from the other securities in the unit prior to the expiration date of the warrants. The applicable prospectus supplement and any free writing prospectus will also describe the following terms of any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designation and aggregate number of, and the offering price at which we will issue,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are to be sold separately or with other securities as parts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for the warrants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equity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currency and terms of any debt securities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debt securities, preferred stock or common stock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any warrants issued as part of a unit and the related debt securities, preferred stock or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preferred stock or the number of shares of common stock purchasable upon exercise of a warrant and the price at which those shares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and other provisions for changes to or adjustment in the exercise price,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call provisions;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95425_8"/>
      <w:bookmarkEnd w:id="26"/>
      <w:r>
        <w:rPr>
          <w:rFonts w:ascii="Times New Roman" w:hAnsi="Times New Roman"/>
          <w:b/>
          <w:sz w:val="20"/>
        </w:rPr>
        <w:t xml:space="preserve">DESCRIPTION OF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may offer subscription rights to purchase our common stock, preferred stock, debt securities,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subscription rights we offer, if any, will, to the extent applicable, include specific terms relating to the offering, including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if any, for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payable for our common stock, preferred stock, debt securities, warrants or units consisting of some or all of these securities upon the exercise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subscription rights to be issued to each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terms of our common stock, preferred stock, debt securities, warrants or units consisting of some or all of these securities which may be purchased per each subscription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subscription rights are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subscription rights, including the terms, procedures and limitations relating to the exchange and exercise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subscription rights shall commence, and the date on which the subscription rights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subscription rights may include an over-subscription privilege with respect to unsubscribed securities or an over-allotment privilege to the extent the securities are fully subscribed;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material terms of any standby underwriting or purchase arrangement which may be entered into by us in connection with the offering of subscription rights. </w:t>
            </w:r>
          </w:p>
        </w:tc>
      </w:tr>
    </w:tbl>
    <w:p>
      <w:pPr>
        <w:pStyle w:val="TextBody"/>
        <w:bidi w:val="0"/>
        <w:spacing w:before="240" w:after="0"/>
        <w:jc w:val="left"/>
        <w:rPr>
          <w:rFonts w:ascii="Times New Roman" w:hAnsi="Times New Roman"/>
          <w:sz w:val="20"/>
        </w:rPr>
      </w:pPr>
      <w:r>
        <w:rPr>
          <w:rFonts w:ascii="Times New Roman" w:hAnsi="Times New Roman"/>
          <w:sz w:val="20"/>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95425_9"/>
      <w:bookmarkEnd w:id="27"/>
      <w:r>
        <w:rPr>
          <w:rFonts w:ascii="Times New Roman" w:hAnsi="Times New Roman"/>
          <w:b/>
          <w:sz w:val="20"/>
        </w:rPr>
        <w:t xml:space="preserve">DESCRIPTION OF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and any free writing prospectus.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and any free writing prospectus may differ from the terms we describe below, you should rely solely on information in the applicable prospectus supplement and any free writing prospectus if that applicable summary is different from the summary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and any free writing prospectus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may offer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purchase contracts, certain terms of that series of purchase contracts will be described in the applicable prospectus supplement, including, without limitation,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the securities or other property subject to the purchase contracts (which may be determined by reference to a specific formula described in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are issued separately, or as a part of units each consisting of a purchase contract and one or more of our other securities, including U.S. Treasury securities, securing the holder’s obligations under the purchase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requirement for us to make periodic payments to holders or vice versa, and whether the payments are unsecured or pre-funded;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obligate the holder or us to purchase or sell, or both purchase and sell, the securities subject to purchase under the purchase contract, and the nature and amount of each of those securities, or the method of determining those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are to be prepaid or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are to be settled by delivery, or by reference or linkage to the value, performance or level of the securities subject to purchase under the purchase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acceleration, cancellation, termination or other provisions relating to the settlement of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U.S. federal income tax considerations applicable to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will be issued in fully registered or global form;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purchase contracts and any securities subject to such purchase contracts.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95425_10"/>
      <w:bookmarkEnd w:id="28"/>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offer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particular issuance of units will describe the terms of those units, including, to the extent applicable,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units will be issued in fully registered or global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95425_11"/>
      <w:bookmarkEnd w:id="2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our securities from time to time in one or more transactions. We may sell securities to or through underwriters, dealers, agents, remarketing firms or other third parties directly to one or more purchasers or through a combination of any of these methods. We may issue the securities as a dividend or distribution or in a subscription rights offering to our existing securityholders, if legally permitted. In some cases, we or dealers acting with us or on behalf of us may also purchase our securities and reoffer them to the public. We may also offer and sell, or agree to deliver, our securities pursuant to, or in connection with, any option agreement or other contractual arrangement. </w:t>
      </w:r>
    </w:p>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engage in at the market offerings into an existing trading market in accordance with Rule 415(a)(4)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that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securities and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the securities of a particular series will describe the terms of the offering of the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agent or any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or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the agent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items constituting underwriting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exchanges on which the securities will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securities in respect of which the prospectus supplement is delivered, we will sell such securities to the dealer, as principal. The dealer may then resell such securities to the public at varying prices to be determined by such dealer at the time of resale.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before="240" w:after="0"/>
        <w:jc w:val="left"/>
        <w:rPr>
          <w:rFonts w:ascii="Times New Roman" w:hAnsi="Times New Roman"/>
          <w:sz w:val="20"/>
        </w:rPr>
      </w:pPr>
      <w:r>
        <w:rPr>
          <w:rFonts w:ascii="Times New Roman" w:hAnsi="Times New Roman"/>
          <w:sz w:val="20"/>
        </w:rPr>
        <w:t xml:space="preserve">Agents, underwriters, dealers and other persons may be entitled under agreements that they may enter into with us to indemnification by us against certain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by an institution of the securities covered under that contract shall not at the time of delivery be prohibited under the laws of the jurisdiction to which that institution is subject;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also being sold to underwriters acting as principals for their own account, the underwriters shall have purchased such securities not sold for delayed delivery.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and other persons acting as agents will not have any responsibility in respect of the validity or performance of delayed delivery contracts. </w:t>
      </w:r>
    </w:p>
    <w:p>
      <w:pPr>
        <w:pStyle w:val="TextBody"/>
        <w:bidi w:val="0"/>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95425_12"/>
      <w:bookmarkEnd w:id="3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hereby on behalf of PMV Pharmaceuticals, Inc. will be passed upon for us by Wilson Sonsini Goodrich &amp; Rosati, Professional Corporation, New York, New York. Certain members of, and investment partnerships comprised of members of, and persons associated with, Wilson Sonsini Goodrich &amp; Rosati, Professional Corporation own less than one percent of our common stock. Additional legal matters may be passed on for us, or any underwriters, dealers or agents by counsel we will name in the applicable prospectus supplement. </w:t>
      </w:r>
    </w:p>
    <w:p>
      <w:pPr>
        <w:pStyle w:val="TextBody"/>
        <w:bidi w:val="0"/>
        <w:spacing w:before="480" w:after="0"/>
        <w:jc w:val="center"/>
        <w:rPr>
          <w:rFonts w:ascii="Times New Roman" w:hAnsi="Times New Roman"/>
          <w:b/>
          <w:sz w:val="20"/>
        </w:rPr>
      </w:pPr>
      <w:bookmarkStart w:id="31" w:name="toc95425_13"/>
      <w:bookmarkEnd w:id="3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PMV Pharmaceuticals, Inc. appearing in PMV Pharmaceuticals, Inc.’s Annual Report (Form 10-K) for the year ended December 31, 2023,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 </w:t>
      </w:r>
    </w:p>
    <w:p>
      <w:pPr>
        <w:pStyle w:val="TextBody"/>
        <w:bidi w:val="0"/>
        <w:spacing w:before="480" w:after="0"/>
        <w:jc w:val="center"/>
        <w:rPr>
          <w:rFonts w:ascii="Times New Roman" w:hAnsi="Times New Roman"/>
          <w:b/>
          <w:sz w:val="20"/>
        </w:rPr>
      </w:pPr>
      <w:bookmarkStart w:id="32" w:name="toc95425_14"/>
      <w:bookmarkEnd w:id="3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https://www.pmvpharma.com/. Information contained on, or that can be accessible through, our website is not a part of this prospectus and the inclusion of our website address in this prospectus is an inactive textual reference only.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 </w:t>
      </w:r>
    </w:p>
    <w:p>
      <w:pPr>
        <w:pStyle w:val="TextBody"/>
        <w:bidi w:val="0"/>
        <w:spacing w:before="480" w:after="0"/>
        <w:jc w:val="center"/>
        <w:rPr>
          <w:rFonts w:ascii="Times New Roman" w:hAnsi="Times New Roman"/>
          <w:b/>
          <w:sz w:val="20"/>
        </w:rPr>
      </w:pPr>
      <w:bookmarkStart w:id="33" w:name="toc95425_15"/>
      <w:bookmarkEnd w:id="33"/>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rather than filed, including Items 2.02 or 7.01 of any Current Report on Form 8-K and, except as may be noted in any such Form 8-K, exhibits filed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form that are related to such information), until the offering of the securities under the registration statement of which this prospectus forms a part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2">
              <w:r>
                <w:rPr>
                  <w:rStyle w:val="InternetLink"/>
                  <w:rFonts w:ascii="Times New Roman" w:hAnsi="Times New Roman"/>
                  <w:sz w:val="20"/>
                </w:rPr>
                <w:t>Form 10-K</w:t>
              </w:r>
            </w:hyperlink>
            <w:r>
              <w:rPr>
                <w:rFonts w:ascii="Times New Roman" w:hAnsi="Times New Roman"/>
                <w:sz w:val="20"/>
              </w:rPr>
              <w:t xml:space="preserve"> for the year ended December 31, 2023, filed with the SEC on February 29,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w:t>
            </w:r>
            <w:hyperlink r:id="rId13">
              <w:r>
                <w:rPr>
                  <w:rStyle w:val="InternetLink"/>
                  <w:rFonts w:ascii="Times New Roman" w:hAnsi="Times New Roman"/>
                  <w:sz w:val="20"/>
                </w:rPr>
                <w:t>March 31, 2024</w:t>
              </w:r>
            </w:hyperlink>
            <w:r>
              <w:rPr>
                <w:rFonts w:ascii="Times New Roman" w:hAnsi="Times New Roman"/>
                <w:sz w:val="20"/>
              </w:rPr>
              <w:t xml:space="preserve">, filed with the SEC on May 9, 2024, </w:t>
            </w:r>
            <w:hyperlink r:id="rId14">
              <w:r>
                <w:rPr>
                  <w:rStyle w:val="InternetLink"/>
                  <w:rFonts w:ascii="Times New Roman" w:hAnsi="Times New Roman"/>
                  <w:sz w:val="20"/>
                </w:rPr>
                <w:t>June 30, 2024</w:t>
              </w:r>
            </w:hyperlink>
            <w:r>
              <w:rPr>
                <w:rFonts w:ascii="Times New Roman" w:hAnsi="Times New Roman"/>
                <w:sz w:val="20"/>
              </w:rPr>
              <w:t xml:space="preserve">, filed with the SEC on August 8, 2024 and </w:t>
            </w:r>
            <w:hyperlink r:id="rId15">
              <w:r>
                <w:rPr>
                  <w:rStyle w:val="InternetLink"/>
                  <w:rFonts w:ascii="Times New Roman" w:hAnsi="Times New Roman"/>
                  <w:sz w:val="20"/>
                </w:rPr>
                <w:t>September 30, 2024</w:t>
              </w:r>
            </w:hyperlink>
            <w:r>
              <w:rPr>
                <w:rFonts w:ascii="Times New Roman" w:hAnsi="Times New Roman"/>
                <w:sz w:val="20"/>
              </w:rPr>
              <w:t xml:space="preserve">, filed with the SEC on November 7,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6">
              <w:r>
                <w:rPr>
                  <w:rStyle w:val="InternetLink"/>
                  <w:rFonts w:ascii="Times New Roman" w:hAnsi="Times New Roman"/>
                  <w:sz w:val="20"/>
                </w:rPr>
                <w:t>January 5, 2024</w:t>
              </w:r>
            </w:hyperlink>
            <w:r>
              <w:rPr>
                <w:rFonts w:ascii="Times New Roman" w:hAnsi="Times New Roman"/>
                <w:sz w:val="20"/>
              </w:rPr>
              <w:t xml:space="preserve">, </w:t>
            </w:r>
            <w:hyperlink r:id="rId17">
              <w:r>
                <w:rPr>
                  <w:rStyle w:val="InternetLink"/>
                  <w:rFonts w:ascii="Times New Roman" w:hAnsi="Times New Roman"/>
                  <w:sz w:val="20"/>
                </w:rPr>
                <w:t>January  18, 2024</w:t>
              </w:r>
            </w:hyperlink>
            <w:r>
              <w:rPr>
                <w:rFonts w:ascii="Times New Roman" w:hAnsi="Times New Roman"/>
                <w:sz w:val="20"/>
              </w:rPr>
              <w:t xml:space="preserve">, </w:t>
            </w:r>
            <w:hyperlink r:id="rId18">
              <w:r>
                <w:rPr>
                  <w:rStyle w:val="InternetLink"/>
                  <w:rFonts w:ascii="Times New Roman" w:hAnsi="Times New Roman"/>
                  <w:sz w:val="20"/>
                </w:rPr>
                <w:t>June  7, 2024</w:t>
              </w:r>
            </w:hyperlink>
            <w:r>
              <w:rPr>
                <w:rFonts w:ascii="Times New Roman" w:hAnsi="Times New Roman"/>
                <w:sz w:val="20"/>
              </w:rPr>
              <w:t xml:space="preserve"> and </w:t>
            </w:r>
            <w:hyperlink r:id="rId19">
              <w:r>
                <w:rPr>
                  <w:rStyle w:val="InternetLink"/>
                  <w:rFonts w:ascii="Times New Roman" w:hAnsi="Times New Roman"/>
                  <w:sz w:val="20"/>
                </w:rPr>
                <w:t>August 8,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portions of our Definitive Proxy Statement on </w:t>
            </w:r>
            <w:hyperlink r:id="rId20">
              <w:r>
                <w:rPr>
                  <w:rStyle w:val="InternetLink"/>
                  <w:rFonts w:ascii="Times New Roman" w:hAnsi="Times New Roman"/>
                  <w:sz w:val="20"/>
                </w:rPr>
                <w:t>Schedule 14A</w:t>
              </w:r>
            </w:hyperlink>
            <w:r>
              <w:rPr>
                <w:rFonts w:ascii="Times New Roman" w:hAnsi="Times New Roman"/>
                <w:sz w:val="20"/>
              </w:rPr>
              <w:t xml:space="preserve"> (other than information furnished rather than filed) that are incorporated by reference into our Annual Report on Form 10-K for the year ended December 31, 2023, filed with the SEC on April 24,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the Registration Statement on </w:t>
            </w:r>
            <w:hyperlink r:id="rId21">
              <w:r>
                <w:rPr>
                  <w:rStyle w:val="InternetLink"/>
                  <w:rFonts w:ascii="Times New Roman" w:hAnsi="Times New Roman"/>
                  <w:sz w:val="20"/>
                </w:rPr>
                <w:t>Form 8-A</w:t>
              </w:r>
            </w:hyperlink>
            <w:r>
              <w:rPr>
                <w:rFonts w:ascii="Times New Roman" w:hAnsi="Times New Roman"/>
                <w:sz w:val="20"/>
              </w:rPr>
              <w:t xml:space="preserve"> relating thereto, filed on September  21, 2020, as updated by the description of our common stock contained in </w:t>
            </w:r>
            <w:hyperlink r:id="rId22">
              <w:r>
                <w:rPr>
                  <w:rStyle w:val="InternetLink"/>
                  <w:rFonts w:ascii="Times New Roman" w:hAnsi="Times New Roman"/>
                  <w:sz w:val="20"/>
                </w:rPr>
                <w:t>Exhibit 4.1</w:t>
              </w:r>
            </w:hyperlink>
            <w:r>
              <w:rPr>
                <w:rFonts w:ascii="Times New Roman" w:hAnsi="Times New Roman"/>
                <w:sz w:val="20"/>
              </w:rPr>
              <w:t xml:space="preserve"> to our Annual Report on Form 10-K for the fiscal year ended December 31, 2020, filed with the SEC on March 3, 2021,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PMV 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400 Alexander Park Drive, Suite 301 </w:t>
      </w:r>
    </w:p>
    <w:p>
      <w:pPr>
        <w:pStyle w:val="TextBody"/>
        <w:bidi w:val="0"/>
        <w:spacing w:before="0" w:after="0"/>
        <w:jc w:val="center"/>
        <w:rPr>
          <w:rFonts w:ascii="Times New Roman" w:hAnsi="Times New Roman"/>
          <w:sz w:val="20"/>
        </w:rPr>
      </w:pPr>
      <w:r>
        <w:rPr>
          <w:rFonts w:ascii="Times New Roman" w:hAnsi="Times New Roman"/>
          <w:sz w:val="20"/>
        </w:rPr>
        <w:t xml:space="preserve">Princeton, New Jersey 08540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(609) 642-6670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807335" cy="5156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3"/>
                    <a:stretch>
                      <a:fillRect/>
                    </a:stretch>
                  </pic:blipFill>
                  <pic:spPr bwMode="auto">
                    <a:xfrm>
                      <a:off x="0" y="0"/>
                      <a:ext cx="2807335" cy="5156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Shares of 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Pre-Funded Warrants to Purchase up to    Shares of 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Warrants to Purchase up to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0" w:after="0"/>
        <w:jc w:val="center"/>
        <w:rPr>
          <w:rFonts w:ascii="Times New Roman" w:hAnsi="Times New Roman"/>
          <w:b/>
          <w:i/>
          <w:sz w:val="24"/>
        </w:rPr>
      </w:pPr>
      <w:r>
        <w:rPr>
          <w:rFonts w:ascii="Times New Roman" w:hAnsi="Times New Roman"/>
          <w:b/>
          <w:i/>
          <w:sz w:val="24"/>
        </w:rPr>
        <w:t xml:space="preserve">Sole Book-Running Manager </w:t>
      </w:r>
    </w:p>
    <w:p>
      <w:pPr>
        <w:pStyle w:val="TextBody"/>
        <w:bidi w:val="0"/>
        <w:spacing w:before="240" w:after="0"/>
        <w:jc w:val="center"/>
        <w:rPr>
          <w:rFonts w:ascii="Times New Roman" w:hAnsi="Times New Roman"/>
          <w:b/>
          <w:sz w:val="28"/>
        </w:rPr>
      </w:pPr>
      <w:r>
        <w:rPr>
          <w:rFonts w:ascii="Times New Roman" w:hAnsi="Times New Roman"/>
          <w:b/>
          <w:sz w:val="28"/>
        </w:rPr>
        <w:t xml:space="preserve">TD Cowen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699382/000119312526095014/pmvp-20251231.htm" TargetMode="External"/><Relationship Id="rId4" Type="http://schemas.openxmlformats.org/officeDocument/2006/relationships/hyperlink" Target="http://www.sec.gov/Archives/edgar/data/../../../ix?doc=/Archives/edgar/data/1699382/000114036126016038/ny20064070x1_def14a.htm" TargetMode="External"/><Relationship Id="rId5" Type="http://schemas.openxmlformats.org/officeDocument/2006/relationships/hyperlink" Target="http://www.sec.gov/Archives/edgar/data/../../../ix?doc=/Archives/edgar/data/0001699382/000119312526218227/pmvp-20260331.htm" TargetMode="External"/><Relationship Id="rId6" Type="http://schemas.openxmlformats.org/officeDocument/2006/relationships/hyperlink" Target="http://www.sec.gov/Archives/edgar/data/../../../ix?doc=/Archives/edgar/data/0001699382/000119312526350448/pmvp-20260630.htm" TargetMode="External"/><Relationship Id="rId7" Type="http://schemas.openxmlformats.org/officeDocument/2006/relationships/hyperlink" Target="http://www.sec.gov/Archives/edgar/data/../../../ix?doc=/Archives/edgar/data/0001699382/000119312526258466/d94814d8k.htm" TargetMode="External"/><Relationship Id="rId8" Type="http://schemas.openxmlformats.org/officeDocument/2006/relationships/hyperlink" Target="http://www.sec.gov/Archives/edgar/data/../../../ix?doc=/Archives/edgar/data/0001699382/000119312526376723/d441751d8k.htm" TargetMode="External"/><Relationship Id="rId9" Type="http://schemas.openxmlformats.org/officeDocument/2006/relationships/hyperlink" Target="http://www.sec.gov/Archives/edgar/data/1699382/000119312520250157/d14856d8a12b.htm" TargetMode="External"/><Relationship Id="rId10" Type="http://schemas.openxmlformats.org/officeDocument/2006/relationships/hyperlink" Target="http://www.sec.gov/Archives/edgar/data/1699382/000156459021010578/pmvp-ex41_260.htm" TargetMode="External"/><Relationship Id="rId11" Type="http://schemas.openxmlformats.org/officeDocument/2006/relationships/image" Target="media/image2.jpeg"/><Relationship Id="rId12" Type="http://schemas.openxmlformats.org/officeDocument/2006/relationships/hyperlink" Target="http://www.sec.gov/Archives/edgar/data/../../../ix?doc=/Archives/edgar/data/1699382/000095017024023062/pmvp-20231231.htm" TargetMode="External"/><Relationship Id="rId13" Type="http://schemas.openxmlformats.org/officeDocument/2006/relationships/hyperlink" Target="http://www.sec.gov/Archives/edgar/data/../../../ix?doc=/Archives/edgar/data/1699382/000095017024056295/pmvp-20240331.htm" TargetMode="External"/><Relationship Id="rId14" Type="http://schemas.openxmlformats.org/officeDocument/2006/relationships/hyperlink" Target="http://www.sec.gov/Archives/edgar/data/../../../ix?doc=/Archives/edgar/data/1699382/000095017024093343/pmvp-20240630.htm" TargetMode="External"/><Relationship Id="rId15" Type="http://schemas.openxmlformats.org/officeDocument/2006/relationships/hyperlink" Target="http://www.sec.gov/Archives/edgar/data/../../../ix?doc=/Archives/edgar/data/1699382/000095017024122817/pmvp-20240930.htm" TargetMode="External"/><Relationship Id="rId16" Type="http://schemas.openxmlformats.org/officeDocument/2006/relationships/hyperlink" Target="http://www.sec.gov/Archives/edgar/data/../../../ix?doc=/Archives/edgar/data/1699382/000119312524003348/d104934d8k.htm" TargetMode="External"/><Relationship Id="rId17" Type="http://schemas.openxmlformats.org/officeDocument/2006/relationships/hyperlink" Target="http://www.sec.gov/Archives/edgar/data/../../../ix?doc=/Archives/edgar/data/1699382/000119312524010177/d695291d8k.htm" TargetMode="External"/><Relationship Id="rId18" Type="http://schemas.openxmlformats.org/officeDocument/2006/relationships/hyperlink" Target="http://www.sec.gov/Archives/edgar/data/../../../ix?doc=/Archives/edgar/data/1699382/000119312524156745/d850099d8k.htm" TargetMode="External"/><Relationship Id="rId19" Type="http://schemas.openxmlformats.org/officeDocument/2006/relationships/hyperlink" Target="http://www.sec.gov/Archives/edgar/data/../../../ix?doc=/Archives/edgar/data/1699382/000095017024093345/pmvp-20240805.htm" TargetMode="External"/><Relationship Id="rId20" Type="http://schemas.openxmlformats.org/officeDocument/2006/relationships/hyperlink" Target="http://www.sec.gov/Archives/edgar/data/1699382/000114036124021596/ny20019030x1_def14a.htm" TargetMode="External"/><Relationship Id="rId21" Type="http://schemas.openxmlformats.org/officeDocument/2006/relationships/hyperlink" Target="http://www.sec.gov/Archives/edgar/data/1699382/000119312520250157/d14856d8a12b.htm" TargetMode="External"/><Relationship Id="rId22" Type="http://schemas.openxmlformats.org/officeDocument/2006/relationships/hyperlink" Target="http://www.sec.gov/Archives/edgar/data/1699382/000156459021010578/pmvp-ex41_260.htm" TargetMode="External"/><Relationship Id="rId23" Type="http://schemas.openxmlformats.org/officeDocument/2006/relationships/image" Target="media/image1.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72</Pages>
  <Words>38418</Words>
  <Characters>201890</Characters>
  <CharactersWithSpaces>241262</CharactersWithSpaces>
  <Paragraphs>2121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