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
          <w:szCs w:val="4"/>
          <w:color w:val="auto"/>
        </w:rPr>
        <w:t>!</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32"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fiscal year ended December 31, 2021</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36" w:lineRule="exact"/>
        <w:rPr>
          <w:rFonts w:ascii="MS PGothic" w:cs="MS PGothic" w:eastAsia="MS PGothic" w:hAnsi="MS PGothic"/>
          <w:sz w:val="16"/>
          <w:szCs w:val="16"/>
          <w:color w:val="auto"/>
          <w:highlight w:val="black"/>
        </w:rPr>
      </w:pPr>
    </w:p>
    <w:p>
      <w:pPr>
        <w:ind w:left="4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PMV PHARMACEUTICALS,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4"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46-3218129</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268"/>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3"/>
              </w:rPr>
              <w:t>8 Clarke Drive, Suite 3</w:t>
            </w:r>
          </w:p>
        </w:tc>
        <w:tc>
          <w:tcPr>
            <w:tcW w:w="3020" w:type="dxa"/>
            <w:vAlign w:val="bottom"/>
          </w:tcPr>
          <w:p>
            <w:pPr>
              <w:spacing w:after="0"/>
              <w:rPr>
                <w:sz w:val="23"/>
                <w:szCs w:val="23"/>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5"/>
              </w:rPr>
              <w:t>Cranbury, NJ</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08512</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Common stock, par value $0.00001</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PMVP</w:t>
            </w:r>
          </w:p>
        </w:tc>
        <w:tc>
          <w:tcPr>
            <w:tcW w:w="100" w:type="dxa"/>
            <w:vAlign w:val="bottom"/>
          </w:tcPr>
          <w:p>
            <w:pPr>
              <w:spacing w:after="0"/>
              <w:rPr>
                <w:sz w:val="16"/>
                <w:szCs w:val="16"/>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The Nasdaq Global Select Market</w:t>
            </w:r>
          </w:p>
        </w:tc>
        <w:tc>
          <w:tcPr>
            <w:tcW w:w="0" w:type="dxa"/>
            <w:vAlign w:val="bottom"/>
          </w:tcPr>
          <w:p>
            <w:pPr>
              <w:spacing w:after="0"/>
              <w:rPr>
                <w:sz w:val="1"/>
                <w:szCs w:val="1"/>
                <w:color w:val="auto"/>
              </w:rPr>
            </w:pPr>
          </w:p>
        </w:tc>
      </w:tr>
    </w:tbl>
    <w:p>
      <w:pPr>
        <w:spacing w:after="0" w:line="4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26" w:lineRule="exact"/>
        <w:rPr>
          <w:sz w:val="24"/>
          <w:szCs w:val="24"/>
          <w:color w:val="auto"/>
        </w:rPr>
      </w:pPr>
    </w:p>
    <w:p>
      <w:pPr>
        <w:ind w:right="3060"/>
        <w:spacing w:after="0" w:line="22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80"/>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8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8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8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37"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7" w:lineRule="exact"/>
        <w:rPr>
          <w:sz w:val="24"/>
          <w:szCs w:val="24"/>
          <w:color w:val="auto"/>
        </w:rPr>
      </w:pPr>
    </w:p>
    <w:p>
      <w:pPr>
        <w:ind w:right="300"/>
        <w:spacing w:after="0" w:line="25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Stock Market on June 30, 2021 (the last business day of the Registrant’s most recently completed second fiscal quarter), was $1,229,389,330. Shares of the Registrant's common stock held by each executive officer, director and holder of 10% or more of the outstanding common stock have been excluded because such persons may be deemed affiliates. This calculation does not reflect a determination that certain persons are affiliates of the Registrant for any other purpose.</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25, 2022 was 45,450,699.</w:t>
      </w:r>
    </w:p>
    <w:p>
      <w:pPr>
        <w:spacing w:after="0" w:line="22" w:lineRule="exact"/>
        <w:rPr>
          <w:sz w:val="24"/>
          <w:szCs w:val="24"/>
          <w:color w:val="auto"/>
        </w:rPr>
      </w:pPr>
    </w:p>
    <w:p>
      <w:pPr>
        <w:ind w:left="3960"/>
        <w:spacing w:after="0"/>
        <w:rPr>
          <w:sz w:val="20"/>
          <w:szCs w:val="20"/>
          <w:color w:val="auto"/>
        </w:rPr>
      </w:pPr>
      <w:r>
        <w:rPr>
          <w:rFonts w:ascii="Arial" w:cs="Arial" w:eastAsia="Arial" w:hAnsi="Arial"/>
          <w:sz w:val="15"/>
          <w:szCs w:val="15"/>
          <w:color w:val="auto"/>
        </w:rPr>
        <w:t>DOCUMENTS INCORPORATED BY REFERENCE</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definitive Proxy Statement relating to the 2022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660" w:type="dxa"/>
            <w:vAlign w:val="bottom"/>
            <w:gridSpan w:val="18"/>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1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Properties</w:t>
              </w:r>
            </w:hyperlink>
          </w:p>
        </w:tc>
        <w:tc>
          <w:tcPr>
            <w:tcW w:w="72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1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19"/>
          </w:tcPr>
          <w:p>
            <w:pPr>
              <w:spacing w:after="0" w:line="190" w:lineRule="exact"/>
              <w:rPr>
                <w:rFonts w:ascii="Arial" w:cs="Arial" w:eastAsia="Arial" w:hAnsi="Arial"/>
                <w:sz w:val="18"/>
                <w:szCs w:val="18"/>
                <w:color w:val="0000EE"/>
              </w:rPr>
            </w:pPr>
            <w:hyperlink w:anchor="page109">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8"/>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Reserved</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20">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19"/>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19"/>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6"/>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Controls and Procedures</w:t>
              </w:r>
            </w:hyperlink>
          </w:p>
        </w:tc>
        <w:tc>
          <w:tcPr>
            <w:tcW w:w="2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9C.</w:t>
            </w:r>
          </w:p>
        </w:tc>
        <w:tc>
          <w:tcPr>
            <w:tcW w:w="9300" w:type="dxa"/>
            <w:vAlign w:val="bottom"/>
            <w:gridSpan w:val="19"/>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Disclosure Regarding Foreign Jurisdiction that Prevent Inspections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19"/>
          </w:tcPr>
          <w:p>
            <w:pPr>
              <w:spacing w:after="0" w:line="190" w:lineRule="exact"/>
              <w:rPr>
                <w:rFonts w:ascii="Arial" w:cs="Arial" w:eastAsia="Arial" w:hAnsi="Arial"/>
                <w:sz w:val="18"/>
                <w:szCs w:val="18"/>
                <w:color w:val="0000EE"/>
              </w:rPr>
            </w:pPr>
            <w:hyperlink w:anchor="page151">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19"/>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Exhibits, Financial Statement Schedules</w:t>
              </w:r>
            </w:hyperlink>
          </w:p>
        </w:tc>
        <w:tc>
          <w:tcPr>
            <w:tcW w:w="6400" w:type="dxa"/>
            <w:vAlign w:val="bottom"/>
            <w:gridSpan w:val="1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w:t>
      </w:r>
    </w:p>
    <w:p>
      <w:pPr>
        <w:spacing w:after="0" w:line="192"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“plans”, “anticipate”, “could”, “intend”, “target”, “project”, “contemplate”, “believe”, “estimate”, “predict”, “potential” or “continue” or the negative of these terms or other similar expressions. Forward-looking statements contained in this Annual Report include, but are not limited to, statements about:</w:t>
      </w:r>
    </w:p>
    <w:p>
      <w:pPr>
        <w:spacing w:after="0" w:line="57" w:lineRule="exact"/>
        <w:rPr>
          <w:sz w:val="20"/>
          <w:szCs w:val="20"/>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when needed, including funding necessary to complete further development and commercialization of our product candidates, if approved;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for each of our programs including patients expected to have certain p53 mutations and the number of patients that will enroll in our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ind w:left="116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rely on third parties to conduct and support preclinical and clinical development;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 and</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ongoing coronavirus disease 2019, or COVID-19, pandemic or other related disruptions on our business</w:t>
      </w:r>
    </w:p>
    <w:p>
      <w:pPr>
        <w:spacing w:after="0" w:line="225"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“Item 1A.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certain cancers where wild-type p53 function is silenced.</w:t>
      </w:r>
    </w:p>
    <w:p>
      <w:pPr>
        <w:spacing w:after="0" w:line="19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w:t>
      </w:r>
    </w:p>
    <w:p>
      <w:pPr>
        <w:ind w:right="40"/>
        <w:spacing w:after="0" w:line="286" w:lineRule="auto"/>
        <w:rPr>
          <w:sz w:val="20"/>
          <w:szCs w:val="20"/>
          <w:color w:val="auto"/>
        </w:rPr>
      </w:pPr>
      <w:r>
        <w:rPr>
          <w:rFonts w:ascii="Arial" w:cs="Arial" w:eastAsia="Arial" w:hAnsi="Arial"/>
          <w:sz w:val="16"/>
          <w:szCs w:val="16"/>
          <w:color w:val="auto"/>
        </w:rPr>
        <w:t>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initiated a Phase 1/2 clinical trial in October 2020. Our strategy is to seek approval under an accelerated pathway, and we believe our Phase 1/2 clinical trial has the potential to serve as a pivotal study. In October 2020, we were granted U.S. Food and Drug Administration, or FDA, Fast Track designation of PC14586 for the treatment of patients with locally advanced or metastatic solid tumors that have a p53 Y220C mutation. We cannot guarantee that the FDA will agree with this strategy of utilizing the Phase 1/2 clinical trial as a pivotal study, which could require us to conduct additional clinical trials prior to seeking FDA approval. In addition, we are leveraging our precision oncology platform to develop a pipeline of oral small molecule product candidates that structurally correct other p53 hotspot mutations to restore their wild-type function and product candidates that target certain cancers where wild-type p53 function is silenced.</w:t>
      </w:r>
    </w:p>
    <w:p>
      <w:pPr>
        <w:spacing w:after="0" w:line="172"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17" w:lineRule="exact"/>
        <w:rPr>
          <w:sz w:val="20"/>
          <w:szCs w:val="20"/>
          <w:color w:val="auto"/>
        </w:rPr>
      </w:pPr>
    </w:p>
    <w:p>
      <w:pPr>
        <w:ind w:left="1160" w:right="24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drugging individual mutations as well as targeting certain cancers where wild-type p53 function is silenced;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design on a structural basis selective, oral small molecule product candidates; and</w:t>
      </w:r>
    </w:p>
    <w:p>
      <w:pPr>
        <w:spacing w:after="0" w:line="117"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orally available selective small molecule drug product candidates for specific p53 mutants, and for inhibitors of wild-type p53 function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PC14586 and Pipeline</w:t>
      </w:r>
    </w:p>
    <w:p>
      <w:pPr>
        <w:spacing w:after="0" w:line="229"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In addition, we are expanding the utilization of our platform to target certain cancers where wild-type p53 function is silenced.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160655</wp:posOffset>
            </wp:positionV>
            <wp:extent cx="5203190" cy="3188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031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60" w:hanging="572"/>
        <w:spacing w:after="0"/>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Discovery, we screen compounds against biological assays to identify lead compounds with selective activity to our specific mutant or wild-type p53 target of interest.</w:t>
      </w:r>
    </w:p>
    <w:p>
      <w:pPr>
        <w:spacing w:after="0" w:line="107" w:lineRule="exact"/>
        <w:rPr>
          <w:rFonts w:ascii="Arial" w:cs="Arial" w:eastAsia="Arial" w:hAnsi="Arial"/>
          <w:sz w:val="13"/>
          <w:szCs w:val="13"/>
          <w:color w:val="auto"/>
        </w:rPr>
      </w:pPr>
    </w:p>
    <w:p>
      <w:pPr>
        <w:ind w:left="1160" w:right="60" w:hanging="572"/>
        <w:spacing w:after="0" w:line="253" w:lineRule="auto"/>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65" w:lineRule="exact"/>
        <w:rPr>
          <w:rFonts w:ascii="Arial" w:cs="Arial" w:eastAsia="Arial" w:hAnsi="Arial"/>
          <w:sz w:val="14"/>
          <w:szCs w:val="14"/>
          <w:color w:val="auto"/>
        </w:rPr>
      </w:pPr>
    </w:p>
    <w:p>
      <w:pPr>
        <w:ind w:left="1160" w:hanging="572"/>
        <w:spacing w:after="0"/>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IND-Enabling Studies, we conduct preclinical studies, in accordance with Good Laboratory Practice, or GLP, required for an IND submission to the FDA.</w:t>
      </w:r>
    </w:p>
    <w:p>
      <w:pPr>
        <w:spacing w:after="0" w:line="208"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FDA, and we are not aware of any other products in clinical development, that selectively target the p53 Y220C mutation.</w:t>
      </w:r>
    </w:p>
    <w:p>
      <w:pPr>
        <w:spacing w:after="0" w:line="17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Arial" w:cs="Arial" w:eastAsia="Arial" w:hAnsi="Arial"/>
          <w:sz w:val="16"/>
          <w:szCs w:val="16"/>
          <w:i w:val="1"/>
          <w:iCs w:val="1"/>
          <w:color w:val="auto"/>
        </w:rPr>
        <w:t>i.e.</w:t>
      </w:r>
      <w:r>
        <w:rPr>
          <w:rFonts w:ascii="Arial" w:cs="Arial" w:eastAsia="Arial" w:hAnsi="Arial"/>
          <w:sz w:val="16"/>
          <w:szCs w:val="16"/>
          <w:color w:val="auto"/>
        </w:rPr>
        <w:t>, primarily functions in cells with the p53 Y220C mutation) and exhibited robust anti-tumor activity evidenced by potent tumor growth inhibition, or TGI, and strong tumor regression as a single agent. In these studies, PC14586 also induced the expression of Macrophage Inhibitory Cytokine-1, or MIC-1, which is an established biomarker for wild-type p53 activity that can be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right="160"/>
        <w:spacing w:after="0" w:line="277" w:lineRule="auto"/>
        <w:rPr>
          <w:sz w:val="20"/>
          <w:szCs w:val="20"/>
          <w:color w:val="auto"/>
        </w:rPr>
      </w:pPr>
      <w:r>
        <w:rPr>
          <w:rFonts w:ascii="Arial" w:cs="Arial" w:eastAsia="Arial" w:hAnsi="Arial"/>
          <w:sz w:val="18"/>
          <w:szCs w:val="18"/>
          <w:color w:val="auto"/>
        </w:rPr>
        <w:t>measured non-invasively in the blood in animal models as well as in humans. Further, preclinical studies have demonstrated significant synergistic effects in combination with anti-PD-1 therapy.</w:t>
      </w:r>
    </w:p>
    <w:p>
      <w:pPr>
        <w:spacing w:after="0" w:line="170"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We initiated a Phase 1/2 clinical trial for PC14586 in October 2020. In addition, we were granted FDA Fast Track designation of PC14586 for the treatment of patients with locally advanced or metastatic solid tumors that have a p53 Y220C mutation in October 2020. We dosed our first patient in this clinical trial in the fourth quarter of 2020. The Phase 1 portion of the trial is designed to evaluate escalating doses of PC14586 to determine the maximum tolerated dose, or MTD, and recommended Phase 2 dose of PC14586 when administered orally to patients. Safety, tolerability and effects on biomarkers such as MIC-1 will also be assessed. The Phase 1 portion is also designed to assess preliminary anti-tumor efficacy in patients with advanced solid tumors that have the p53 Y220C mutation. In the Phase 2 portion, we plan to evaluate the objective response rate, or ORR, and duration of response, or DoR, in patients with advanced solid tumors that have the p53 Y220C mutation. We initially intend to pursue an accelerated approval on the basis of this Phase 1/2 clinical trial for a tumor-agnostic indication for PC14586, subject to discussions with FDA and other health authorities.</w:t>
      </w:r>
    </w:p>
    <w:p>
      <w:pPr>
        <w:spacing w:after="0" w:line="16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We believe the mechanism of action employed by PC14586 to structurally correct a specific p53 mutant and restore wild-type p53 activity could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188" w:lineRule="exact"/>
        <w:rPr>
          <w:sz w:val="20"/>
          <w:szCs w:val="20"/>
          <w:color w:val="auto"/>
        </w:rPr>
      </w:pPr>
    </w:p>
    <w:p>
      <w:pPr>
        <w:ind w:right="280" w:firstLine="589"/>
        <w:spacing w:after="0" w:line="279" w:lineRule="auto"/>
        <w:rPr>
          <w:sz w:val="20"/>
          <w:szCs w:val="20"/>
          <w:color w:val="auto"/>
        </w:rPr>
      </w:pPr>
      <w:r>
        <w:rPr>
          <w:rFonts w:ascii="Arial" w:cs="Arial" w:eastAsia="Arial" w:hAnsi="Arial"/>
          <w:sz w:val="17"/>
          <w:szCs w:val="17"/>
          <w:color w:val="auto"/>
        </w:rPr>
        <w:t>In addition to targeting p53 hotspot mutants, we believe that our expertise and platform can also be applied to target certain cancers where wild-type p53 function is silenced. We are deploying our deep understanding of structure-based small molecule design, assays, screens, preclinical model systems and biomarkers to create a pipeline of therapeutics in this field. We believe that we can continue to scale our platform to develop novel therapeutics that structurally correct mutant p53 or modulate wild-type p53 function where it is silenced.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Our vision is to become a leading precision oncology company by designing, developing and commercializing novel precision medicines for every patient with a p53-driven tumor.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37" w:lineRule="exact"/>
        <w:rPr>
          <w:sz w:val="20"/>
          <w:szCs w:val="20"/>
          <w:color w:val="auto"/>
        </w:rPr>
      </w:pPr>
    </w:p>
    <w:p>
      <w:pPr>
        <w:ind w:left="1160" w:hanging="572"/>
        <w:spacing w:after="0" w:line="289"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Advancing our lead product candidate, PC14586, as a tumor-agnostic, oral small molecule single-agent therapy for cancer patients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designed PC14586 to be an orally available, tumor-agnostic therapeutic and, if approved, we believe it could become the first agent to address the p53 Y220C mutation-defined patient population. In October 2020, we initiated a Phase 1/2 clinical trial for PC14586 in multiple solid tumors with the p53 Y220C mutation. We plan to conduct our clinical trials in this genetically-defined patient population and leverage learnings from recently approved tumor-agnostic drugs to inform the clinical and regulatory pathways for PC14586. If successful in achieving clinically meaningful anti-tumor efficacy in patients with p53 Y220C mutations across a range of solid tumor types, we plan to meet with regulatory authorities to discuss the potential to pursue approval for a tumor-agnostic label under the FDA’s accelerated approval pathway. In addition to the recent Fast Track designation by the FDA, we also plan to explore pursuing other expedited regulatory pathways, such as breakthrough therapy designation and orphan drug designation for PC14586.</w:t>
      </w:r>
    </w:p>
    <w:p>
      <w:pPr>
        <w:spacing w:after="0" w:line="58" w:lineRule="exact"/>
        <w:rPr>
          <w:rFonts w:ascii="Arial" w:cs="Arial" w:eastAsia="Arial" w:hAnsi="Arial"/>
          <w:sz w:val="16"/>
          <w:szCs w:val="16"/>
          <w:color w:val="auto"/>
        </w:rPr>
      </w:pPr>
    </w:p>
    <w:p>
      <w:pPr>
        <w:ind w:left="1160" w:right="60" w:hanging="572"/>
        <w:spacing w:after="0" w:line="294"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Harnessing the power of our precision oncology platform to discover and develop additional differentiated product candidates that are designed to precisely target p53 mutant protein and inhibitors of wild-type p53 in cancer</w:t>
      </w:r>
      <w:r>
        <w:rPr>
          <w:rFonts w:ascii="Arial" w:cs="Arial" w:eastAsia="Arial" w:hAnsi="Arial"/>
          <w:sz w:val="16"/>
          <w:szCs w:val="16"/>
          <w:color w:val="auto"/>
        </w:rPr>
        <w:t>. We believe that the general principles</w:t>
      </w:r>
      <w:r>
        <w:rPr>
          <w:rFonts w:ascii="Arial" w:cs="Arial" w:eastAsia="Arial" w:hAnsi="Arial"/>
          <w:sz w:val="16"/>
          <w:szCs w:val="16"/>
          <w:b w:val="1"/>
          <w:bCs w:val="1"/>
          <w:color w:val="auto"/>
        </w:rPr>
        <w:t xml:space="preserve"> </w:t>
      </w:r>
      <w:r>
        <w:rPr>
          <w:rFonts w:ascii="Arial" w:cs="Arial" w:eastAsia="Arial" w:hAnsi="Arial"/>
          <w:sz w:val="16"/>
          <w:szCs w:val="16"/>
          <w:color w:val="auto"/>
        </w:rPr>
        <w:t>for our PC14586 Y220C program can be applied 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and certain cancers where wild-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left="1160" w:right="20"/>
        <w:spacing w:after="0" w:line="257" w:lineRule="auto"/>
        <w:rPr>
          <w:sz w:val="20"/>
          <w:szCs w:val="20"/>
          <w:color w:val="auto"/>
        </w:rPr>
      </w:pPr>
      <w:r>
        <w:rPr>
          <w:rFonts w:ascii="Arial" w:cs="Arial" w:eastAsia="Arial" w:hAnsi="Arial"/>
          <w:sz w:val="18"/>
          <w:szCs w:val="18"/>
          <w:color w:val="auto"/>
        </w:rPr>
        <w:t>type p53 function is silenced. In an ongoing effort to bring forward new product candidates, we plan to continue to invest in our precision oncology platform, including our high-throughput screens that allow for quantitative visualization of the conversion from mutant to wild-type p53 in a dose-dependent manner. We also apply our oncology platform in developing product candidates that target inhibitors of wild-type p53. One example of such a program is wild-type p53 induced phosphatase, or WIP1, which we have advanced into the lead optimization stage of development.</w:t>
      </w:r>
    </w:p>
    <w:p>
      <w:pPr>
        <w:spacing w:after="0" w:line="76" w:lineRule="exact"/>
        <w:rPr>
          <w:sz w:val="20"/>
          <w:szCs w:val="20"/>
          <w:color w:val="auto"/>
        </w:rPr>
      </w:pPr>
    </w:p>
    <w:p>
      <w:pPr>
        <w:ind w:left="1160" w:right="80" w:hanging="572"/>
        <w:spacing w:after="0" w:line="289"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Leveraging the advantages of precision medicine and our expertise in p53 biology to pursue accelerated approval of our product candidates</w:t>
      </w:r>
      <w:r>
        <w:rPr>
          <w:rFonts w:ascii="Arial" w:cs="Arial" w:eastAsia="Arial" w:hAnsi="Arial"/>
          <w:sz w:val="16"/>
          <w:szCs w:val="16"/>
          <w:color w:val="auto"/>
        </w:rPr>
        <w:t>. For our lead product candidate, PC14586, we are actively working with physicians and leading academic centers to enroll</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with the p53 Y220C mutation identified through NGS in our Phase 1/2 clinical trial. In order to rapidly confirm mechanistic and clinical proof of concept, we utilize assays to measure target engagement and biomarkers, as well as assess clinical responses in patients. We expect this strategy, which we also plan to replicate for our other future product candidates, will enable a rapid determination of target engagement and has potential to serve as a predictive marker of efficacy, thereby providing clear decision points for clinical development and efficient advancement of our product candidates towards approval. If we obtain early and encouraging clinical results, we may seek breakthrough therapy designation from the FDA, which, if granted, is intended to expedite clinical development and regulatory review. We intend to maximize the benefit of our product candidates by pursuing a tumor-agnostic approach.</w:t>
      </w:r>
    </w:p>
    <w:p>
      <w:pPr>
        <w:spacing w:after="0" w:line="58" w:lineRule="exact"/>
        <w:rPr>
          <w:rFonts w:ascii="Arial" w:cs="Arial" w:eastAsia="Arial" w:hAnsi="Arial"/>
          <w:sz w:val="16"/>
          <w:szCs w:val="16"/>
          <w:color w:val="auto"/>
        </w:rPr>
      </w:pPr>
    </w:p>
    <w:p>
      <w:pPr>
        <w:ind w:left="1160" w:hanging="572"/>
        <w:spacing w:after="0" w:line="254"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Identifying and exploring combination therapy approaches for our product candidates</w:t>
      </w:r>
      <w:r>
        <w:rPr>
          <w:rFonts w:ascii="Arial" w:cs="Arial" w:eastAsia="Arial" w:hAnsi="Arial"/>
          <w:sz w:val="18"/>
          <w:szCs w:val="18"/>
          <w:color w:val="auto"/>
        </w:rPr>
        <w:t>. Though PC14586 has demonstrated clear and</w:t>
      </w:r>
      <w:r>
        <w:rPr>
          <w:rFonts w:ascii="Arial" w:cs="Arial" w:eastAsia="Arial" w:hAnsi="Arial"/>
          <w:sz w:val="18"/>
          <w:szCs w:val="18"/>
          <w:b w:val="1"/>
          <w:bCs w:val="1"/>
          <w:color w:val="auto"/>
        </w:rPr>
        <w:t xml:space="preserve"> </w:t>
      </w:r>
      <w:r>
        <w:rPr>
          <w:rFonts w:ascii="Arial" w:cs="Arial" w:eastAsia="Arial" w:hAnsi="Arial"/>
          <w:sz w:val="18"/>
          <w:szCs w:val="18"/>
          <w:color w:val="auto"/>
        </w:rPr>
        <w:t>robust tumor regression as a single agent in preclinical animal models,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deoxyribonucleic acid, or DNA, damage and upregulate p53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History and Team</w:t>
      </w:r>
    </w:p>
    <w:p>
      <w:pPr>
        <w:spacing w:after="0" w:line="229"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believe we have established a leadership position in the discovery and development of oral small molecule therapies targeting mutant p53. Founded in 2013 by David Mack, Ph.D., Arnold Levine, Ph.D. and Thomas Shenk, Ph.D.,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w:t>
      </w:r>
    </w:p>
    <w:p>
      <w:pPr>
        <w:spacing w:after="0" w:line="18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We have assembled a team with significant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Leila Alland, M.D., our Chief Medical Officer, is an oncologist with 20 years of experience developing oncology products in the biopharmaceutical industry, most recently as Chief Medical Officer of Affimed. Deepika Jalota, Pharm.D., our Chief Regulatory and Quality Assurance Officer, was previously Vice President in Oncology Regulatory Affairs at Bayer and led the tumor-agnostic regulatory strategy for larotrectinib (Vitrakvi) in collaboration with Loxo Oncology.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left="600"/>
        <w:spacing w:after="0"/>
        <w:rPr>
          <w:sz w:val="20"/>
          <w:szCs w:val="20"/>
          <w:color w:val="auto"/>
        </w:rPr>
      </w:pPr>
      <w:r>
        <w:rPr>
          <w:rFonts w:ascii="Arial" w:cs="Arial" w:eastAsia="Arial" w:hAnsi="Arial"/>
          <w:sz w:val="17"/>
          <w:szCs w:val="17"/>
          <w:color w:val="auto"/>
        </w:rPr>
        <w:t>Our company was founded and continues to be supported by world-class scientific advisors, including our scientific advisory board, or SAB:</w:t>
      </w:r>
    </w:p>
    <w:p>
      <w:pPr>
        <w:spacing w:after="0" w:line="129" w:lineRule="exact"/>
        <w:rPr>
          <w:sz w:val="20"/>
          <w:szCs w:val="20"/>
          <w:color w:val="auto"/>
        </w:rPr>
      </w:pPr>
    </w:p>
    <w:p>
      <w:pPr>
        <w:ind w:left="1160" w:right="48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Scott Lowe, Ph.D.—Chair, Cancer Biology and Genetics Program, Sloan Kettering Institute, Chair, Geoffrey Beene Cancer Research Center, Memorial Sloan Kettering and co-founder of ORIC Pharmaceuticals (Nasdaq: ORIC);</w:t>
      </w:r>
    </w:p>
    <w:p>
      <w:pPr>
        <w:spacing w:after="0" w:line="62" w:lineRule="exact"/>
        <w:rPr>
          <w:rFonts w:ascii="Arial" w:cs="Arial" w:eastAsia="Arial" w:hAnsi="Arial"/>
          <w:sz w:val="18"/>
          <w:szCs w:val="18"/>
          <w:color w:val="auto"/>
        </w:rPr>
      </w:pPr>
    </w:p>
    <w:p>
      <w:pPr>
        <w:ind w:left="1160" w:right="80" w:hanging="572"/>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Richard Heyman, Ph.D.—Vice Chair of the Board of Trustees at the Salk Institute, former Chief Executive Officer of Aragon Pharmaceuticals (acquired by Johnson &amp; Johnson (NYSE: JNJ)), co-founder and former Chief Executive Officer of Seragon Pharmaceuticals (acquired by Roche Genentech), and co-founder, Chairman and former Chief Executive Officer of ORIC Pharmaceuticals (Nasdaq: ORIC);</w:t>
      </w:r>
    </w:p>
    <w:p>
      <w:pPr>
        <w:spacing w:after="0" w:line="78" w:lineRule="exact"/>
        <w:rPr>
          <w:rFonts w:ascii="Arial" w:cs="Arial" w:eastAsia="Arial" w:hAnsi="Arial"/>
          <w:sz w:val="18"/>
          <w:szCs w:val="18"/>
          <w:color w:val="auto"/>
        </w:rPr>
      </w:pPr>
    </w:p>
    <w:p>
      <w:pPr>
        <w:jc w:val="both"/>
        <w:ind w:left="1160" w:hanging="572"/>
        <w:spacing w:after="0" w:line="287"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Michael Jung, Ph.D.—Distinguished Professor of Chemistry and Biochemistry at University of California, Los Angeles, and co-founder of Aragon Pharmaceuticals (acquired by Johnson &amp; Johnson (NYSE: JNJ)) and Seragon Pharmaceuticals (acquired by Roche Genentech), and co-discovered Xtandi, an FDA-approved prostate cancer drug licensed to Medivation (acquired by Pfizer (NYSE: PFE)), and Erleada,</w:t>
      </w:r>
    </w:p>
    <w:p>
      <w:pPr>
        <w:spacing w:after="0" w:line="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an FDA-approved prostate cancer drug developed by Aragon Pharmaceuticals and acquired by Johnson &amp; Johnson;</w:t>
      </w:r>
    </w:p>
    <w:p>
      <w:pPr>
        <w:spacing w:after="0" w:line="102" w:lineRule="exact"/>
        <w:rPr>
          <w:rFonts w:ascii="Arial" w:cs="Arial" w:eastAsia="Arial" w:hAnsi="Arial"/>
          <w:sz w:val="16"/>
          <w:szCs w:val="16"/>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Arnold Levine, Ph.D.—Professor Emeritus, School of Natural Sciences Biology, Institute of Advanced Studies;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Guillermina Lozano, Ph.D. —Chair, Department of Genetics, The University of Texas MD Anderson Cancer Center;</w:t>
      </w:r>
    </w:p>
    <w:p>
      <w:pPr>
        <w:spacing w:after="0" w:line="144" w:lineRule="exact"/>
        <w:rPr>
          <w:rFonts w:ascii="Arial" w:cs="Arial" w:eastAsia="Arial" w:hAnsi="Arial"/>
          <w:sz w:val="18"/>
          <w:szCs w:val="18"/>
          <w:color w:val="auto"/>
        </w:rPr>
      </w:pPr>
    </w:p>
    <w:p>
      <w:pPr>
        <w:ind w:left="1160" w:right="60" w:hanging="572"/>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Frank McCormick, Ph.D., F.R.S.—Professor at the UCSF Helen Diller Comprehensive Cancer Center, co-founder of Bridge Bio and Onyx Pharmaceuticals and initiated and led drug discovery efforts that led to approval of Nexavar, an FDA-approved drug for liver, thyroid and kidney cancer;</w:t>
      </w:r>
    </w:p>
    <w:p>
      <w:pPr>
        <w:spacing w:after="0" w:line="75" w:lineRule="exact"/>
        <w:rPr>
          <w:rFonts w:ascii="Arial" w:cs="Arial" w:eastAsia="Arial" w:hAnsi="Arial"/>
          <w:sz w:val="18"/>
          <w:szCs w:val="18"/>
          <w:color w:val="auto"/>
        </w:rPr>
      </w:pPr>
    </w:p>
    <w:p>
      <w:pPr>
        <w:ind w:left="1160" w:right="260" w:hanging="572"/>
        <w:spacing w:after="0" w:line="275"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Charles Sawyers, M.D.—Marie-Josee and Henry R. Kravis Chair in Human Oncology and Pathogenesis, Memorial Sloan Kettering, co-founder of Aragon Pharmaceuticals (acquired by Johnson &amp; Johnson (NYSE: JNJ)), Seragon Pharmaceuticals (acquired by Roche Genentech), and ORIC Pharmaceuticals (Nasdaq: ORIC), and member of the board of directors of Novartis (NYSE: NVS), and co-discovered Xtandi, an FDA-approved prostate cancer drug licensed to Medivation and Erleada, an FDA-approved prostate cancer drug developed by Aragon Pharmaceuticals and acquired by Johnson &amp; Johnson;</w:t>
      </w:r>
    </w:p>
    <w:p>
      <w:pPr>
        <w:spacing w:after="0" w:line="68" w:lineRule="exact"/>
        <w:rPr>
          <w:rFonts w:ascii="Arial" w:cs="Arial" w:eastAsia="Arial" w:hAnsi="Arial"/>
          <w:sz w:val="17"/>
          <w:szCs w:val="17"/>
          <w:color w:val="auto"/>
        </w:rPr>
      </w:pPr>
    </w:p>
    <w:p>
      <w:pPr>
        <w:ind w:left="1160" w:hanging="572"/>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Thomas Shenk, Ph.D.—James A. Elkins Professor of Life Sciences in the Department of Molecular Biology at Princeton University; and</w:t>
      </w:r>
    </w:p>
    <w:p>
      <w:pPr>
        <w:spacing w:after="0" w:line="167" w:lineRule="exact"/>
        <w:rPr>
          <w:rFonts w:ascii="Arial" w:cs="Arial" w:eastAsia="Arial" w:hAnsi="Arial"/>
          <w:sz w:val="16"/>
          <w:szCs w:val="16"/>
          <w:color w:val="auto"/>
        </w:rPr>
      </w:pPr>
    </w:p>
    <w:p>
      <w:pPr>
        <w:ind w:left="1160" w:right="24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Karen Vousden, Ph.D.—Chief Scientist at Cancer Research UK (CRUK), Group Leader at the Francis Crick Institute and member of the board of directors of Bristol-Myers Squibb (NYSE: BMY).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 on Targeted Therapies</w:t>
      </w:r>
    </w:p>
    <w:p>
      <w:pPr>
        <w:spacing w:after="0" w:line="229"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8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right="320"/>
        <w:spacing w:after="0" w:line="293" w:lineRule="auto"/>
        <w:rPr>
          <w:sz w:val="20"/>
          <w:szCs w:val="20"/>
          <w:color w:val="auto"/>
        </w:rPr>
      </w:pPr>
      <w:r>
        <w:rPr>
          <w:rFonts w:ascii="Arial" w:cs="Arial" w:eastAsia="Arial" w:hAnsi="Arial"/>
          <w:sz w:val="16"/>
          <w:szCs w:val="16"/>
          <w:color w:val="auto"/>
        </w:rPr>
        <w:t>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and Qinlock, in GIST (Deciphera), all received approvals within five years of first dosing in humans. This time period is significantly reduced compared to conventional drug development timelines. Despite this progress, a recent analysis found that only 8% of patients with metastatic cancer have tumors with genetic profiles eligible for treatment with an approved targeted agent, which leaves a large opportunity for precision oncology.</w:t>
      </w:r>
    </w:p>
    <w:p>
      <w:pPr>
        <w:spacing w:after="0" w:line="164"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the pembrolizumab and dostarlimab, or Keytruda and Jemperli, respectively, approval in metastatic microsatellite instability-high, or MSI-high, or deficient mismatch repair, or dMMR, solid tumors. We believe that these approvals represent a fundamental shift in the development of targeted therapies and will increasingly lead to cancer being characterized for treatment in a genetic, rather than in a tumor-specific, manner.</w:t>
      </w:r>
    </w:p>
    <w:p>
      <w:pPr>
        <w:spacing w:after="0" w:line="195"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The widespread recognition that cancer is a genetic disease, as much as it is a disease defined by histology or anatomical location, has driven the increased use of genetic sequencing, which is now employed by approximately 75% of oncologists in the United States. As DNA sequencing technology advances,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92"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 Given the high prevalence of p53 mutations in cancers, we believe that an effective way to address p53-driven cancers is by targeting individual p53 mutations using a precision oncology approach and significantly expanding the scope of patients who can benefit from targeted therapies. In addition, we believe that our platform can also be leveraged to expand our pipeline by identifying targets that modulate wild-type p53. Given our deep understanding of and expertise in p53 biology, we believe that pursuing product candidates that target inhibitors of wild-type p53 can also expand the scope of patients who can benefit from targeted therapies.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on p53, the Most Frequently Mutated Gene in Human Cancer</w:t>
      </w:r>
    </w:p>
    <w:p>
      <w:pPr>
        <w:spacing w:after="0" w:line="229" w:lineRule="exact"/>
        <w:rPr>
          <w:sz w:val="20"/>
          <w:szCs w:val="20"/>
          <w:color w:val="auto"/>
        </w:rPr>
      </w:pPr>
    </w:p>
    <w:p>
      <w:pPr>
        <w:ind w:right="200" w:firstLine="589"/>
        <w:spacing w:after="0" w:line="296" w:lineRule="auto"/>
        <w:rPr>
          <w:sz w:val="20"/>
          <w:szCs w:val="20"/>
          <w:color w:val="auto"/>
        </w:rPr>
      </w:pPr>
      <w:r>
        <w:rPr>
          <w:rFonts w:ascii="Arial" w:cs="Arial" w:eastAsia="Arial" w:hAnsi="Arial"/>
          <w:sz w:val="16"/>
          <w:szCs w:val="16"/>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6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8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 malignant cells or eliminates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right="60"/>
        <w:spacing w:after="0" w:line="263" w:lineRule="auto"/>
        <w:rPr>
          <w:sz w:val="20"/>
          <w:szCs w:val="20"/>
          <w:color w:val="auto"/>
        </w:rPr>
      </w:pPr>
      <w:r>
        <w:rPr>
          <w:rFonts w:ascii="Arial" w:cs="Arial" w:eastAsia="Arial" w:hAnsi="Arial"/>
          <w:sz w:val="18"/>
          <w:szCs w:val="18"/>
          <w:color w:val="auto"/>
        </w:rPr>
        <w:t>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84"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 We are focusing on targeting the p53 hotspot mutations and certain cancers where wild-type p53 function is silenced.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Focus: Top Ten Most Frequent p53 Mutations</w:t>
      </w:r>
    </w:p>
    <w:p>
      <w:pPr>
        <w:spacing w:after="0" w:line="291" w:lineRule="exact"/>
        <w:rPr>
          <w:sz w:val="20"/>
          <w:szCs w:val="20"/>
          <w:color w:val="auto"/>
        </w:rPr>
      </w:pPr>
    </w:p>
    <w:tbl>
      <w:tblPr>
        <w:tblLayout w:type="fixed"/>
        <w:tblInd w:w="470" w:type="dxa"/>
        <w:tblCellMar>
          <w:top w:w="0" w:type="dxa"/>
          <w:left w:w="0" w:type="dxa"/>
          <w:bottom w:w="0" w:type="dxa"/>
          <w:right w:w="0" w:type="dxa"/>
        </w:tblCellMar>
      </w:tblPr>
      <w:tr>
        <w:trPr>
          <w:trHeight w:val="223"/>
        </w:trPr>
        <w:tc>
          <w:tcPr>
            <w:tcW w:w="5280" w:type="dxa"/>
            <w:vAlign w:val="bottom"/>
            <w:tcBorders>
              <w:top w:val="single" w:sz="8" w:color="auto"/>
              <w:left w:val="single" w:sz="8" w:color="auto"/>
              <w:bottom w:val="single" w:sz="8" w:color="0C0C0C"/>
            </w:tcBorders>
            <w:shd w:val="clear" w:color="auto" w:fill="0C0C0C"/>
          </w:tcPr>
          <w:p>
            <w:pPr>
              <w:ind w:left="2040"/>
              <w:spacing w:after="0"/>
              <w:rPr>
                <w:sz w:val="20"/>
                <w:szCs w:val="20"/>
                <w:color w:val="auto"/>
              </w:rPr>
            </w:pPr>
            <w:r>
              <w:rPr>
                <w:rFonts w:ascii="Arial" w:cs="Arial" w:eastAsia="Arial" w:hAnsi="Arial"/>
                <w:sz w:val="14"/>
                <w:szCs w:val="14"/>
                <w:b w:val="1"/>
                <w:bCs w:val="1"/>
                <w:color w:val="FFFFFF"/>
              </w:rPr>
              <w:t>p53 Hotspot Mutation</w:t>
            </w:r>
          </w:p>
        </w:tc>
        <w:tc>
          <w:tcPr>
            <w:tcW w:w="5080" w:type="dxa"/>
            <w:vAlign w:val="bottom"/>
            <w:tcBorders>
              <w:top w:val="single" w:sz="8" w:color="auto"/>
              <w:bottom w:val="single" w:sz="8" w:color="0C0C0C"/>
              <w:right w:val="single" w:sz="8" w:color="auto"/>
            </w:tcBorders>
            <w:shd w:val="clear" w:color="auto" w:fill="0C0C0C"/>
          </w:tcPr>
          <w:p>
            <w:pPr>
              <w:jc w:val="center"/>
              <w:ind w:left="152"/>
              <w:spacing w:after="0"/>
              <w:rPr>
                <w:sz w:val="20"/>
                <w:szCs w:val="20"/>
                <w:color w:val="auto"/>
              </w:rPr>
            </w:pPr>
            <w:r>
              <w:rPr>
                <w:rFonts w:ascii="Arial" w:cs="Arial" w:eastAsia="Arial" w:hAnsi="Arial"/>
                <w:sz w:val="14"/>
                <w:szCs w:val="14"/>
                <w:b w:val="1"/>
                <w:bCs w:val="1"/>
                <w:color w:val="FFFFFF"/>
                <w:w w:val="94"/>
              </w:rPr>
              <w:t>Frequency Among p53 Mutations</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6"/>
              </w:rPr>
              <w:t>R175H</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5.6%</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4"/>
              </w:rPr>
              <w:t>R248Q</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4.4%</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6"/>
              </w:rPr>
              <w:t>R273H</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4.0%</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6"/>
              </w:rPr>
              <w:t>R248W</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3.5%</w:t>
            </w:r>
          </w:p>
        </w:tc>
      </w:tr>
      <w:tr>
        <w:trPr>
          <w:trHeight w:val="257"/>
        </w:trPr>
        <w:tc>
          <w:tcPr>
            <w:tcW w:w="52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2"/>
              </w:rPr>
              <w:t>R273C</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3.3%</w:t>
            </w:r>
          </w:p>
        </w:tc>
      </w:tr>
      <w:tr>
        <w:trPr>
          <w:trHeight w:val="256"/>
        </w:trPr>
        <w:tc>
          <w:tcPr>
            <w:tcW w:w="52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6"/>
              </w:rPr>
              <w:t>R282W</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2.8%</w:t>
            </w:r>
          </w:p>
        </w:tc>
      </w:tr>
      <w:tr>
        <w:trPr>
          <w:trHeight w:val="257"/>
        </w:trPr>
        <w:tc>
          <w:tcPr>
            <w:tcW w:w="52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2"/>
              </w:rPr>
              <w:t>G245S</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2.1%</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0"/>
              </w:rPr>
              <w:t>R249S</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2.0%</w:t>
            </w:r>
          </w:p>
        </w:tc>
      </w:tr>
      <w:tr>
        <w:trPr>
          <w:trHeight w:val="257"/>
        </w:trPr>
        <w:tc>
          <w:tcPr>
            <w:tcW w:w="52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4"/>
              </w:rPr>
              <w:t>Y220C</w:t>
            </w:r>
          </w:p>
        </w:tc>
        <w:tc>
          <w:tcPr>
            <w:tcW w:w="508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1.8%</w:t>
            </w:r>
          </w:p>
        </w:tc>
      </w:tr>
      <w:tr>
        <w:trPr>
          <w:trHeight w:val="256"/>
        </w:trPr>
        <w:tc>
          <w:tcPr>
            <w:tcW w:w="5280" w:type="dxa"/>
            <w:vAlign w:val="bottom"/>
            <w:tcBorders>
              <w:left w:val="single" w:sz="8" w:color="auto"/>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7"/>
              </w:rPr>
              <w:t>V157F</w:t>
            </w:r>
          </w:p>
        </w:tc>
        <w:tc>
          <w:tcPr>
            <w:tcW w:w="508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1.0%</w:t>
            </w:r>
          </w:p>
        </w:tc>
      </w:tr>
    </w:tbl>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Approach to Targeting p53</w:t>
      </w:r>
    </w:p>
    <w:p>
      <w:pPr>
        <w:spacing w:after="0" w:line="229"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Our goal is to bring precision oncology therapies to a greater number of patients. Decades of p53 research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novel therapeutic strategy to target p53.</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drug development efforts leverage our understanding that:</w:t>
      </w:r>
    </w:p>
    <w:p>
      <w:pPr>
        <w:spacing w:after="0" w:line="117" w:lineRule="exact"/>
        <w:rPr>
          <w:sz w:val="20"/>
          <w:szCs w:val="20"/>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mutations throughout the p53 protein can drive tumor formation and growth;</w:t>
      </w:r>
    </w:p>
    <w:p>
      <w:pPr>
        <w:spacing w:after="0" w:line="144"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mutant p53 protein resulting from a specific mutation can potentially be structurally corrected by a selective small molecule, thereby reactivating wild-type p53 activity;</w:t>
      </w:r>
    </w:p>
    <w:p>
      <w:pPr>
        <w:spacing w:after="0" w:line="62"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p53 hotspot mutations comprise approximately 30% of all p53 mutations and each p53 hotspot mutation represents an individual therapeutic target for drug discovery and development;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p53 mutant cancers, certain cancers result when wild-type p53 function is silenced</w:t>
      </w:r>
    </w:p>
    <w:p>
      <w:pPr>
        <w:spacing w:after="0" w:line="25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and certain cancers where wild-type p53 function is silenced. We believe this will allow us to design and develop potential therapies for patients with a high unmet medical need for whom there are currently no targeted treatment options.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Our Innovation Engine</w:t>
      </w:r>
    </w:p>
    <w:p>
      <w:pPr>
        <w:spacing w:after="0" w:line="229" w:lineRule="exact"/>
        <w:rPr>
          <w:sz w:val="20"/>
          <w:szCs w:val="20"/>
          <w:color w:val="auto"/>
        </w:rPr>
      </w:pPr>
    </w:p>
    <w:p>
      <w:pPr>
        <w:ind w:right="220" w:firstLine="569"/>
        <w:spacing w:after="0" w:line="277" w:lineRule="auto"/>
        <w:rPr>
          <w:sz w:val="20"/>
          <w:szCs w:val="20"/>
          <w:color w:val="auto"/>
        </w:rPr>
      </w:pPr>
      <w:r>
        <w:rPr>
          <w:rFonts w:ascii="Arial" w:cs="Arial" w:eastAsia="Arial" w:hAnsi="Arial"/>
          <w:sz w:val="18"/>
          <w:szCs w:val="18"/>
          <w:color w:val="auto"/>
        </w:rPr>
        <w:t>We have built an innovation engine that allows us to discover and develop potential targeted therapies for mutant p53-driven cancers and cancers where wild-type p53 function is silenced. This engine consists of three complementary drivers:</w:t>
      </w:r>
    </w:p>
    <w:p>
      <w:pPr>
        <w:spacing w:after="0" w:line="58" w:lineRule="exact"/>
        <w:rPr>
          <w:sz w:val="20"/>
          <w:szCs w:val="20"/>
          <w:color w:val="auto"/>
        </w:rPr>
      </w:pPr>
    </w:p>
    <w:p>
      <w:pPr>
        <w:ind w:left="1160" w:hanging="572"/>
        <w:spacing w:after="0" w:line="254"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and targeting certain cancers where wild-type p53 function is silenced. </w:t>
      </w:r>
      <w:r>
        <w:rPr>
          <w:rFonts w:ascii="Arial" w:cs="Arial" w:eastAsia="Arial" w:hAnsi="Arial"/>
          <w:sz w:val="18"/>
          <w:szCs w:val="18"/>
          <w:color w:val="auto"/>
        </w:rPr>
        <w:t>We have leveraged more than four decades of research experience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unique insights into p53 biology, a field that was discovered and established by our co-founder Dr. Arnold Levine.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structurally correct a specific p53 hotspot mutation. In addition we are developing small molecules that target certain cancers where wild-type p53 function is silenced.</w:t>
      </w:r>
    </w:p>
    <w:p>
      <w:pPr>
        <w:spacing w:after="0" w:line="83" w:lineRule="exact"/>
        <w:rPr>
          <w:rFonts w:ascii="Arial" w:cs="Arial" w:eastAsia="Arial" w:hAnsi="Arial"/>
          <w:sz w:val="18"/>
          <w:szCs w:val="18"/>
          <w:color w:val="auto"/>
        </w:rPr>
      </w:pPr>
    </w:p>
    <w:p>
      <w:pPr>
        <w:ind w:left="1160" w:right="20" w:hanging="572"/>
        <w:spacing w:after="0" w:line="29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Ability to design structure-based oral small molecule product candidates that selectively target and correct specific p53 mutants and inhibitors of wild-type p53. </w:t>
      </w:r>
      <w:r>
        <w:rPr>
          <w:rFonts w:ascii="Arial" w:cs="Arial" w:eastAsia="Arial" w:hAnsi="Arial"/>
          <w:sz w:val="16"/>
          <w:szCs w:val="16"/>
          <w:color w:val="auto"/>
        </w:rPr>
        <w:t>Designing molecules for p53 mutants requires an intricate understanding of the p53 protein structure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 and for certain cancers where wild-type p53 function is silenced.</w:t>
      </w:r>
    </w:p>
    <w:p>
      <w:pPr>
        <w:spacing w:after="0" w:line="53" w:lineRule="exact"/>
        <w:rPr>
          <w:rFonts w:ascii="Arial" w:cs="Arial" w:eastAsia="Arial" w:hAnsi="Arial"/>
          <w:sz w:val="16"/>
          <w:szCs w:val="16"/>
          <w:color w:val="auto"/>
        </w:rPr>
      </w:pPr>
    </w:p>
    <w:p>
      <w:pPr>
        <w:ind w:left="1160" w:right="160" w:hanging="572"/>
        <w:spacing w:after="0" w:line="29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Assays, screens, preclinical model systems and biomarkers that enable us to assess and optimize selective small molecule product candidates. </w:t>
      </w:r>
      <w:r>
        <w:rPr>
          <w:rFonts w:ascii="Arial" w:cs="Arial" w:eastAsia="Arial" w:hAnsi="Arial"/>
          <w:sz w:val="16"/>
          <w:szCs w:val="16"/>
          <w:color w:val="auto"/>
        </w:rPr>
        <w:t>We test our product candidates across a diverse set of human cancer cells based on research and understanding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bioinformatics 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In addition, we have built assays, screens and preclinical model systems and biomarkers that help assess and optimize our product candidates that target certain cancers where wild-type p53 function is silenced. We develop innovative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to advance potential therapeutic programs for translation to the clinic.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Our Product Candidate and Development Programs</w:t>
      </w:r>
    </w:p>
    <w:p>
      <w:pPr>
        <w:spacing w:after="0" w:line="229" w:lineRule="exact"/>
        <w:rPr>
          <w:sz w:val="20"/>
          <w:szCs w:val="20"/>
          <w:color w:val="auto"/>
        </w:rPr>
      </w:pPr>
    </w:p>
    <w:p>
      <w:pPr>
        <w:jc w:val="both"/>
        <w:ind w:right="180" w:firstLine="589"/>
        <w:spacing w:after="0" w:line="286" w:lineRule="auto"/>
        <w:rPr>
          <w:sz w:val="20"/>
          <w:szCs w:val="20"/>
          <w:color w:val="auto"/>
        </w:rPr>
      </w:pPr>
      <w:r>
        <w:rPr>
          <w:rFonts w:ascii="Arial" w:cs="Arial" w:eastAsia="Arial" w:hAnsi="Arial"/>
          <w:sz w:val="17"/>
          <w:szCs w:val="17"/>
          <w:color w:val="auto"/>
        </w:rPr>
        <w:t>We are leveraging our precision oncology platform to develop a pipeline of oral small molecule product candidates that structurally correct other p53 hotspot mutations to restore their wild-type function and product candidates that target certain cancers where wild-type p53 function is silenced.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114300</wp:posOffset>
            </wp:positionV>
            <wp:extent cx="5203190" cy="3188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031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60" w:hanging="572"/>
        <w:spacing w:after="0"/>
        <w:tabs>
          <w:tab w:leader="none" w:pos="11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Discovery, we screen compounds against biological assays to identify lead compounds with selective activity to our specific mutant or wild-type p53 target of interest.</w:t>
      </w:r>
    </w:p>
    <w:p>
      <w:pPr>
        <w:spacing w:after="0" w:line="107" w:lineRule="exact"/>
        <w:rPr>
          <w:rFonts w:ascii="Arial" w:cs="Arial" w:eastAsia="Arial" w:hAnsi="Arial"/>
          <w:sz w:val="13"/>
          <w:szCs w:val="13"/>
          <w:color w:val="auto"/>
        </w:rPr>
      </w:pPr>
    </w:p>
    <w:p>
      <w:pPr>
        <w:ind w:left="1160" w:right="40" w:hanging="572"/>
        <w:spacing w:after="0" w:line="253" w:lineRule="auto"/>
        <w:tabs>
          <w:tab w:leader="none" w:pos="11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65" w:lineRule="exact"/>
        <w:rPr>
          <w:rFonts w:ascii="Arial" w:cs="Arial" w:eastAsia="Arial" w:hAnsi="Arial"/>
          <w:sz w:val="14"/>
          <w:szCs w:val="14"/>
          <w:color w:val="auto"/>
        </w:rPr>
      </w:pPr>
    </w:p>
    <w:p>
      <w:pPr>
        <w:ind w:left="1160" w:hanging="572"/>
        <w:spacing w:after="0"/>
        <w:tabs>
          <w:tab w:leader="none" w:pos="11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IND-Enabling Studies, we conduct preclinical studies, in accordance with GLP required for an IND submission to the FDA.</w:t>
      </w:r>
    </w:p>
    <w:p>
      <w:pPr>
        <w:spacing w:after="0" w:line="208"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expect to initially seek approval of our product candidates in most instances, including with PC14586, at least as a second line therapy or for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PC14586: A Selective Structural Corrector of p53 Y220C Mutations</w:t>
      </w:r>
    </w:p>
    <w:p>
      <w:pPr>
        <w:spacing w:after="0" w:line="11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p53 is the most widely mutated gene in human cancers. The vast majority of these mutations occur as a result of missense mutations that are found in the DNA binding domain. p53 Y220C mutations are found in approximately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 w:name="page14"/>
    <w:bookmarkEnd w:id="13"/>
    <w:p>
      <w:pPr>
        <w:ind w:right="580"/>
        <w:spacing w:after="0" w:line="263" w:lineRule="auto"/>
        <w:rPr>
          <w:sz w:val="20"/>
          <w:szCs w:val="20"/>
          <w:color w:val="auto"/>
        </w:rPr>
      </w:pPr>
      <w:r>
        <w:rPr>
          <w:rFonts w:ascii="Arial" w:cs="Arial" w:eastAsia="Arial" w:hAnsi="Arial"/>
          <w:sz w:val="18"/>
          <w:szCs w:val="18"/>
          <w:color w:val="auto"/>
        </w:rPr>
        <w:t>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84"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76"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 as shown below for the Y220C mutation.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Y220C Mutant Cancer Cell Lines Contain Large Pools of Mutant p53 Y220C Target Protein Relative to Normal (Wild-type p53)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161925</wp:posOffset>
            </wp:positionV>
            <wp:extent cx="5194935" cy="382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9493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ind w:right="480"/>
        <w:spacing w:after="0" w:line="277" w:lineRule="auto"/>
        <w:rPr>
          <w:sz w:val="20"/>
          <w:szCs w:val="20"/>
          <w:color w:val="auto"/>
        </w:rPr>
      </w:pPr>
      <w:r>
        <w:rPr>
          <w:rFonts w:ascii="Arial" w:cs="Arial" w:eastAsia="Arial" w:hAnsi="Arial"/>
          <w:sz w:val="18"/>
          <w:szCs w:val="18"/>
          <w:color w:val="auto"/>
        </w:rPr>
        <w:t>Y220C mutation may offer a novel precision therapy for this population, which we believe could potentially change the treatment paradigm for such patients.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 p53 Y220C protein with PC14586 bound in the crevice created by the Y220C mutation. By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117475</wp:posOffset>
            </wp:positionV>
            <wp:extent cx="5186045" cy="2948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 xml:space="preserve">In preclinical studies, we have demonstrated that PC14586 rapidly converts the large protein pool of mutant p53 Y220C protein to wild-type structure. As seen in the graphic below,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auto"/>
        </w:rPr>
        <w:t xml:space="preserve">PC14586 Demonstrated Structural Conversion from Mutant p53 to Wild-type p53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2503170" cy="1954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317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PC14586 selectively binds to the crevice created by the Y220C mutation as this molecule does not bind to wild-type p53 or other p53 mutations, including R273H, R273C, R175H, G245S, R248Q and R282W, as demonstrated by the lack of activity (as measured by p21 and MDM2 gene expression seen in the below diagrams). PC14586 only binds to the crevice created by the Y220C mutation, and none of the other tested p53 hotspot mutations, as illustrated by gene expression changes in the Y220C cell line when PC14586 is added in increasing concentrations.</w:t>
      </w:r>
    </w:p>
    <w:p>
      <w:pPr>
        <w:spacing w:after="0" w:line="171"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1903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860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In Vivo Data</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PC14586 exhibited single-agent anti-tumor activity in a dose-dependent manner against mutant p53 Y220C tumors, evidenced by both potent TGI and tumor regression. Oral once-daily dosing over 21 days of PC14586 was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16" w:name="page17"/>
    <w:bookmarkEnd w:id="16"/>
    <w:p>
      <w:pPr>
        <w:ind w:right="80"/>
        <w:spacing w:after="0" w:line="263" w:lineRule="auto"/>
        <w:rPr>
          <w:sz w:val="20"/>
          <w:szCs w:val="20"/>
          <w:color w:val="auto"/>
        </w:rPr>
      </w:pPr>
      <w:r>
        <w:rPr>
          <w:rFonts w:ascii="Arial" w:cs="Arial" w:eastAsia="Arial" w:hAnsi="Arial"/>
          <w:sz w:val="18"/>
          <w:szCs w:val="18"/>
          <w:color w:val="auto"/>
        </w:rPr>
        <w:t>well tolerated in nude mice (ten mice per dosing group) bearing p53 Y220C NUGC3 xenograft tumors up to 100 mg/kg, as evidenced by the lack of body weight loss, which is the generally accepted surrogate for toxicity in mice. PC14586 demonstrated dose-dependent TGI at daily doses ranging from 25 mg/kg to 50 mg/kg and robust tumor regression at 100 mg/kg daily.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2537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8604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In preclinical animal studies, PC14586 exhibited fast absorption and a durable plasma exposure, which resulted in robust target engagement that correlated with compound exposure levels. Target engagement was demonstrated by the decrease in mutant p53 Y220C and the increase in the wild-type conformation.</w:t>
      </w:r>
    </w:p>
    <w:p>
      <w:pPr>
        <w:spacing w:after="0" w:line="184" w:lineRule="exact"/>
        <w:rPr>
          <w:sz w:val="20"/>
          <w:szCs w:val="20"/>
          <w:color w:val="auto"/>
        </w:rPr>
      </w:pPr>
    </w:p>
    <w:p>
      <w:pPr>
        <w:ind w:right="80" w:firstLine="589"/>
        <w:spacing w:after="0" w:line="342" w:lineRule="auto"/>
        <w:rPr>
          <w:sz w:val="20"/>
          <w:szCs w:val="20"/>
          <w:color w:val="auto"/>
        </w:rPr>
      </w:pPr>
      <w:r>
        <w:rPr>
          <w:rFonts w:ascii="Arial" w:cs="Arial" w:eastAsia="Arial" w:hAnsi="Arial"/>
          <w:sz w:val="16"/>
          <w:szCs w:val="16"/>
          <w:color w:val="auto"/>
        </w:rPr>
        <w:t>Along with tumor regression, in acute dose pharmacokinetic/pharmacodynamic, or PK/PD, studies, oral administration of PC14586 to xenograft mice bearing the NUGC3 (p53 Y220C) tumors resulted in conversion of mutant p53 protein to a wild-type p53 structure as illustrated in the figure below.</w:t>
      </w:r>
    </w:p>
    <w:p>
      <w:pPr>
        <w:spacing w:after="0" w:line="12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the mutant p53 structure chart below, the amount of mutant p53 decreased at 8 hours after PC14586 administration on day 1 (QDx1), and the amount of mutant p53 rose by the 24 hour time point compared to the 8 hour time point in the QDx1 portion of the x-axis. When another dose of PC14586 was administered on day 2 (QDx2), the amount of mutant p53 decreased at the 8 hour time point and rose again by the 24 hour time point. The pattern was repeated on the fourth (QDx4) and sixth day (QDx6) of dosing. In all the PC14586 datapoints, the amount of mutant p53 was less than in the vehicle dosing.</w:t>
      </w:r>
    </w:p>
    <w:p>
      <w:pPr>
        <w:spacing w:after="0" w:line="188"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the wild-type p53 structure chart below, the amount of wild-type p53 increased at 8 hours after PC14586 administration on day 1 (QDx1) and the amount of wild-type p53 decreased by the 24 hour time point compared to the 8 hour time point in the QDx1 portion of the x-axis. The pattern was repeated over the second (QDx2), fourth (QDx4) and sixth (QDx6) days of dosing. In all the PC14586 datapoints, the amount of wild-type p53 was greater than in the vehicle dosing.</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7" w:name="page18"/>
    <w:bookmarkEnd w:id="17"/>
    <w:p>
      <w:pPr>
        <w:ind w:right="60" w:firstLine="589"/>
        <w:spacing w:after="0" w:line="308" w:lineRule="auto"/>
        <w:rPr>
          <w:sz w:val="20"/>
          <w:szCs w:val="20"/>
          <w:color w:val="auto"/>
        </w:rPr>
      </w:pPr>
      <w:r>
        <w:rPr>
          <w:rFonts w:ascii="Arial" w:cs="Arial" w:eastAsia="Arial" w:hAnsi="Arial"/>
          <w:sz w:val="17"/>
          <w:szCs w:val="17"/>
          <w:color w:val="auto"/>
        </w:rPr>
        <w:t>When viewed together, the two charts below show an increase in wild-type p53 corresponding to a decrease in mutant p53 at each of the PC14586 administration time points, which indicate the conversion of mutant p53 to wild-type p53 with the administration of PC14586.</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Studies, PC14586 Converted Mutant p53 Protein to a Wild-type p53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1937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604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Additionally, functional p53 activity in the tumor tissue was also demonstrated (</w:t>
      </w:r>
      <w:r>
        <w:rPr>
          <w:rFonts w:ascii="Arial" w:cs="Arial" w:eastAsia="Arial" w:hAnsi="Arial"/>
          <w:sz w:val="18"/>
          <w:szCs w:val="18"/>
          <w:i w:val="1"/>
          <w:iCs w:val="1"/>
          <w:color w:val="auto"/>
        </w:rPr>
        <w:t>i.e.</w:t>
      </w:r>
      <w:r>
        <w:rPr>
          <w:rFonts w:ascii="Arial" w:cs="Arial" w:eastAsia="Arial" w:hAnsi="Arial"/>
          <w:sz w:val="18"/>
          <w:szCs w:val="18"/>
          <w:color w:val="auto"/>
        </w:rPr>
        <w:t>, the induction of wild-type p53 downstream targets). As illustrated in the figure below, PC14586 was observed to induce the expression of the p53 downstream target MIC-1, a clinically validated secreted biomarker of wild-type p53 activity. The administration of PC14586 was associated with an increase in MIC-1 plasma concentration in comparison to the vehicle dosing.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PC14586 Increased Plasma Concentration of MIC-1, a Clinically Validated Secreted Biomarker of Wild-type p53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154305</wp:posOffset>
            </wp:positionV>
            <wp:extent cx="1817370" cy="2194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737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 that we expect to see in the clinic, as compared to mouse xenograft models that incorporate human tumors in mice with no immune system. While some patients with cancer may have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8" w:name="page19"/>
    <w:bookmarkEnd w:id="18"/>
    <w:p>
      <w:pPr>
        <w:ind w:right="360"/>
        <w:spacing w:after="0" w:line="263" w:lineRule="auto"/>
        <w:rPr>
          <w:sz w:val="20"/>
          <w:szCs w:val="20"/>
          <w:color w:val="auto"/>
        </w:rPr>
      </w:pPr>
      <w:r>
        <w:rPr>
          <w:rFonts w:ascii="Arial" w:cs="Arial" w:eastAsia="Arial" w:hAnsi="Arial"/>
          <w:sz w:val="18"/>
          <w:szCs w:val="18"/>
          <w:color w:val="auto"/>
        </w:rPr>
        <w:t>weakened immune systems, we believe that few patients have severely or fully dysfunctional immunocompromised systems, and therefore a syngeneic model may better represent the patient population than an immunocompromised mouse model. In addition, with an intact immune system, this model allows us to test anti-tumor activity of PC14586 in combination with immune checkpoint inhibitors.</w:t>
      </w:r>
    </w:p>
    <w:p>
      <w:pPr>
        <w:spacing w:after="0" w:line="184"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the vehicle.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154305</wp:posOffset>
            </wp:positionV>
            <wp:extent cx="4766310" cy="1808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631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60" w:lineRule="exact"/>
        <w:rPr>
          <w:sz w:val="20"/>
          <w:szCs w:val="20"/>
          <w:color w:val="auto"/>
        </w:rPr>
      </w:pPr>
    </w:p>
    <w:tbl>
      <w:tblPr>
        <w:tblLayout w:type="fixed"/>
        <w:tblInd w:w="1830" w:type="dxa"/>
        <w:tblCellMar>
          <w:top w:w="0" w:type="dxa"/>
          <w:left w:w="0" w:type="dxa"/>
          <w:bottom w:w="0" w:type="dxa"/>
          <w:right w:w="0" w:type="dxa"/>
        </w:tblCellMar>
      </w:tblPr>
      <w:tr>
        <w:trPr>
          <w:trHeight w:val="166"/>
        </w:trPr>
        <w:tc>
          <w:tcPr>
            <w:tcW w:w="3900" w:type="dxa"/>
            <w:vAlign w:val="bottom"/>
            <w:tcBorders>
              <w:top w:val="single" w:sz="8" w:color="auto"/>
              <w:left w:val="single" w:sz="8" w:color="auto"/>
            </w:tcBorders>
            <w:vMerge w:val="restart"/>
            <w:shd w:val="clear" w:color="auto" w:fill="0C0C0C"/>
          </w:tcPr>
          <w:p>
            <w:pPr>
              <w:jc w:val="center"/>
              <w:ind w:left="56"/>
              <w:spacing w:after="0"/>
              <w:rPr>
                <w:sz w:val="20"/>
                <w:szCs w:val="20"/>
                <w:color w:val="auto"/>
              </w:rPr>
            </w:pPr>
            <w:r>
              <w:rPr>
                <w:rFonts w:ascii="Arial" w:cs="Arial" w:eastAsia="Arial" w:hAnsi="Arial"/>
                <w:sz w:val="14"/>
                <w:szCs w:val="14"/>
                <w:b w:val="1"/>
                <w:bCs w:val="1"/>
                <w:color w:val="FFFFFF"/>
                <w:w w:val="95"/>
              </w:rPr>
              <w:t>Group</w:t>
            </w:r>
          </w:p>
        </w:tc>
        <w:tc>
          <w:tcPr>
            <w:tcW w:w="3740" w:type="dxa"/>
            <w:vAlign w:val="bottom"/>
            <w:tcBorders>
              <w:top w:val="single" w:sz="8" w:color="auto"/>
              <w:right w:val="single" w:sz="8" w:color="auto"/>
            </w:tcBorders>
            <w:shd w:val="clear" w:color="auto" w:fill="0C0C0C"/>
          </w:tcPr>
          <w:p>
            <w:pPr>
              <w:jc w:val="center"/>
              <w:ind w:left="159"/>
              <w:spacing w:after="0"/>
              <w:rPr>
                <w:sz w:val="20"/>
                <w:szCs w:val="20"/>
                <w:color w:val="auto"/>
              </w:rPr>
            </w:pPr>
            <w:r>
              <w:rPr>
                <w:rFonts w:ascii="Arial" w:cs="Arial" w:eastAsia="Arial" w:hAnsi="Arial"/>
                <w:sz w:val="14"/>
                <w:szCs w:val="14"/>
                <w:b w:val="1"/>
                <w:bCs w:val="1"/>
                <w:color w:val="FFFFFF"/>
                <w:w w:val="96"/>
              </w:rPr>
              <w:t>Median Survival Time</w:t>
            </w:r>
          </w:p>
        </w:tc>
        <w:tc>
          <w:tcPr>
            <w:tcW w:w="0" w:type="dxa"/>
            <w:vAlign w:val="bottom"/>
          </w:tcPr>
          <w:p>
            <w:pPr>
              <w:spacing w:after="0"/>
              <w:rPr>
                <w:sz w:val="1"/>
                <w:szCs w:val="1"/>
                <w:color w:val="auto"/>
              </w:rPr>
            </w:pPr>
          </w:p>
        </w:tc>
      </w:tr>
      <w:tr>
        <w:trPr>
          <w:trHeight w:val="205"/>
        </w:trPr>
        <w:tc>
          <w:tcPr>
            <w:tcW w:w="3900" w:type="dxa"/>
            <w:vAlign w:val="bottom"/>
            <w:tcBorders>
              <w:left w:val="single" w:sz="8" w:color="auto"/>
              <w:bottom w:val="single" w:sz="8" w:color="0C0C0C"/>
            </w:tcBorders>
            <w:vMerge w:val="continue"/>
            <w:shd w:val="clear" w:color="auto" w:fill="0C0C0C"/>
          </w:tcPr>
          <w:p>
            <w:pPr>
              <w:spacing w:after="0"/>
              <w:rPr>
                <w:sz w:val="17"/>
                <w:szCs w:val="17"/>
                <w:color w:val="auto"/>
              </w:rPr>
            </w:pPr>
          </w:p>
        </w:tc>
        <w:tc>
          <w:tcPr>
            <w:tcW w:w="3740" w:type="dxa"/>
            <w:vAlign w:val="bottom"/>
            <w:tcBorders>
              <w:bottom w:val="single" w:sz="8" w:color="0C0C0C"/>
              <w:right w:val="single" w:sz="8" w:color="auto"/>
            </w:tcBorders>
            <w:shd w:val="clear" w:color="auto" w:fill="0C0C0C"/>
          </w:tcPr>
          <w:p>
            <w:pPr>
              <w:jc w:val="center"/>
              <w:ind w:left="139"/>
              <w:spacing w:after="0"/>
              <w:rPr>
                <w:sz w:val="20"/>
                <w:szCs w:val="20"/>
                <w:color w:val="auto"/>
              </w:rPr>
            </w:pPr>
            <w:r>
              <w:rPr>
                <w:rFonts w:ascii="Arial" w:cs="Arial" w:eastAsia="Arial" w:hAnsi="Arial"/>
                <w:sz w:val="14"/>
                <w:szCs w:val="14"/>
                <w:b w:val="1"/>
                <w:bCs w:val="1"/>
                <w:color w:val="FFFFFF"/>
                <w:w w:val="93"/>
              </w:rPr>
              <w:t>(Days)</w:t>
            </w:r>
          </w:p>
        </w:tc>
        <w:tc>
          <w:tcPr>
            <w:tcW w:w="0" w:type="dxa"/>
            <w:vAlign w:val="bottom"/>
          </w:tcPr>
          <w:p>
            <w:pPr>
              <w:spacing w:after="0"/>
              <w:rPr>
                <w:sz w:val="1"/>
                <w:szCs w:val="1"/>
                <w:color w:val="auto"/>
              </w:rPr>
            </w:pPr>
          </w:p>
        </w:tc>
      </w:tr>
      <w:tr>
        <w:trPr>
          <w:trHeight w:val="257"/>
        </w:trPr>
        <w:tc>
          <w:tcPr>
            <w:tcW w:w="3900" w:type="dxa"/>
            <w:vAlign w:val="bottom"/>
            <w:tcBorders>
              <w:left w:val="single" w:sz="8" w:color="auto"/>
            </w:tcBorders>
          </w:tcPr>
          <w:p>
            <w:pPr>
              <w:jc w:val="center"/>
              <w:ind w:left="36"/>
              <w:spacing w:after="0"/>
              <w:rPr>
                <w:sz w:val="20"/>
                <w:szCs w:val="20"/>
                <w:color w:val="auto"/>
              </w:rPr>
            </w:pPr>
            <w:r>
              <w:rPr>
                <w:rFonts w:ascii="Arial" w:cs="Arial" w:eastAsia="Arial" w:hAnsi="Arial"/>
                <w:sz w:val="18"/>
                <w:szCs w:val="18"/>
                <w:color w:val="auto"/>
                <w:w w:val="91"/>
              </w:rPr>
              <w:t>Vehicle</w:t>
            </w:r>
          </w:p>
        </w:tc>
        <w:tc>
          <w:tcPr>
            <w:tcW w:w="3740" w:type="dxa"/>
            <w:vAlign w:val="bottom"/>
            <w:tcBorders>
              <w:right w:val="single" w:sz="8" w:color="auto"/>
            </w:tcBorders>
          </w:tcPr>
          <w:p>
            <w:pPr>
              <w:jc w:val="right"/>
              <w:ind w:right="157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54"/>
        </w:trPr>
        <w:tc>
          <w:tcPr>
            <w:tcW w:w="3900" w:type="dxa"/>
            <w:vAlign w:val="bottom"/>
            <w:tcBorders>
              <w:left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tcBorders>
          </w:tcPr>
          <w:p>
            <w:pPr>
              <w:jc w:val="center"/>
              <w:ind w:left="56"/>
              <w:spacing w:after="0"/>
              <w:rPr>
                <w:sz w:val="20"/>
                <w:szCs w:val="20"/>
                <w:color w:val="auto"/>
              </w:rPr>
            </w:pPr>
            <w:r>
              <w:rPr>
                <w:rFonts w:ascii="Arial" w:cs="Arial" w:eastAsia="Arial" w:hAnsi="Arial"/>
                <w:sz w:val="18"/>
                <w:szCs w:val="18"/>
                <w:color w:val="auto"/>
                <w:w w:val="90"/>
              </w:rPr>
              <w:t>PC14586 100 mg/kg</w:t>
            </w:r>
          </w:p>
        </w:tc>
        <w:tc>
          <w:tcPr>
            <w:tcW w:w="3740" w:type="dxa"/>
            <w:vAlign w:val="bottom"/>
            <w:tcBorders>
              <w:right w:val="single" w:sz="8" w:color="auto"/>
            </w:tcBorders>
          </w:tcPr>
          <w:p>
            <w:pPr>
              <w:jc w:val="right"/>
              <w:ind w:right="1479"/>
              <w:spacing w:after="0"/>
              <w:rPr>
                <w:sz w:val="20"/>
                <w:szCs w:val="20"/>
                <w:color w:val="auto"/>
              </w:rPr>
            </w:pPr>
            <w:r>
              <w:rPr>
                <w:rFonts w:ascii="Arial" w:cs="Arial" w:eastAsia="Arial" w:hAnsi="Arial"/>
                <w:sz w:val="18"/>
                <w:szCs w:val="18"/>
                <w:color w:val="auto"/>
              </w:rPr>
              <w:t>&gt;156</w:t>
            </w:r>
          </w:p>
        </w:tc>
        <w:tc>
          <w:tcPr>
            <w:tcW w:w="0" w:type="dxa"/>
            <w:vAlign w:val="bottom"/>
          </w:tcPr>
          <w:p>
            <w:pPr>
              <w:spacing w:after="0"/>
              <w:rPr>
                <w:sz w:val="1"/>
                <w:szCs w:val="1"/>
                <w:color w:val="auto"/>
              </w:rPr>
            </w:pPr>
          </w:p>
        </w:tc>
      </w:tr>
      <w:tr>
        <w:trPr>
          <w:trHeight w:val="54"/>
        </w:trPr>
        <w:tc>
          <w:tcPr>
            <w:tcW w:w="3900" w:type="dxa"/>
            <w:vAlign w:val="bottom"/>
            <w:tcBorders>
              <w:left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Note: Dosing ceased on day 70 in the PC14586 arm.</w:t>
      </w:r>
    </w:p>
    <w:p>
      <w:pPr>
        <w:spacing w:after="0" w:line="225"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PC14586 also exhibited anti-tumor activity in combination with anti-PD-1 therapy in syngeneic mouse models with the human p53 Y220C mutation. The scientific rationale for such a combination comes from the emerging literature suggesting an interplay between p53 and the immune system, which is the key mechanism of action of cancer immunotherapies such as anti-PD-1 antibodies.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 PC14586 combined with anti-PD-1 treatment exceeded 156 days, even though drug treatment was discontinued on day 70, compared with median survival of only 24 days for anti-PD-1 treatment alone.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154305</wp:posOffset>
            </wp:positionV>
            <wp:extent cx="4749165" cy="2931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491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00" w:lineRule="exact"/>
        <w:rPr>
          <w:sz w:val="20"/>
          <w:szCs w:val="20"/>
          <w:color w:val="auto"/>
        </w:rPr>
      </w:pPr>
    </w:p>
    <w:p>
      <w:pPr>
        <w:spacing w:after="0" w:line="235" w:lineRule="exact"/>
        <w:rPr>
          <w:sz w:val="20"/>
          <w:szCs w:val="20"/>
          <w:color w:val="auto"/>
        </w:rPr>
      </w:pPr>
    </w:p>
    <w:tbl>
      <w:tblPr>
        <w:tblLayout w:type="fixed"/>
        <w:tblInd w:w="590" w:type="dxa"/>
        <w:tblCellMar>
          <w:top w:w="0" w:type="dxa"/>
          <w:left w:w="0" w:type="dxa"/>
          <w:bottom w:w="0" w:type="dxa"/>
          <w:right w:w="0" w:type="dxa"/>
        </w:tblCellMar>
      </w:tblPr>
      <w:tr>
        <w:trPr>
          <w:trHeight w:val="223"/>
        </w:trPr>
        <w:tc>
          <w:tcPr>
            <w:tcW w:w="5960" w:type="dxa"/>
            <w:vAlign w:val="bottom"/>
            <w:tcBorders>
              <w:top w:val="single" w:sz="8" w:color="auto"/>
              <w:left w:val="single" w:sz="8" w:color="auto"/>
              <w:bottom w:val="single" w:sz="8" w:color="0C0C0C"/>
            </w:tcBorders>
            <w:gridSpan w:val="2"/>
            <w:shd w:val="clear" w:color="auto" w:fill="0C0C0C"/>
          </w:tcPr>
          <w:p>
            <w:pPr>
              <w:jc w:val="center"/>
              <w:ind w:left="74"/>
              <w:spacing w:after="0"/>
              <w:rPr>
                <w:sz w:val="20"/>
                <w:szCs w:val="20"/>
                <w:color w:val="auto"/>
              </w:rPr>
            </w:pPr>
            <w:r>
              <w:rPr>
                <w:rFonts w:ascii="Arial" w:cs="Arial" w:eastAsia="Arial" w:hAnsi="Arial"/>
                <w:sz w:val="14"/>
                <w:szCs w:val="14"/>
                <w:b w:val="1"/>
                <w:bCs w:val="1"/>
                <w:color w:val="FFFFFF"/>
                <w:w w:val="95"/>
              </w:rPr>
              <w:t>Group</w:t>
            </w:r>
          </w:p>
        </w:tc>
        <w:tc>
          <w:tcPr>
            <w:tcW w:w="4160" w:type="dxa"/>
            <w:vAlign w:val="bottom"/>
            <w:tcBorders>
              <w:top w:val="single" w:sz="8" w:color="auto"/>
              <w:bottom w:val="single" w:sz="8" w:color="0C0C0C"/>
              <w:right w:val="single" w:sz="8" w:color="auto"/>
            </w:tcBorders>
            <w:shd w:val="clear" w:color="auto" w:fill="0C0C0C"/>
          </w:tcPr>
          <w:p>
            <w:pPr>
              <w:ind w:left="2140"/>
              <w:spacing w:after="0"/>
              <w:rPr>
                <w:sz w:val="20"/>
                <w:szCs w:val="20"/>
                <w:color w:val="auto"/>
              </w:rPr>
            </w:pPr>
            <w:r>
              <w:rPr>
                <w:rFonts w:ascii="Arial" w:cs="Arial" w:eastAsia="Arial" w:hAnsi="Arial"/>
                <w:sz w:val="14"/>
                <w:szCs w:val="14"/>
                <w:b w:val="1"/>
                <w:bCs w:val="1"/>
                <w:color w:val="FFFFFF"/>
              </w:rPr>
              <w:t>Median Survival Time (Days)</w:t>
            </w:r>
          </w:p>
        </w:tc>
      </w:tr>
      <w:tr>
        <w:trPr>
          <w:trHeight w:val="216"/>
        </w:trPr>
        <w:tc>
          <w:tcPr>
            <w:tcW w:w="5960" w:type="dxa"/>
            <w:vAlign w:val="bottom"/>
            <w:tcBorders>
              <w:left w:val="single" w:sz="8" w:color="auto"/>
              <w:bottom w:val="single" w:sz="8" w:color="auto"/>
            </w:tcBorders>
            <w:gridSpan w:val="2"/>
          </w:tcPr>
          <w:p>
            <w:pPr>
              <w:jc w:val="center"/>
              <w:ind w:left="54"/>
              <w:spacing w:after="0"/>
              <w:rPr>
                <w:sz w:val="20"/>
                <w:szCs w:val="20"/>
                <w:color w:val="auto"/>
              </w:rPr>
            </w:pPr>
            <w:r>
              <w:rPr>
                <w:rFonts w:ascii="Arial" w:cs="Arial" w:eastAsia="Arial" w:hAnsi="Arial"/>
                <w:sz w:val="18"/>
                <w:szCs w:val="18"/>
                <w:color w:val="auto"/>
                <w:w w:val="91"/>
              </w:rPr>
              <w:t>Vehicle</w:t>
            </w:r>
          </w:p>
        </w:tc>
        <w:tc>
          <w:tcPr>
            <w:tcW w:w="4160" w:type="dxa"/>
            <w:vAlign w:val="bottom"/>
            <w:tcBorders>
              <w:bottom w:val="single" w:sz="8" w:color="auto"/>
              <w:right w:val="single" w:sz="8" w:color="auto"/>
            </w:tcBorders>
          </w:tcPr>
          <w:p>
            <w:pPr>
              <w:jc w:val="center"/>
              <w:ind w:left="2014"/>
              <w:spacing w:after="0"/>
              <w:rPr>
                <w:sz w:val="20"/>
                <w:szCs w:val="20"/>
                <w:color w:val="auto"/>
              </w:rPr>
            </w:pPr>
            <w:r>
              <w:rPr>
                <w:rFonts w:ascii="Arial" w:cs="Arial" w:eastAsia="Arial" w:hAnsi="Arial"/>
                <w:sz w:val="18"/>
                <w:szCs w:val="18"/>
                <w:color w:val="auto"/>
                <w:w w:val="89"/>
              </w:rPr>
              <w:t>17</w:t>
            </w:r>
          </w:p>
        </w:tc>
      </w:tr>
      <w:tr>
        <w:trPr>
          <w:trHeight w:val="209"/>
        </w:trPr>
        <w:tc>
          <w:tcPr>
            <w:tcW w:w="30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Anti-PD-1</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 mg/kg</w:t>
            </w:r>
          </w:p>
        </w:tc>
        <w:tc>
          <w:tcPr>
            <w:tcW w:w="4160" w:type="dxa"/>
            <w:vAlign w:val="bottom"/>
            <w:tcBorders>
              <w:bottom w:val="single" w:sz="8" w:color="auto"/>
              <w:right w:val="single" w:sz="8" w:color="auto"/>
            </w:tcBorders>
          </w:tcPr>
          <w:p>
            <w:pPr>
              <w:jc w:val="center"/>
              <w:ind w:left="2014"/>
              <w:spacing w:after="0"/>
              <w:rPr>
                <w:sz w:val="20"/>
                <w:szCs w:val="20"/>
                <w:color w:val="auto"/>
              </w:rPr>
            </w:pPr>
            <w:r>
              <w:rPr>
                <w:rFonts w:ascii="Arial" w:cs="Arial" w:eastAsia="Arial" w:hAnsi="Arial"/>
                <w:sz w:val="18"/>
                <w:szCs w:val="18"/>
                <w:color w:val="auto"/>
                <w:w w:val="89"/>
              </w:rPr>
              <w:t>24</w:t>
            </w:r>
          </w:p>
        </w:tc>
      </w:tr>
      <w:tr>
        <w:trPr>
          <w:trHeight w:val="210"/>
        </w:trPr>
        <w:tc>
          <w:tcPr>
            <w:tcW w:w="30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PC14586</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50 mg/kg</w:t>
            </w:r>
          </w:p>
        </w:tc>
        <w:tc>
          <w:tcPr>
            <w:tcW w:w="4160" w:type="dxa"/>
            <w:vAlign w:val="bottom"/>
            <w:tcBorders>
              <w:bottom w:val="single" w:sz="8" w:color="auto"/>
              <w:right w:val="single" w:sz="8" w:color="auto"/>
            </w:tcBorders>
          </w:tcPr>
          <w:p>
            <w:pPr>
              <w:jc w:val="center"/>
              <w:ind w:left="2014"/>
              <w:spacing w:after="0"/>
              <w:rPr>
                <w:sz w:val="20"/>
                <w:szCs w:val="20"/>
                <w:color w:val="auto"/>
              </w:rPr>
            </w:pPr>
            <w:r>
              <w:rPr>
                <w:rFonts w:ascii="Arial" w:cs="Arial" w:eastAsia="Arial" w:hAnsi="Arial"/>
                <w:sz w:val="18"/>
                <w:szCs w:val="18"/>
                <w:color w:val="auto"/>
                <w:w w:val="89"/>
              </w:rPr>
              <w:t>28</w:t>
            </w:r>
          </w:p>
        </w:tc>
      </w:tr>
      <w:tr>
        <w:trPr>
          <w:trHeight w:val="210"/>
        </w:trPr>
        <w:tc>
          <w:tcPr>
            <w:tcW w:w="5960" w:type="dxa"/>
            <w:vAlign w:val="bottom"/>
            <w:tcBorders>
              <w:left w:val="single" w:sz="8" w:color="auto"/>
              <w:bottom w:val="single" w:sz="8" w:color="auto"/>
            </w:tcBorders>
            <w:gridSpan w:val="2"/>
          </w:tcPr>
          <w:p>
            <w:pPr>
              <w:jc w:val="center"/>
              <w:ind w:left="74"/>
              <w:spacing w:after="0"/>
              <w:rPr>
                <w:sz w:val="20"/>
                <w:szCs w:val="20"/>
                <w:color w:val="auto"/>
              </w:rPr>
            </w:pPr>
            <w:r>
              <w:rPr>
                <w:rFonts w:ascii="Arial" w:cs="Arial" w:eastAsia="Arial" w:hAnsi="Arial"/>
                <w:sz w:val="18"/>
                <w:szCs w:val="18"/>
                <w:color w:val="auto"/>
                <w:w w:val="92"/>
              </w:rPr>
              <w:t>PC14586 50 mg/kg + Anti-PD-1 200 mg/kg</w:t>
            </w:r>
          </w:p>
        </w:tc>
        <w:tc>
          <w:tcPr>
            <w:tcW w:w="4160" w:type="dxa"/>
            <w:vAlign w:val="bottom"/>
            <w:tcBorders>
              <w:bottom w:val="single" w:sz="8" w:color="auto"/>
              <w:right w:val="single" w:sz="8" w:color="auto"/>
            </w:tcBorders>
          </w:tcPr>
          <w:p>
            <w:pPr>
              <w:jc w:val="center"/>
              <w:ind w:left="2014"/>
              <w:spacing w:after="0"/>
              <w:rPr>
                <w:sz w:val="20"/>
                <w:szCs w:val="20"/>
                <w:color w:val="auto"/>
              </w:rPr>
            </w:pPr>
            <w:r>
              <w:rPr>
                <w:rFonts w:ascii="Arial" w:cs="Arial" w:eastAsia="Arial" w:hAnsi="Arial"/>
                <w:sz w:val="18"/>
                <w:szCs w:val="18"/>
                <w:color w:val="auto"/>
                <w:w w:val="93"/>
              </w:rPr>
              <w:t>&gt;156</w:t>
            </w: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Note: Dosing ceased on day 70 in the PC14586 + Anti-PD-1 arm.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initiated a Phase 1/2 clinical trial for PC14586 in October 2020. In addition, we were granted FDA Fast Track designation of PC14586 for the treatment of patients with locally advanced or metastatic solid tumors with a p53 Y220C mutation in October 2020. We dosed our first patient in this clinical trial in the fourth quarter of 2020. While we are in the early stages of discovery and development of our product candidates and our novel approach is unproven, we are initially pursuing a tumor-agnostic development strategy.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However, based on the pivotal studies conducted by other companies to support the approval of other products, such as studies conducted by Agios (Idhifa) and Blueprint Medicines (Ayvakit), Amgen (Lumakras), as well as the pivotal studies announced by other companies for their product candidates, including Mirati (adagrasib) and Turning Point Therapeutics (repotrectinib), we believe our Phase 1/2 clinical trial has the potential to serve as a pivotal study. In our Phase 1/2 clinical trial, we have enrolled patients with advanced solid tumors that harbor the p53 Y220C mutation, characterized by NGS of either a solid or blood-based (circulating tumor DNA) biopsy.</w:t>
      </w:r>
    </w:p>
    <w:p>
      <w:pPr>
        <w:spacing w:after="0" w:line="182"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Phase 1 portion is designed to evaluate escalating oral doses of PC14586 to determine the MTD and recommended Phase 2 dose of PC14586 when administered orally to patients, as well as to assess safety, tolerability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140"/>
        <w:spacing w:after="0" w:line="255" w:lineRule="auto"/>
        <w:rPr>
          <w:sz w:val="20"/>
          <w:szCs w:val="20"/>
          <w:color w:val="auto"/>
        </w:rPr>
      </w:pPr>
      <w:r>
        <w:rPr>
          <w:rFonts w:ascii="Arial" w:cs="Arial" w:eastAsia="Arial" w:hAnsi="Arial"/>
          <w:sz w:val="18"/>
          <w:szCs w:val="18"/>
          <w:color w:val="auto"/>
        </w:rPr>
        <w:t>and effects on biomarkers. The Phase 1 portion is also designed to assess preliminary anti-tumor efficacy in patients with advanced solid tumors that have the p53 Y220C mutation. The trial is planned to primarily evaluate once daily dosing, but may also assess more frequent dosing schedules, such as twice daily, if the drug pharmacology or patient tolerability suggest this could be a more efficacious approach. In the Phase 1 portion, we plan to enroll up to 30 patients with locally advanced or metastatic solid tumors that have the p53 Y220C mutation determined using NGS, whose disease has progressed during or after prior standard of care therapy. Multiple biomarker assays will be used in the trial to assess on target and on mechanism activity, and preliminary clinical efficacy in patients will also be assessed.</w:t>
      </w:r>
    </w:p>
    <w:p>
      <w:pPr>
        <w:spacing w:after="0" w:line="19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Phase 2 portion of the Phase 1/2 clinical trial is expected to enroll up to 100 patients. We expect to enroll a population with a variety of locally advanced or metastatic cancers including breast, NSCLC, colorectal, pancreatic and ovarian cancer. The planned primary objective of the Phase 2 portion is to evaluate the anti-tumor efficacy of PC14586 in patients with the p53 Y220C mutation, as shown by objective response rate. Other secondary endpoints planned to be assessed include the duration of response, progression free survival, overall survival and endpoints to evaluate the safety and tolerability of PC14586.</w:t>
      </w:r>
    </w:p>
    <w:p>
      <w:pPr>
        <w:spacing w:after="0" w:line="188"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Patient blood and tumor samples will be collected prior to the start of study treatment for retrospective, confirmatory mutation testing using a central clinical trial assay. In addition, blood and tumor samples will be collected and stored to facilitate future development of a companion diagnostic test.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PC14586 Phase 1/2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3514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If the data from our Phase 1/2 clinical trial show robust activity across the tumor types, we initially intend to pursue an approval from the FDA under the accelerated approval pathway for a tumor-agnostic indication. This strategy is based on approval pathways utilized by pembrolizumab (Keytruda) and dostarlimab (Jemperli) in MSI-high/dMMR cancers and larotrectinib (Vitrakvi) and entrectinib (Rozlytrek) in NTRK gene fusion cancers. If we observe clinical benefit in certain tumor or cancer types but do not have sufficient data or powering to support 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ind w:right="140"/>
        <w:spacing w:after="0" w:line="296" w:lineRule="auto"/>
        <w:rPr>
          <w:sz w:val="20"/>
          <w:szCs w:val="20"/>
          <w:color w:val="auto"/>
        </w:rPr>
      </w:pPr>
      <w:r>
        <w:rPr>
          <w:rFonts w:ascii="Arial" w:cs="Arial" w:eastAsia="Arial" w:hAnsi="Arial"/>
          <w:sz w:val="16"/>
          <w:szCs w:val="16"/>
          <w:color w:val="auto"/>
        </w:rPr>
        <w:t>tumor-agnostic indication from the Phase 1/2 clinical trial, we may seek a tumor or cancer specific label and evaluate additional trials to pursue a broader labeling for PC14586. We believe that the results of the Phase 1/2 clinical trial in PC14586 with respect to the endpoints of ORR and DoR, along with the safety data from the clinical trial, have the potential to support approval of a new drug application, or NDA, subject to discussions with the FDA and provided we can obtain data from a sufficient sample size across the tumor types. While accelerated approval cannot be guaranteed, if we obtain accelerated approval, we anticipate that the FDA will require the conduct of a post-approval commitment to confirm clinical benefit.</w:t>
      </w:r>
    </w:p>
    <w:p>
      <w:pPr>
        <w:spacing w:after="0" w:line="161"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We may also seek orphan drug or breakthrough therapy designation from the FDA. In addition, we may engage in health authority interactions with agencies outside the United States such as in Europe and Japan, for example. We plan to collaborate with a partner to develop a companion diagnostic test. Further, we expect to initially seek approval of our product candidates, in most instances, including with PC14586, at least as a second line therapy.</w:t>
      </w:r>
    </w:p>
    <w:p>
      <w:pPr>
        <w:spacing w:after="0" w:line="2"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Subsequently, depending on the nature of the clinical data and experience with any approved products or product candidates, if any, we may pursue approval as an earlier line therapy and potentially as a first line therapy.</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WIP1 (Wild-type p53 Induced-Phosphatase): Our First Wild-type p53 Program</w:t>
      </w:r>
    </w:p>
    <w:p>
      <w:pPr>
        <w:spacing w:after="0" w:line="117"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The WIP1 phosphatase is a member of PP2C family of serine–threonine phosphatases. WIP1 was identified as a p53 target gene that reduces wild-type p53 levels and negatively regulates the DNA damage response pathway which can lead to tumorigenesis. WIP1 is activated by DNA damage and is responsible for turning off the DNA damage-response pathway after completion of DNA repair. In addition to reducing wild-type p53 levels, WIP1 also negatively regulates several proteins upstream of p53 in the DNA damage signaling pathway such as ATM, ATR Chk1 and Chk2.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100330</wp:posOffset>
            </wp:positionV>
            <wp:extent cx="4585970" cy="3531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8597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600"/>
        <w:spacing w:after="0"/>
        <w:rPr>
          <w:sz w:val="20"/>
          <w:szCs w:val="20"/>
          <w:color w:val="auto"/>
        </w:rPr>
      </w:pPr>
      <w:r>
        <w:rPr>
          <w:rFonts w:ascii="Arial" w:cs="Arial" w:eastAsia="Arial" w:hAnsi="Arial"/>
          <w:sz w:val="14"/>
          <w:szCs w:val="14"/>
          <w:color w:val="303030"/>
        </w:rPr>
        <w:t>(1)</w:t>
      </w:r>
    </w:p>
    <w:p>
      <w:pPr>
        <w:spacing w:after="0" w:line="204" w:lineRule="exact"/>
        <w:rPr>
          <w:sz w:val="20"/>
          <w:szCs w:val="20"/>
          <w:color w:val="auto"/>
        </w:rPr>
      </w:pPr>
    </w:p>
    <w:p>
      <w:pPr>
        <w:ind w:right="900" w:firstLine="597"/>
        <w:spacing w:after="0" w:line="253" w:lineRule="auto"/>
        <w:tabs>
          <w:tab w:leader="none" w:pos="792" w:val="left"/>
        </w:tabs>
        <w:numPr>
          <w:ilvl w:val="0"/>
          <w:numId w:val="13"/>
        </w:numPr>
        <w:rPr>
          <w:rFonts w:ascii="Arial" w:cs="Arial" w:eastAsia="Arial" w:hAnsi="Arial"/>
          <w:sz w:val="14"/>
          <w:szCs w:val="14"/>
          <w:color w:val="303030"/>
        </w:rPr>
      </w:pPr>
      <w:r>
        <w:rPr>
          <w:rFonts w:ascii="Arial" w:cs="Arial" w:eastAsia="Arial" w:hAnsi="Arial"/>
          <w:sz w:val="14"/>
          <w:szCs w:val="14"/>
          <w:color w:val="303030"/>
        </w:rPr>
        <w:t xml:space="preserve">Chart is sourced from Pecháčková S, Burdová K, Macurek L. WIP1 phosphatase as pharmacological target in cancer therapy. </w:t>
      </w:r>
      <w:r>
        <w:rPr>
          <w:rFonts w:ascii="Arial" w:cs="Arial" w:eastAsia="Arial" w:hAnsi="Arial"/>
          <w:sz w:val="14"/>
          <w:szCs w:val="14"/>
          <w:i w:val="1"/>
          <w:iCs w:val="1"/>
          <w:color w:val="303030"/>
        </w:rPr>
        <w:t>J Mol Med (Berl)</w:t>
      </w:r>
      <w:r>
        <w:rPr>
          <w:rFonts w:ascii="Arial" w:cs="Arial" w:eastAsia="Arial" w:hAnsi="Arial"/>
          <w:sz w:val="14"/>
          <w:szCs w:val="14"/>
          <w:color w:val="303030"/>
        </w:rPr>
        <w:t xml:space="preserve">. 2017;95(6):589-599. doi:10.1007/s00109-017-1536-2. </w:t>
      </w:r>
      <w:r>
        <w:rPr>
          <w:rFonts w:ascii="Arial" w:cs="Arial" w:eastAsia="Arial" w:hAnsi="Arial"/>
          <w:sz w:val="14"/>
          <w:szCs w:val="14"/>
          <w:color w:val="333333"/>
        </w:rPr>
        <w:t>(</w:t>
      </w:r>
      <w:r>
        <w:rPr>
          <w:rFonts w:ascii="Arial" w:cs="Arial" w:eastAsia="Arial" w:hAnsi="Arial"/>
          <w:sz w:val="14"/>
          <w:szCs w:val="14"/>
          <w:u w:val="single" w:color="auto"/>
          <w:color w:val="303030"/>
        </w:rPr>
        <w:t>http://creativecommons.org/licenses/by/4.0/</w:t>
      </w:r>
      <w:r>
        <w:rPr>
          <w:rFonts w:ascii="Arial" w:cs="Arial" w:eastAsia="Arial" w:hAnsi="Arial"/>
          <w:sz w:val="14"/>
          <w:szCs w:val="14"/>
          <w:color w:val="333333"/>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ind w:right="180" w:firstLine="589"/>
        <w:spacing w:after="0" w:line="263" w:lineRule="auto"/>
        <w:rPr>
          <w:sz w:val="20"/>
          <w:szCs w:val="20"/>
          <w:color w:val="auto"/>
        </w:rPr>
      </w:pPr>
      <w:r>
        <w:rPr>
          <w:rFonts w:ascii="Arial" w:cs="Arial" w:eastAsia="Arial" w:hAnsi="Arial"/>
          <w:sz w:val="18"/>
          <w:szCs w:val="18"/>
          <w:color w:val="auto"/>
        </w:rPr>
        <w:t>WIP1 causes a decrease in wild-type p53 which ultimately results in tumorigenesis. We are generating molecules designed to inhibit WIP1. Our WIP1 program is currently in lead optimization and continues to progress towards selection of a development candidate, at which point we would initiate IND-enabling studies.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R282W: Our Second Mutant p53 Program</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R282W is the sixth most frequent p53 mutation and accounts for approximately 2.8% of all TP53 mutations. The R282W mutation results from arginine being substituted by a tryptophan at amino acid position 282 and is considered a structural mutation. This structural mutation is thermodynamically unstable and cause the protein to lose shape and therefore its wild-type DNA binding activity at physiological temperature. This results in a lack of p53 transcription and pathway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127635</wp:posOffset>
            </wp:positionV>
            <wp:extent cx="2451735" cy="2263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173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We are generating molecules designed to structurally correct the R282W p53 protein to restore its binding to the DNA. Our R282W program continues to progress towards lead optimization.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23" w:name="page24"/>
    <w:bookmarkEnd w:id="23"/>
    <w:p>
      <w:pPr>
        <w:ind w:left="600"/>
        <w:spacing w:after="0"/>
        <w:rPr>
          <w:sz w:val="20"/>
          <w:szCs w:val="20"/>
          <w:color w:val="auto"/>
        </w:rPr>
      </w:pPr>
      <w:r>
        <w:rPr>
          <w:rFonts w:ascii="Arial" w:cs="Arial" w:eastAsia="Arial" w:hAnsi="Arial"/>
          <w:sz w:val="18"/>
          <w:szCs w:val="18"/>
          <w:b w:val="1"/>
          <w:bCs w:val="1"/>
          <w:i w:val="1"/>
          <w:iCs w:val="1"/>
          <w:color w:val="auto"/>
        </w:rPr>
        <w:t>R273H: Our Third Mutant p53 Program</w:t>
      </w:r>
    </w:p>
    <w:p>
      <w:pPr>
        <w:spacing w:after="0" w:line="117"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R273H is the third most frequent p53 mutation and is found in approximately 4% of all p53 mutations. The R273H mutation results from arginine being substituted by a histidine at amino acid position 273 and is considered a DNA contact mutation. DNA contact mutations affect residues involved directly in DNA-p53 binding but do not alter the p53 protein structure. R273 is one of the most frequently altered residues in human cancer (6.4% of all somatic mutations), with the alteration to a histidine (R273H) being the most common of the R273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-19050</wp:posOffset>
            </wp:positionV>
            <wp:extent cx="5143500" cy="4217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R273H mutation causes a decrease in binding between the p53 protein and DNA, resulting in its inability to activate transcription of p53 target genes. We are generating molecules designed to enhance and restore the binding of the p53 protein and DNA. Our R273H program continues to progress towards lead optimization.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Pipeline Programs</w:t>
      </w:r>
    </w:p>
    <w:p>
      <w:pPr>
        <w:spacing w:after="0" w:line="229"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addition to our PC14586 Y220C, WIP1, R282W and R273H programs, we are focused on developing a pipeline of product candidates targeting other p53 hotspot mutations and targeting inhibitors of wild-type p53. These programs have been developed internally using our precision oncology platform and expertise.</w:t>
      </w:r>
    </w:p>
    <w:p>
      <w:pPr>
        <w:spacing w:after="0" w:line="184"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are able to utilize the same general principles and similar drug discovery methods developed from our PC14586 Y220C program across other p53 hotspot mutations to facilitate the discovery of additional new product candidates. We study the structural and functional properties of the target. We use assays, screens, preclinical model systems and biomarkers to assess and optimize selective small molecules for specific p53 mutants. Specifically, many of the efficiencies from assays and model systems developed for our PC14586 Y220C program are being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ind w:right="160"/>
        <w:spacing w:after="0" w:line="259" w:lineRule="auto"/>
        <w:rPr>
          <w:sz w:val="20"/>
          <w:szCs w:val="20"/>
          <w:color w:val="auto"/>
        </w:rPr>
      </w:pPr>
      <w:r>
        <w:rPr>
          <w:rFonts w:ascii="Arial" w:cs="Arial" w:eastAsia="Arial" w:hAnsi="Arial"/>
          <w:sz w:val="18"/>
          <w:szCs w:val="18"/>
          <w:color w:val="auto"/>
        </w:rPr>
        <w:t>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 In addition, we have applied our platform to expand our pipeline into targeting certain cancers where wild-type p53 function is silenced such as WIP1.</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92"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We are a precision oncology company pioneering the discovery and development of small molecule therapies targeting p53 mutations and certain cancers where wild-type p53 function is silenced.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w:t>
      </w:r>
    </w:p>
    <w:p>
      <w:pPr>
        <w:spacing w:after="0" w:line="4"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MDM2 interaction, which are in various stages of clinical development being tested by Aileron Therapeutics, Ascentage Pharma, Boehringer Ingelheim, Daiichi Sankyo (out-licensed worldwide rights to Rain Therapeutics), Kartos Therapeutics, Kymera Therapeutics, Novartis and Roche, including testing MDM2 inhibitors in combination with a variety of other anti-cancer agents.</w:t>
      </w:r>
    </w:p>
    <w:p>
      <w:pPr>
        <w:spacing w:after="0" w:line="190" w:lineRule="exact"/>
        <w:rPr>
          <w:sz w:val="20"/>
          <w:szCs w:val="20"/>
          <w:color w:val="auto"/>
        </w:rPr>
      </w:pPr>
    </w:p>
    <w:p>
      <w:pPr>
        <w:ind w:right="340" w:firstLine="589"/>
        <w:spacing w:after="0" w:line="259"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8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7" w:lineRule="exact"/>
        <w:rPr>
          <w:sz w:val="20"/>
          <w:szCs w:val="20"/>
          <w:color w:val="auto"/>
        </w:rPr>
      </w:pPr>
    </w:p>
    <w:p>
      <w:pPr>
        <w:ind w:right="400" w:firstLine="589"/>
        <w:spacing w:after="0" w:line="259"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7"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right="200"/>
        <w:spacing w:after="0" w:line="301" w:lineRule="auto"/>
        <w:rPr>
          <w:sz w:val="20"/>
          <w:szCs w:val="20"/>
          <w:color w:val="auto"/>
        </w:rPr>
      </w:pPr>
      <w:r>
        <w:rPr>
          <w:rFonts w:ascii="Arial" w:cs="Arial" w:eastAsia="Arial" w:hAnsi="Arial"/>
          <w:sz w:val="16"/>
          <w:szCs w:val="16"/>
          <w:color w:val="auto"/>
        </w:rPr>
        <w:t>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manufacture of our product candidates undergoing preclinical and clinical testing, as well as for commercial manufacture if our product candidates receive marketing approval.</w:t>
      </w:r>
    </w:p>
    <w:p>
      <w:pPr>
        <w:spacing w:after="0" w:line="184"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8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84"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84"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ind w:right="700"/>
        <w:spacing w:after="0" w:line="277" w:lineRule="auto"/>
        <w:rPr>
          <w:sz w:val="20"/>
          <w:szCs w:val="20"/>
          <w:color w:val="auto"/>
        </w:rPr>
      </w:pPr>
      <w:r>
        <w:rPr>
          <w:rFonts w:ascii="Arial" w:cs="Arial" w:eastAsia="Arial" w:hAnsi="Arial"/>
          <w:sz w:val="18"/>
          <w:szCs w:val="18"/>
          <w:color w:val="auto"/>
        </w:rPr>
        <w:t>enforceable patents and other proprietary rights of third parties. Intellectual property rights may not address all potential threats to our competitive advantage.</w:t>
      </w:r>
    </w:p>
    <w:p>
      <w:pPr>
        <w:spacing w:after="0" w:line="170"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67"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t>protected by the patents no longer under license, we would not be able to block the competitor’s progress. If the competitor’s product was competitive with ours, then we may suffer economic harm from the competitive product.</w:t>
      </w:r>
    </w:p>
    <w:p>
      <w:pPr>
        <w:spacing w:after="0" w:line="170"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74"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92"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February 28, 2022, we owned two issued US patents relating to methods of use and composition of matter of PMV compounds, including PC14586, at least 11 pending US patent applications, and at least ten pending foreign patent applications, each of which relates to methods of use and composition of matter of PMV compounds, including PC14586. The two issued US patents are expected to expire in 2037, without taking into account any possible patent term adjustment or extensions.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ind w:right="20"/>
        <w:spacing w:after="0" w:line="277" w:lineRule="auto"/>
        <w:rPr>
          <w:sz w:val="20"/>
          <w:szCs w:val="20"/>
          <w:color w:val="auto"/>
        </w:rPr>
      </w:pPr>
      <w:r>
        <w:rPr>
          <w:rFonts w:ascii="Arial" w:cs="Arial" w:eastAsia="Arial" w:hAnsi="Arial"/>
          <w:sz w:val="18"/>
          <w:szCs w:val="18"/>
          <w:color w:val="auto"/>
        </w:rPr>
        <w:t>quality, safety and efficacy. Such data must then be organized into a format specific for each regulatory authority, submitted for review and approved by the regulatory authority.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In the United States, the FDA regulates drugs under the Food, Drug and Cosmetic Act, or FDCA, and its implementing regulations. The process required by the FDA before a drug may be marketed in the United States generally involves the following:</w:t>
      </w:r>
    </w:p>
    <w:p>
      <w:pPr>
        <w:spacing w:after="0" w:line="62" w:lineRule="exact"/>
        <w:rPr>
          <w:sz w:val="20"/>
          <w:szCs w:val="20"/>
          <w:color w:val="auto"/>
        </w:rPr>
      </w:pPr>
    </w:p>
    <w:p>
      <w:pPr>
        <w:ind w:left="1160" w:right="54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site before each trial may be initiated;</w:t>
      </w:r>
    </w:p>
    <w:p>
      <w:pPr>
        <w:spacing w:after="0" w:line="167" w:lineRule="exact"/>
        <w:rPr>
          <w:rFonts w:ascii="Arial" w:cs="Arial" w:eastAsia="Arial" w:hAnsi="Arial"/>
          <w:sz w:val="16"/>
          <w:szCs w:val="16"/>
          <w:color w:val="auto"/>
        </w:rPr>
      </w:pPr>
    </w:p>
    <w:p>
      <w:pPr>
        <w:ind w:left="1160" w:right="50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44" w:lineRule="exact"/>
        <w:rPr>
          <w:rFonts w:ascii="Arial" w:cs="Arial" w:eastAsia="Arial" w:hAnsi="Arial"/>
          <w:sz w:val="18"/>
          <w:szCs w:val="18"/>
          <w:color w:val="auto"/>
        </w:rPr>
      </w:pPr>
    </w:p>
    <w:p>
      <w:pPr>
        <w:ind w:left="1160" w:hanging="572"/>
        <w:spacing w:after="0" w:line="286"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57" w:lineRule="exact"/>
        <w:rPr>
          <w:rFonts w:ascii="Arial" w:cs="Arial" w:eastAsia="Arial" w:hAnsi="Arial"/>
          <w:sz w:val="17"/>
          <w:szCs w:val="17"/>
          <w:color w:val="auto"/>
        </w:rPr>
      </w:pPr>
    </w:p>
    <w:p>
      <w:pPr>
        <w:ind w:left="1160" w:hanging="572"/>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FDA review and approval of the NDA to permit commercial marketing of the product for particular indications for use in the United States.</w:t>
      </w:r>
    </w:p>
    <w:p>
      <w:pPr>
        <w:spacing w:after="0" w:line="275"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6"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ind w:right="400"/>
        <w:spacing w:after="0" w:line="279" w:lineRule="auto"/>
        <w:rPr>
          <w:sz w:val="20"/>
          <w:szCs w:val="20"/>
          <w:color w:val="auto"/>
        </w:rPr>
      </w:pPr>
      <w:r>
        <w:rPr>
          <w:rFonts w:ascii="Arial" w:cs="Arial" w:eastAsia="Arial" w:hAnsi="Arial"/>
          <w:sz w:val="17"/>
          <w:szCs w:val="17"/>
          <w:color w:val="auto"/>
        </w:rPr>
        <w:t>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160" w:right="140" w:hanging="572"/>
        <w:spacing w:after="0" w:line="275"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68" w:lineRule="exact"/>
        <w:rPr>
          <w:rFonts w:ascii="Arial" w:cs="Arial" w:eastAsia="Arial" w:hAnsi="Arial"/>
          <w:sz w:val="17"/>
          <w:szCs w:val="17"/>
          <w:color w:val="auto"/>
        </w:rPr>
      </w:pPr>
    </w:p>
    <w:p>
      <w:pPr>
        <w:ind w:left="1160" w:right="200" w:hanging="572"/>
        <w:spacing w:after="0" w:line="286"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57" w:lineRule="exact"/>
        <w:rPr>
          <w:rFonts w:ascii="Arial" w:cs="Arial" w:eastAsia="Arial" w:hAnsi="Arial"/>
          <w:sz w:val="17"/>
          <w:szCs w:val="17"/>
          <w:color w:val="auto"/>
        </w:rPr>
      </w:pPr>
    </w:p>
    <w:p>
      <w:pPr>
        <w:ind w:left="1160" w:hanging="572"/>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right="360" w:firstLine="589"/>
        <w:spacing w:after="0" w:line="259" w:lineRule="auto"/>
        <w:rPr>
          <w:sz w:val="20"/>
          <w:szCs w:val="20"/>
          <w:color w:val="auto"/>
        </w:rPr>
      </w:pPr>
      <w:r>
        <w:rPr>
          <w:rFonts w:ascii="Arial" w:cs="Arial" w:eastAsia="Arial" w:hAnsi="Arial"/>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87"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92"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76"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ind w:right="100" w:firstLine="589"/>
        <w:spacing w:after="0" w:line="275" w:lineRule="auto"/>
        <w:rPr>
          <w:sz w:val="20"/>
          <w:szCs w:val="20"/>
          <w:color w:val="auto"/>
        </w:rPr>
      </w:pPr>
      <w:r>
        <w:rPr>
          <w:rFonts w:ascii="Arial" w:cs="Arial" w:eastAsia="Arial" w:hAnsi="Arial"/>
          <w:sz w:val="17"/>
          <w:szCs w:val="17"/>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Our clinical trial plans and future planned clinical trials may be adversely affected, delayed or interrupted by the ongoing COVID-19 pandemic. We may be required to develop and implement additional clinical trial policies and procedures designed to help protect subjects participating in clinical trials during the COVID-19 pandemic. For example, the FDA issued guidance in March 2020, which the FDA subsequently updated, on conducting clinical trials during the pandemic, which describes a number of considerations for sponsors of clinical trials impacted by the pandemic. In June 2020 and June 2021, the FDA has published a number of industry guidance documents, including updates to previous guidance, related to cGMP requirements, remote interactive evaluations of drug manufacturing and bioresearch monitoring facilities, and drug product manufacturing and supply chain inspections, among others. The extent to which the COVID-19 pandemic impacts our business, preclinical studies and clinical trials will depend on future developments, which are highly uncertain and cannot be predicted with confidence.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17"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9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78"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40" w:firstLine="589"/>
        <w:spacing w:after="0" w:line="272" w:lineRule="auto"/>
        <w:rPr>
          <w:sz w:val="20"/>
          <w:szCs w:val="20"/>
          <w:color w:val="auto"/>
        </w:rPr>
      </w:pPr>
      <w:r>
        <w:rPr>
          <w:rFonts w:ascii="Arial" w:cs="Arial" w:eastAsia="Arial" w:hAnsi="Arial"/>
          <w:sz w:val="17"/>
          <w:szCs w:val="17"/>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7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2"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65"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jc w:val="both"/>
        <w:ind w:right="160"/>
        <w:spacing w:after="0" w:line="263" w:lineRule="auto"/>
        <w:rPr>
          <w:sz w:val="20"/>
          <w:szCs w:val="20"/>
          <w:color w:val="auto"/>
        </w:rPr>
      </w:pPr>
      <w:r>
        <w:rPr>
          <w:rFonts w:ascii="Arial" w:cs="Arial" w:eastAsia="Arial" w:hAnsi="Arial"/>
          <w:sz w:val="18"/>
          <w:szCs w:val="18"/>
          <w:color w:val="auto"/>
        </w:rPr>
        <w:t>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4"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7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78"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2"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distribution restrictions or other restrictions under a REMS program. Other potential consequences include, among other things:</w:t>
      </w:r>
    </w:p>
    <w:p>
      <w:pPr>
        <w:spacing w:after="0" w:line="117" w:lineRule="exact"/>
        <w:rPr>
          <w:sz w:val="20"/>
          <w:szCs w:val="20"/>
          <w:color w:val="auto"/>
        </w:rPr>
      </w:pPr>
    </w:p>
    <w:p>
      <w:pPr>
        <w:ind w:left="1160" w:hanging="572"/>
        <w:spacing w:after="0"/>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44"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72"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right="40" w:firstLine="589"/>
        <w:spacing w:after="0" w:line="254"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9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17" w:lineRule="exact"/>
        <w:rPr>
          <w:sz w:val="20"/>
          <w:szCs w:val="20"/>
          <w:color w:val="auto"/>
        </w:rPr>
      </w:pPr>
    </w:p>
    <w:p>
      <w:pPr>
        <w:ind w:right="80" w:firstLine="589"/>
        <w:spacing w:after="0" w:line="285" w:lineRule="auto"/>
        <w:rPr>
          <w:sz w:val="20"/>
          <w:szCs w:val="20"/>
          <w:color w:val="auto"/>
        </w:rPr>
      </w:pPr>
      <w:r>
        <w:rPr>
          <w:rFonts w:ascii="Arial" w:cs="Arial" w:eastAsia="Arial" w:hAnsi="Arial"/>
          <w:sz w:val="16"/>
          <w:szCs w:val="16"/>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w:t>
      </w:r>
    </w:p>
    <w:p>
      <w:pPr>
        <w:spacing w:after="0" w:line="2" w:lineRule="exact"/>
        <w:rPr>
          <w:sz w:val="20"/>
          <w:szCs w:val="20"/>
          <w:color w:val="auto"/>
        </w:rPr>
      </w:pPr>
    </w:p>
    <w:p>
      <w:pPr>
        <w:jc w:val="both"/>
        <w:ind w:right="140" w:firstLine="8"/>
        <w:spacing w:after="0" w:line="25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3"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95"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right="60"/>
        <w:spacing w:after="0" w:line="288" w:lineRule="auto"/>
        <w:rPr>
          <w:sz w:val="20"/>
          <w:szCs w:val="20"/>
          <w:color w:val="auto"/>
        </w:rPr>
      </w:pPr>
      <w:r>
        <w:rPr>
          <w:rFonts w:ascii="Arial" w:cs="Arial" w:eastAsia="Arial" w:hAnsi="Arial"/>
          <w:sz w:val="16"/>
          <w:szCs w:val="16"/>
          <w:color w:val="auto"/>
        </w:rPr>
        <w:t>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68"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The risk of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68" w:lineRule="exact"/>
        <w:rPr>
          <w:sz w:val="20"/>
          <w:szCs w:val="20"/>
          <w:color w:val="auto"/>
        </w:rPr>
      </w:pPr>
    </w:p>
    <w:p>
      <w:pPr>
        <w:ind w:right="200" w:firstLine="589"/>
        <w:spacing w:after="0" w:line="293" w:lineRule="auto"/>
        <w:rPr>
          <w:sz w:val="20"/>
          <w:szCs w:val="20"/>
          <w:color w:val="auto"/>
        </w:rPr>
      </w:pPr>
      <w:r>
        <w:rPr>
          <w:rFonts w:ascii="Arial" w:cs="Arial" w:eastAsia="Arial" w:hAnsi="Arial"/>
          <w:sz w:val="16"/>
          <w:szCs w:val="16"/>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ind w:right="20"/>
        <w:spacing w:after="0" w:line="311" w:lineRule="auto"/>
        <w:rPr>
          <w:sz w:val="20"/>
          <w:szCs w:val="20"/>
          <w:color w:val="auto"/>
        </w:rPr>
      </w:pPr>
      <w:r>
        <w:rPr>
          <w:rFonts w:ascii="Arial" w:cs="Arial" w:eastAsia="Arial" w:hAnsi="Arial"/>
          <w:sz w:val="16"/>
          <w:szCs w:val="16"/>
          <w:color w:val="auto"/>
        </w:rPr>
        <w:t>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49"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80" w:firstLine="589"/>
        <w:spacing w:after="0" w:line="288" w:lineRule="auto"/>
        <w:rPr>
          <w:sz w:val="20"/>
          <w:szCs w:val="20"/>
          <w:color w:val="auto"/>
        </w:rPr>
      </w:pPr>
      <w:r>
        <w:rPr>
          <w:rFonts w:ascii="Arial" w:cs="Arial" w:eastAsia="Arial" w:hAnsi="Arial"/>
          <w:sz w:val="16"/>
          <w:szCs w:val="16"/>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68"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181" w:lineRule="exact"/>
        <w:rPr>
          <w:sz w:val="20"/>
          <w:szCs w:val="20"/>
          <w:color w:val="auto"/>
        </w:rPr>
      </w:pPr>
    </w:p>
    <w:p>
      <w:pPr>
        <w:ind w:right="100" w:firstLine="569"/>
        <w:spacing w:after="0" w:line="301"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aggregate reductions to Medicare payments to providers of 2% per fiscal year, effective April 1, 2013, which will remain in effect through 2030, with the exception of a temporary suspension implemented under various COVID-19 relief legislation from May 1, 2020 through March 31, 2021, unless additional Congressional action is taken. Under current legislation, the actual reduction in Medicare payments will vary from 1% in 2022 to up to 3% in the final fiscal year of this sequester.</w:t>
      </w:r>
    </w:p>
    <w:p>
      <w:pPr>
        <w:spacing w:after="0" w:line="157" w:lineRule="exact"/>
        <w:rPr>
          <w:sz w:val="20"/>
          <w:szCs w:val="20"/>
          <w:color w:val="auto"/>
        </w:rPr>
      </w:pPr>
    </w:p>
    <w:p>
      <w:pPr>
        <w:ind w:right="680" w:firstLine="589"/>
        <w:spacing w:after="0" w:line="301"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Specifically, there have been several recent U.S. Presidential executive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line="285" w:lineRule="auto"/>
        <w:rPr>
          <w:sz w:val="20"/>
          <w:szCs w:val="20"/>
          <w:color w:val="auto"/>
        </w:rPr>
      </w:pPr>
      <w:r>
        <w:rPr>
          <w:rFonts w:ascii="Arial" w:cs="Arial" w:eastAsia="Arial" w:hAnsi="Arial"/>
          <w:sz w:val="16"/>
          <w:szCs w:val="16"/>
          <w:color w:val="auto"/>
        </w:rPr>
        <w:t>orders,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in 2020, the U.S. Department of Health and Human Services, or HHS, and Centers for Medicare &amp; Medicaid Services, or CMS, issued various rules that were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As a result, the Biden administration and HHS have delayed the implementation or published rules rescinding some of these Trump-era policies.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Pursuant to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approved products, which could have a material impact on our business. In addition, Congress is considering drug pricing as part of other reform initiatives. The impact of these and future reform measures on us and the pharmaceutical industry as a whole is unclear.</w:t>
      </w:r>
    </w:p>
    <w:p>
      <w:pPr>
        <w:spacing w:after="0" w:line="174" w:lineRule="exact"/>
        <w:rPr>
          <w:sz w:val="20"/>
          <w:szCs w:val="20"/>
          <w:color w:val="auto"/>
        </w:rPr>
      </w:pPr>
    </w:p>
    <w:p>
      <w:pPr>
        <w:ind w:right="200" w:firstLine="589"/>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17"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65"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Regulation, or QSR, which imposes elaborate testing, control, documentation and other quality assurance requirements.</w:t>
      </w:r>
    </w:p>
    <w:p>
      <w:pPr>
        <w:spacing w:after="0" w:line="225"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vitro </w:t>
      </w:r>
      <w:r>
        <w:rPr>
          <w:rFonts w:ascii="Arial" w:cs="Arial" w:eastAsia="Arial" w:hAnsi="Arial"/>
          <w:sz w:val="16"/>
          <w:szCs w:val="16"/>
          <w:color w:val="auto"/>
        </w:rPr>
        <w:t>companion diagnostics. According to the guidance, if FDA determines that a companion diagnostic device is essential to the safe and effective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novel therapeutic product or indication, FDA generally will not approve the therapeutic product or new therapeutic product indication if the companion diagnostic device is not approved or cleared for that indication at the same time. The review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As of February 28, 2022, we had 54 full-time employees, including 19 employees with Ph.D., M.D. or Pharm.D. degrees. Of these full-time employees, 35 employees are engaged in research and development activities.</w:t>
      </w:r>
    </w:p>
    <w:p>
      <w:pPr>
        <w:spacing w:after="0" w:line="170" w:lineRule="exact"/>
        <w:rPr>
          <w:sz w:val="20"/>
          <w:szCs w:val="20"/>
          <w:color w:val="auto"/>
        </w:rPr>
      </w:pPr>
    </w:p>
    <w:p>
      <w:pPr>
        <w:ind w:right="200" w:firstLine="589"/>
        <w:spacing w:after="0" w:line="311" w:lineRule="auto"/>
        <w:rPr>
          <w:sz w:val="20"/>
          <w:szCs w:val="20"/>
          <w:color w:val="auto"/>
        </w:rPr>
      </w:pPr>
      <w:r>
        <w:rPr>
          <w:rFonts w:ascii="Arial" w:cs="Arial" w:eastAsia="Arial" w:hAnsi="Arial"/>
          <w:sz w:val="16"/>
          <w:szCs w:val="16"/>
          <w:color w:val="auto"/>
        </w:rPr>
        <w:t>None of our employees are represented by labor unions or covered by collective bargaining agreements. We consider our relationship with our employees to be good. Our human capital resources objectives include, as applicable, identifying, recruiting, retaining, incentivizing, and integrating our existing and new employees, advisors and consultants. The principal purposes of our equity and cash incentive plans are to attract, retain and reward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460"/>
        <w:spacing w:after="0" w:line="277" w:lineRule="auto"/>
        <w:rPr>
          <w:sz w:val="20"/>
          <w:szCs w:val="20"/>
          <w:color w:val="auto"/>
        </w:rPr>
      </w:pPr>
      <w:r>
        <w:rPr>
          <w:rFonts w:ascii="Arial" w:cs="Arial" w:eastAsia="Arial" w:hAnsi="Arial"/>
          <w:sz w:val="18"/>
          <w:szCs w:val="18"/>
          <w:color w:val="auto"/>
        </w:rPr>
        <w:t>personnel though the granting of stock-based and cash-based compensation awards, to increase stockholder value and our success by motivating such individuals to perform to the best of their abilities and achieve our objectives.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560" w:firstLine="589"/>
        <w:spacing w:after="0" w:line="291" w:lineRule="auto"/>
        <w:rPr>
          <w:sz w:val="20"/>
          <w:szCs w:val="20"/>
          <w:color w:val="auto"/>
        </w:rPr>
      </w:pPr>
      <w:r>
        <w:rPr>
          <w:rFonts w:ascii="Arial" w:cs="Arial" w:eastAsia="Arial" w:hAnsi="Arial"/>
          <w:sz w:val="16"/>
          <w:szCs w:val="16"/>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w:t>
      </w:r>
    </w:p>
    <w:p>
      <w:pPr>
        <w:ind w:right="40" w:firstLine="8"/>
        <w:spacing w:after="0" w:line="323" w:lineRule="auto"/>
        <w:tabs>
          <w:tab w:leader="none" w:pos="4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642-6670. Our website address is www.pmvpharma.com. Information contained on, or that can be accessible through, our website is not a part of this Annual Report on Form 10-K and the inclusion of our website address in this Annual Report on Form 10-K is an inactive textual reference only.</w:t>
      </w:r>
    </w:p>
    <w:p>
      <w:pPr>
        <w:spacing w:after="0" w:line="13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use the name “PMV Pharma,” the “PMV Pharma” logo and other marks as unregistered trademarks in the United States and other countries. This Annual Report on Form 10-K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 xml:space="preserve">Our Internet address is www.pmvpharma.com.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or the Exchange Act, with the Securities and Exchange Commission, or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w:t>
      </w:r>
      <w:r>
        <w:rPr>
          <w:rFonts w:ascii="Arial" w:cs="Arial" w:eastAsia="Arial" w:hAnsi="Arial"/>
          <w:sz w:val="17"/>
          <w:szCs w:val="17"/>
          <w:u w:val="single" w:color="auto"/>
          <w:color w:val="auto"/>
        </w:rPr>
        <w:t>ir.pmvpharma.com</w:t>
      </w:r>
      <w:r>
        <w:rPr>
          <w:rFonts w:ascii="Arial" w:cs="Arial" w:eastAsia="Arial" w:hAnsi="Arial"/>
          <w:sz w:val="17"/>
          <w:szCs w:val="17"/>
          <w:color w:val="auto"/>
        </w:rPr>
        <w:t xml:space="preserve"> as soon as reasonably practicable after we electronically file or furnish such information with the SEC. The information contained on the websites referenced in this Annual Report on Form 10-K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Annual Report on Form 10-K, including our financial statements and the related notes appearing elsewhere in this Annual Report on Form 10-K and in our other filings with the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38" w:lineRule="exact"/>
        <w:rPr>
          <w:sz w:val="20"/>
          <w:szCs w:val="20"/>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a limited operating history, have not completed any clinical trials, and have no products approved for commercial sale;</w:t>
      </w:r>
    </w:p>
    <w:p>
      <w:pPr>
        <w:spacing w:after="0" w:line="128" w:lineRule="exact"/>
        <w:rPr>
          <w:rFonts w:ascii="Arial" w:cs="Arial" w:eastAsia="Arial" w:hAnsi="Arial"/>
          <w:sz w:val="17"/>
          <w:szCs w:val="17"/>
          <w:color w:val="auto"/>
        </w:rPr>
      </w:pPr>
    </w:p>
    <w:p>
      <w:pPr>
        <w:ind w:left="1160" w:right="8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62" w:lineRule="exact"/>
        <w:rPr>
          <w:rFonts w:ascii="Arial" w:cs="Arial" w:eastAsia="Arial" w:hAnsi="Arial"/>
          <w:sz w:val="18"/>
          <w:szCs w:val="18"/>
          <w:color w:val="auto"/>
        </w:rPr>
      </w:pPr>
    </w:p>
    <w:p>
      <w:pPr>
        <w:ind w:left="1160" w:right="520" w:hanging="572"/>
        <w:spacing w:after="0" w:line="263"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75"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w:t>
      </w:r>
    </w:p>
    <w:p>
      <w:pPr>
        <w:spacing w:after="0" w:line="117" w:lineRule="exact"/>
        <w:rPr>
          <w:rFonts w:ascii="Arial" w:cs="Arial" w:eastAsia="Arial" w:hAnsi="Arial"/>
          <w:sz w:val="18"/>
          <w:szCs w:val="18"/>
          <w:color w:val="auto"/>
        </w:rPr>
      </w:pPr>
    </w:p>
    <w:p>
      <w:pPr>
        <w:ind w:left="1160" w:right="160" w:hanging="572"/>
        <w:spacing w:after="0" w:line="259"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discovery and preclinical and clinical development is focused on the development of precision medicines for patients with genetically defined cancers, which is a rapidly evolving area of science, and the approach we are taking to discover and develop drugs targeting p53 hotspot mutations and certain cancers where wild-type p53 function is silenced is novel, may never lead to marketable products and may not ultimately represent a significant market;</w:t>
      </w:r>
    </w:p>
    <w:p>
      <w:pPr>
        <w:spacing w:after="0" w:line="78" w:lineRule="exact"/>
        <w:rPr>
          <w:rFonts w:ascii="Arial" w:cs="Arial" w:eastAsia="Arial" w:hAnsi="Arial"/>
          <w:sz w:val="18"/>
          <w:szCs w:val="18"/>
          <w:color w:val="auto"/>
        </w:rPr>
      </w:pPr>
    </w:p>
    <w:p>
      <w:pPr>
        <w:ind w:left="1160" w:right="180" w:hanging="572"/>
        <w:spacing w:after="0" w:line="263"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75" w:lineRule="exact"/>
        <w:rPr>
          <w:rFonts w:ascii="Arial" w:cs="Arial" w:eastAsia="Arial" w:hAnsi="Arial"/>
          <w:sz w:val="18"/>
          <w:szCs w:val="18"/>
          <w:color w:val="auto"/>
        </w:rPr>
      </w:pPr>
    </w:p>
    <w:p>
      <w:pPr>
        <w:ind w:left="1160" w:hanging="572"/>
        <w:spacing w:after="0" w:line="301"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49" w:lineRule="exact"/>
        <w:rPr>
          <w:rFonts w:ascii="Arial" w:cs="Arial" w:eastAsia="Arial" w:hAnsi="Arial"/>
          <w:sz w:val="16"/>
          <w:szCs w:val="16"/>
          <w:color w:val="auto"/>
        </w:rPr>
      </w:pPr>
    </w:p>
    <w:p>
      <w:pPr>
        <w:ind w:left="1160" w:right="20" w:hanging="572"/>
        <w:spacing w:after="0" w:line="342"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1160" w:right="620" w:hanging="572"/>
        <w:spacing w:after="0" w:line="342"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15" w:lineRule="exact"/>
        <w:rPr>
          <w:rFonts w:ascii="Arial" w:cs="Arial" w:eastAsia="Arial" w:hAnsi="Arial"/>
          <w:sz w:val="16"/>
          <w:szCs w:val="16"/>
          <w:color w:val="auto"/>
        </w:rPr>
      </w:pPr>
    </w:p>
    <w:p>
      <w:pPr>
        <w:ind w:left="1160" w:right="80" w:hanging="572"/>
        <w:spacing w:after="0" w:line="311"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regulatory approval processes of the U.S. Food and Drug Administration, or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40" w:lineRule="exact"/>
        <w:rPr>
          <w:rFonts w:ascii="Arial" w:cs="Arial" w:eastAsia="Arial" w:hAnsi="Arial"/>
          <w:sz w:val="16"/>
          <w:szCs w:val="16"/>
          <w:color w:val="auto"/>
        </w:rPr>
      </w:pPr>
    </w:p>
    <w:p>
      <w:pPr>
        <w:ind w:left="116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currently rely, and plan to rely in the future, on third parties to conduct and support preclinical and clinical development, and these third parties may not meet expectations;</w:t>
      </w:r>
    </w:p>
    <w:p>
      <w:pPr>
        <w:spacing w:after="0" w:line="62" w:lineRule="exact"/>
        <w:rPr>
          <w:rFonts w:ascii="Arial" w:cs="Arial" w:eastAsia="Arial" w:hAnsi="Arial"/>
          <w:sz w:val="18"/>
          <w:szCs w:val="18"/>
          <w:color w:val="auto"/>
        </w:rPr>
      </w:pPr>
    </w:p>
    <w:p>
      <w:pPr>
        <w:ind w:left="1160" w:right="780" w:hanging="572"/>
        <w:spacing w:after="0" w:line="342"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and</w:t>
      </w:r>
    </w:p>
    <w:p>
      <w:pPr>
        <w:spacing w:after="0" w:line="117"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companion diagnostics with third party collaborators, which must also separately be approved as medical devices by the FDA.</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Limited Operating History, Business, Financial Condition, Results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Operations and Need for Additional Capital</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76"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We are a 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more recently, clinical studies, and establishing arrangements with third parties for the manufacture of initial quantities of product candidates. In September 2020, our lead product candidate, PC14586, received authorization to proceed under an investigational new drug application, or IND, with the FDA. Then, in October 2020, we received Fast Track designation for PC14586, from the FDA, and in the fourth quarter of 2020, we initiated patient dosing in our Phase 1/2 clinical trial of PC14586. We have not demonstrated an ability to successfully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207"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224"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31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76"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line="286" w:lineRule="auto"/>
        <w:rPr>
          <w:sz w:val="20"/>
          <w:szCs w:val="20"/>
          <w:color w:val="auto"/>
        </w:rPr>
      </w:pPr>
      <w:r>
        <w:rPr>
          <w:rFonts w:ascii="Arial" w:cs="Arial" w:eastAsia="Arial" w:hAnsi="Arial"/>
          <w:sz w:val="17"/>
          <w:szCs w:val="17"/>
          <w:color w:val="auto"/>
        </w:rPr>
        <w:t>viable. We are still in the early stages of development of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 and our initial public offering.</w:t>
      </w:r>
    </w:p>
    <w:p>
      <w:pPr>
        <w:spacing w:after="0" w:line="206"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We have incurred significant net losses in each period since we commenced operations in March 2013. Our net losses were $57.8 million and $34.4 million for the years ended December 31, 2021 and 2020, respectively. As of December 31, 2021, we had an accumulated deficit of $167.7 million. Substantially all of our losses have resulted from expenses incurred in connection with our research and development programs and from general and administrative costs associated with our operations. Additionally, the net losses we incur may fluctuate significantly from quarter to quarter such that a period-to-period comparison of our results of operations may not be a good indicator of our future performance.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substantially if and as we:</w:t>
      </w:r>
    </w:p>
    <w:p>
      <w:pPr>
        <w:spacing w:after="0" w:line="129" w:lineRule="exact"/>
        <w:rPr>
          <w:sz w:val="20"/>
          <w:szCs w:val="20"/>
          <w:color w:val="auto"/>
        </w:rPr>
      </w:pPr>
    </w:p>
    <w:p>
      <w:pPr>
        <w:ind w:left="1160" w:hanging="572"/>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continue our research and development efforts and submit investigational new drug, or IND, applications for our product candidates;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preclinical studies and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 to demonstrate adequate efficacy or an acceptable safety profile in our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62"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6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3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89"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dosed our first patient in our Phase 1/2 clinical trial of our lead product candidate, PC14586, in the fourth quarter of 2020, and we have not yet reported any clinical data. We are continuing to transition from a company with a research focus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right="40"/>
        <w:spacing w:after="0" w:line="254" w:lineRule="auto"/>
        <w:rPr>
          <w:sz w:val="20"/>
          <w:szCs w:val="20"/>
          <w:color w:val="auto"/>
        </w:rPr>
      </w:pPr>
      <w:r>
        <w:rPr>
          <w:rFonts w:ascii="Arial" w:cs="Arial" w:eastAsia="Arial" w:hAnsi="Arial"/>
          <w:sz w:val="18"/>
          <w:szCs w:val="18"/>
          <w:color w:val="auto"/>
        </w:rPr>
        <w:t>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In addition, all of our other product candidates are still in preclinical development and have not been evaluated in humans. We face significant translational 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84" w:lineRule="exact"/>
        <w:rPr>
          <w:sz w:val="20"/>
          <w:szCs w:val="20"/>
          <w:color w:val="auto"/>
        </w:rPr>
      </w:pPr>
    </w:p>
    <w:p>
      <w:pPr>
        <w:ind w:left="1160" w:right="160" w:hanging="572"/>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and timely completion of our clinical trials for our lead product candidate, PC14586, and timely initiation and completion of our preclinical studies for our future product candidates, which may be significantly slower or cost more than we currently anticipate and will depend substantially upon the performance of third-party contractors;</w:t>
      </w:r>
    </w:p>
    <w:p>
      <w:pPr>
        <w:spacing w:after="0" w:line="75"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PC14586 and our future product candidates;</w:t>
      </w:r>
    </w:p>
    <w:p>
      <w:pPr>
        <w:spacing w:after="0" w:line="62"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and receive authorization to proceed under INDs or comparable applications;</w:t>
      </w:r>
    </w:p>
    <w:p>
      <w:pPr>
        <w:spacing w:after="0" w:line="62" w:lineRule="exact"/>
        <w:rPr>
          <w:rFonts w:ascii="Arial" w:cs="Arial" w:eastAsia="Arial" w:hAnsi="Arial"/>
          <w:sz w:val="18"/>
          <w:szCs w:val="18"/>
          <w:color w:val="auto"/>
        </w:rPr>
      </w:pPr>
    </w:p>
    <w:p>
      <w:pPr>
        <w:ind w:left="1160" w:right="40" w:hanging="572"/>
        <w:spacing w:after="0" w:line="342"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15" w:lineRule="exact"/>
        <w:rPr>
          <w:rFonts w:ascii="Arial" w:cs="Arial" w:eastAsia="Arial" w:hAnsi="Arial"/>
          <w:sz w:val="16"/>
          <w:szCs w:val="16"/>
          <w:color w:val="auto"/>
        </w:rPr>
      </w:pPr>
    </w:p>
    <w:p>
      <w:pPr>
        <w:ind w:left="1160" w:right="180" w:hanging="572"/>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75"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comparable foreign regulatory authorities;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62" w:lineRule="exact"/>
        <w:rPr>
          <w:rFonts w:ascii="Arial" w:cs="Arial" w:eastAsia="Arial" w:hAnsi="Arial"/>
          <w:sz w:val="18"/>
          <w:szCs w:val="18"/>
          <w:color w:val="auto"/>
        </w:rPr>
      </w:pPr>
    </w:p>
    <w:p>
      <w:pPr>
        <w:ind w:left="1160" w:right="480" w:hanging="572"/>
        <w:spacing w:after="0" w:line="308"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38" w:lineRule="exact"/>
        <w:rPr>
          <w:rFonts w:ascii="Arial" w:cs="Arial" w:eastAsia="Arial" w:hAnsi="Arial"/>
          <w:sz w:val="17"/>
          <w:szCs w:val="17"/>
          <w:color w:val="auto"/>
        </w:rPr>
      </w:pPr>
    </w:p>
    <w:p>
      <w:pPr>
        <w:ind w:left="1160" w:right="80" w:hanging="572"/>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requirements;</w:t>
      </w:r>
    </w:p>
    <w:p>
      <w:pPr>
        <w:spacing w:after="0" w:line="75" w:lineRule="exact"/>
        <w:rPr>
          <w:rFonts w:ascii="Arial" w:cs="Arial" w:eastAsia="Arial" w:hAnsi="Arial"/>
          <w:sz w:val="18"/>
          <w:szCs w:val="18"/>
          <w:color w:val="auto"/>
        </w:rPr>
      </w:pPr>
    </w:p>
    <w:p>
      <w:pPr>
        <w:ind w:left="1160" w:right="200" w:hanging="572"/>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demand for our product candidates and any future product candidates, if approved;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establish and enforce intellectual property rights in and to our product candidates or any future product candidates;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66"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Many of the factors listed above are beyond our control and could cause us to experience significant delays or prevent us from obtaining regulatory approvals or commercializing our product candidates.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9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71"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We are currently focused on developing orally available small molecule, tumor-agnostic therapies targeting p53 mutants and certain cancers where wild-type p53 function is silenced. We seek to maintain a process of prioritization and resource allocation among our programs to maintain a balance between advancing our lead product candidate, PC14586, as well as developing our other and any future product candidates.</w:t>
      </w:r>
    </w:p>
    <w:p>
      <w:pPr>
        <w:spacing w:after="0" w:line="206"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329"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89"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ind w:firstLine="589"/>
        <w:spacing w:after="0" w:line="301" w:lineRule="auto"/>
        <w:rPr>
          <w:sz w:val="20"/>
          <w:szCs w:val="20"/>
          <w:color w:val="auto"/>
        </w:rPr>
      </w:pPr>
      <w:r>
        <w:rPr>
          <w:rFonts w:ascii="Arial" w:cs="Arial" w:eastAsia="Arial" w:hAnsi="Arial"/>
          <w:sz w:val="16"/>
          <w:szCs w:val="16"/>
          <w:color w:val="auto"/>
        </w:rPr>
        <w:t>As of December 31, 2021, we had $314.1 million in cash, cash equivalents, and marketable securities. Although we believe that our available cash and cash equivalents will be sufficient to fund our planned operations through 2023,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160" w:right="340" w:hanging="572"/>
        <w:spacing w:after="0" w:line="308" w:lineRule="auto"/>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current product candidates or any future product candidates we choose to pursue, and conducting preclinical studies and clinical trials, including our clinical trials of PC14586;</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our product candidates or any future product candidates;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1160" w:right="80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amount of any milestone, royalty and/or other payments we are required to make pursuant to any future license or collaboration agreements;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 of manufacturing our product candidates or any future product candidates and any products we successfully commercialize;</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commercialization activities of our product candidates, if approved for sale, including marketing, sales and distribution costs;</w:t>
      </w:r>
    </w:p>
    <w:p>
      <w:pPr>
        <w:spacing w:after="0" w:line="140" w:lineRule="exact"/>
        <w:rPr>
          <w:rFonts w:ascii="Arial" w:cs="Arial" w:eastAsia="Arial" w:hAnsi="Arial"/>
          <w:sz w:val="16"/>
          <w:szCs w:val="16"/>
          <w:color w:val="auto"/>
        </w:rPr>
      </w:pPr>
    </w:p>
    <w:p>
      <w:pPr>
        <w:ind w:left="1160" w:right="10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52"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discovery and product development is focused on the development of precision medicines for patients with genetically defined cancers, which is a rapidly evolving area of science, and the approach we are taking to discover and develop drugs targeting p53 is novel, may never lead to marketable products and may not ultimately represent a significant market.</w:t>
      </w:r>
    </w:p>
    <w:p>
      <w:pPr>
        <w:spacing w:after="0" w:line="89" w:lineRule="exact"/>
        <w:rPr>
          <w:sz w:val="20"/>
          <w:szCs w:val="20"/>
          <w:color w:val="auto"/>
        </w:rPr>
      </w:pPr>
    </w:p>
    <w:p>
      <w:pPr>
        <w:ind w:right="200" w:firstLine="589"/>
        <w:spacing w:after="0" w:line="273" w:lineRule="auto"/>
        <w:rPr>
          <w:sz w:val="20"/>
          <w:szCs w:val="20"/>
          <w:color w:val="auto"/>
        </w:rPr>
      </w:pPr>
      <w:r>
        <w:rPr>
          <w:rFonts w:ascii="Arial" w:cs="Arial" w:eastAsia="Arial" w:hAnsi="Arial"/>
          <w:sz w:val="17"/>
          <w:szCs w:val="17"/>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21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p53 through our platform. Therefore, we do not know if our approach of treating patients with genetically defined cancers will be successful, and if our approach is unsuccessful, our business will be materially adversely affected.</w:t>
      </w:r>
    </w:p>
    <w:p>
      <w:pPr>
        <w:spacing w:after="0" w:line="22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addition, because our approach targets genetically defined cancer patients and not specific tumors based on tumor or cancer types, we are initially pursuing a tumor-agnostic development strategy (</w:t>
      </w:r>
      <w:r>
        <w:rPr>
          <w:rFonts w:ascii="Arial" w:cs="Arial" w:eastAsia="Arial" w:hAnsi="Arial"/>
          <w:sz w:val="17"/>
          <w:szCs w:val="17"/>
          <w:i w:val="1"/>
          <w:iCs w:val="1"/>
          <w:color w:val="auto"/>
        </w:rPr>
        <w:t>i.e.</w:t>
      </w:r>
      <w:r>
        <w:rPr>
          <w:rFonts w:ascii="Arial" w:cs="Arial" w:eastAsia="Arial" w:hAnsi="Arial"/>
          <w:sz w:val="17"/>
          <w:szCs w:val="17"/>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Phase 1/2 trial for PC14586 does not support a tumor-agnostic indication, but we observe clinical benefit in certain tumor or cancer types, we may decide to pursue a tumor- or cancer-specific indication which may require additional clinical trials. Further, even if our Phase 1/2 trial for PC14586 is successful, the FDA may not agree that such study can serve as a pivotal study, which would require us to conduct additional clinical trials prior to approval.</w:t>
      </w:r>
    </w:p>
    <w:p>
      <w:pPr>
        <w:spacing w:after="0" w:line="3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92"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We are very early in our development efforts. We dosed our first patient in our Phase 1/2 clinical trial of our lead product candidate, PC14586, in the fourth quarter of 2020, and we have not yet reported any clinical data. All of our other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57" w:lineRule="exact"/>
        <w:rPr>
          <w:sz w:val="20"/>
          <w:szCs w:val="20"/>
          <w:color w:val="auto"/>
        </w:rPr>
      </w:pPr>
    </w:p>
    <w:p>
      <w:pPr>
        <w:ind w:left="1160" w:right="40" w:hanging="572"/>
        <w:spacing w:after="0" w:line="311"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47" w:name="page48"/>
    <w:bookmarkEnd w:id="47"/>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and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authorization to proceed under INDs for our planned clinical trials or future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acceptance of our tumor-agnostic development strategy;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 which may be impacted by the COVID-19 pandemic;</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development with third party collaborators of companion diagnostics for use with our product candidates;</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or any foreign regulatory authority for marketing approval;</w:t>
      </w:r>
    </w:p>
    <w:p>
      <w:pPr>
        <w:spacing w:after="0" w:line="62"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marketing approvals for our product candidates and any companion diagnostics from applicable regulatory authorities, which must be approved contemporaneously;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completion of any required post-marketing approval commitments to applicable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62"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52"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84"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and could require additional clinical trials, including bridging studies, to demonstrate consistent and continued safety and efficacy.</w:t>
      </w:r>
    </w:p>
    <w:p>
      <w:pPr>
        <w:spacing w:after="0" w:line="25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have not previously submitted a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3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29"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76"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targets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95"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There can be no assurances that one or more of our future product candidates would succeed in correcting or restoring function of specific p53 mutants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that such mutation would be the only genetic mutation resulting in a patient’s cancer. In the event that a patient’s cancer is the result of other mutations or factors in addition to a p53 mutation, even if we correct or restore the p53 functionality, the patient’s cancer may persist.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ind w:right="660" w:firstLine="589"/>
        <w:spacing w:after="0" w:line="277" w:lineRule="auto"/>
        <w:rPr>
          <w:sz w:val="20"/>
          <w:szCs w:val="20"/>
          <w:color w:val="auto"/>
        </w:rPr>
      </w:pPr>
      <w:r>
        <w:rPr>
          <w:rFonts w:ascii="Arial" w:cs="Arial" w:eastAsia="Arial" w:hAnsi="Arial"/>
          <w:sz w:val="18"/>
          <w:szCs w:val="18"/>
          <w:color w:val="auto"/>
        </w:rPr>
        <w:t>If we do not successfully develop and commercialize product candidates, we will not be able to generate product revenue which materially adversely affect our business, financial condition and results of operations.</w:t>
      </w:r>
    </w:p>
    <w:p>
      <w:pPr>
        <w:spacing w:after="0" w:line="30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8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 candidate, we must complete extensive preclinical studies that support our planned INDs in the United States. We dosed our first patient in our Phase 1/2 clinical trial of our lead product candidate, PC14586, in the fourth quarter of 2020, and we have not yet reported any clinical data. All of our other product candidates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While we have received authorization to proceed under an IND for our lead product candidate, PC14586, we cannot be sure that we will be able to submit and receive authorizations to proceed under additional INDs or similar applications with respect to our other product candidates on the timelines we expect, if at all, and we cannot be sure that submission of IND or similar applications will result in the FDA or other regulatory authorities allowing clinical trials to begin.</w:t>
      </w:r>
    </w:p>
    <w:p>
      <w:pPr>
        <w:spacing w:after="0" w:line="212" w:lineRule="exact"/>
        <w:rPr>
          <w:sz w:val="20"/>
          <w:szCs w:val="20"/>
          <w:color w:val="auto"/>
        </w:rPr>
      </w:pPr>
    </w:p>
    <w:p>
      <w:pPr>
        <w:ind w:right="400" w:firstLine="589"/>
        <w:spacing w:after="0" w:line="279"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63" w:lineRule="exact"/>
        <w:rPr>
          <w:sz w:val="20"/>
          <w:szCs w:val="20"/>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studies;</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requirements and other applicable regulations;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ethics committee at each clinical site before each trial may be initiated;</w:t>
      </w:r>
    </w:p>
    <w:p>
      <w:pPr>
        <w:spacing w:after="0" w:line="140" w:lineRule="exact"/>
        <w:rPr>
          <w:rFonts w:ascii="Arial" w:cs="Arial" w:eastAsia="Arial" w:hAnsi="Arial"/>
          <w:sz w:val="16"/>
          <w:szCs w:val="16"/>
          <w:color w:val="auto"/>
        </w:rPr>
      </w:pPr>
    </w:p>
    <w:p>
      <w:pPr>
        <w:ind w:left="1160" w:right="2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62"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9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100"/>
        <w:spacing w:after="0" w:line="263" w:lineRule="auto"/>
        <w:rPr>
          <w:sz w:val="20"/>
          <w:szCs w:val="20"/>
          <w:color w:val="auto"/>
        </w:rPr>
      </w:pPr>
      <w:r>
        <w:rPr>
          <w:rFonts w:ascii="Arial" w:cs="Arial" w:eastAsia="Arial" w:hAnsi="Arial"/>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89" w:lineRule="exact"/>
        <w:rPr>
          <w:sz w:val="20"/>
          <w:szCs w:val="20"/>
          <w:color w:val="auto"/>
        </w:rPr>
      </w:pPr>
    </w:p>
    <w:p>
      <w:pPr>
        <w:ind w:right="60" w:firstLine="589"/>
        <w:spacing w:after="0" w:line="268" w:lineRule="auto"/>
        <w:rPr>
          <w:sz w:val="20"/>
          <w:szCs w:val="20"/>
          <w:color w:val="auto"/>
        </w:rPr>
      </w:pPr>
      <w:r>
        <w:rPr>
          <w:rFonts w:ascii="Arial" w:cs="Arial" w:eastAsia="Arial" w:hAnsi="Arial"/>
          <w:sz w:val="17"/>
          <w:szCs w:val="17"/>
          <w:color w:val="auto"/>
        </w:rPr>
        <w:t>We are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its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225"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19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Even if we succeed in developing and commercializing our product candidates, we may never generate sufficient or sustainable revenue to enable us to be profitable.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as a company in conducting clinical trials.</w:t>
      </w:r>
    </w:p>
    <w:p>
      <w:pPr>
        <w:spacing w:after="0" w:line="131"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We have limited experience as a company in conducting clinical trials with the initiation of our Phase 1/2 clinical trial for PC14586 in October 2020. In part because of this lack of experience, we cannot be certain that our clinical trials of PC14586 and ongoing preclinical studies of our other product candidates will be completed on time or if the planned preclinical studies and clinical trials will begin or be completed on time, if at all. Large-scale clinical trials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are working with a global CRO to lead our first-in-human open label Phase 1/2 clinical trial and we expect to rely on additional CROs in the future. There can be no assurance that we will be able to negotiate and enter into additional agreements with other CROs, as necessary, on terms that are acceptable to us on a timely basis or at all.</w:t>
      </w:r>
    </w:p>
    <w:p>
      <w:pPr>
        <w:spacing w:after="0" w:line="3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92"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firstLine="589"/>
        <w:spacing w:after="0" w:line="259" w:lineRule="auto"/>
        <w:rPr>
          <w:sz w:val="20"/>
          <w:szCs w:val="20"/>
          <w:color w:val="auto"/>
        </w:rPr>
      </w:pPr>
      <w:r>
        <w:rPr>
          <w:rFonts w:ascii="Arial" w:cs="Arial" w:eastAsia="Arial" w:hAnsi="Arial"/>
          <w:sz w:val="18"/>
          <w:szCs w:val="18"/>
          <w:color w:val="auto"/>
        </w:rPr>
        <w:t>Such companion diagnostics would be used during our clinical trials as well as in connection with the commercialization of our product candidates. In our Phase 1/2 clinical trial, we are working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214"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221"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211"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80" w:lineRule="exact"/>
        <w:rPr>
          <w:sz w:val="20"/>
          <w:szCs w:val="20"/>
          <w:color w:val="auto"/>
        </w:rPr>
      </w:pPr>
    </w:p>
    <w:p>
      <w:pPr>
        <w:ind w:left="1160" w:right="6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62" w:lineRule="exact"/>
        <w:rPr>
          <w:rFonts w:ascii="Arial" w:cs="Arial" w:eastAsia="Arial" w:hAnsi="Arial"/>
          <w:sz w:val="18"/>
          <w:szCs w:val="18"/>
          <w:color w:val="auto"/>
        </w:rPr>
      </w:pPr>
    </w:p>
    <w:p>
      <w:pPr>
        <w:ind w:left="1160" w:right="68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obtain approval of our current product candidates and any future product candidates that require companion diagnostics on a timely basis or at all.</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any of these events were to occur, our business would be adversely impacted.</w:t>
      </w:r>
    </w:p>
    <w:p>
      <w:pPr>
        <w:spacing w:after="0" w:line="3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COVID-19 pandemic could materially adversely impact our business, results of operations and financial condition, including our preclinical studies and clinical trials.</w:t>
      </w:r>
    </w:p>
    <w:p>
      <w:pPr>
        <w:spacing w:after="0" w:line="76" w:lineRule="exact"/>
        <w:rPr>
          <w:sz w:val="20"/>
          <w:szCs w:val="20"/>
          <w:color w:val="auto"/>
        </w:rPr>
      </w:pPr>
    </w:p>
    <w:p>
      <w:pPr>
        <w:ind w:right="420" w:firstLine="589"/>
        <w:spacing w:after="0" w:line="279" w:lineRule="auto"/>
        <w:rPr>
          <w:sz w:val="20"/>
          <w:szCs w:val="20"/>
          <w:color w:val="auto"/>
        </w:rPr>
      </w:pPr>
      <w:r>
        <w:rPr>
          <w:rFonts w:ascii="Arial" w:cs="Arial" w:eastAsia="Arial" w:hAnsi="Arial"/>
          <w:sz w:val="17"/>
          <w:szCs w:val="17"/>
          <w:color w:val="auto"/>
        </w:rPr>
        <w:t>The COVID-19 pandemic continues to spread throughout the world and has adversely impacted global commercial activity and contributed to significant declines and volatility in financial markets. In addition, the COVID-19 pandemic and varying government responses and restrictions are creating disruption in global supply chains and adversely impacting many industries. We continue to monitor the impact of the COVID-19 pandemic closely. The full extent to which the COVID-19 pandemic will impact our operations or financial results is uncertain.</w:t>
      </w:r>
    </w:p>
    <w:p>
      <w:pPr>
        <w:spacing w:after="0" w:line="198" w:lineRule="exact"/>
        <w:rPr>
          <w:sz w:val="20"/>
          <w:szCs w:val="20"/>
          <w:color w:val="auto"/>
        </w:rPr>
      </w:pPr>
    </w:p>
    <w:p>
      <w:pPr>
        <w:ind w:right="240" w:firstLine="589"/>
        <w:spacing w:after="0" w:line="279" w:lineRule="auto"/>
        <w:rPr>
          <w:sz w:val="20"/>
          <w:szCs w:val="20"/>
          <w:color w:val="auto"/>
        </w:rPr>
      </w:pPr>
      <w:r>
        <w:rPr>
          <w:rFonts w:ascii="Arial" w:cs="Arial" w:eastAsia="Arial" w:hAnsi="Arial"/>
          <w:sz w:val="17"/>
          <w:szCs w:val="17"/>
          <w:color w:val="auto"/>
        </w:rPr>
        <w:t>The pandemic and government measures taken in response have also had a significant impact, both direct and indirect, on businesses and commerce, as worker shortages have occurred; supply chains have been disrupted, especially with respect to goods from China;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ind w:right="40"/>
        <w:spacing w:after="0" w:line="275" w:lineRule="auto"/>
        <w:rPr>
          <w:sz w:val="20"/>
          <w:szCs w:val="20"/>
          <w:color w:val="auto"/>
        </w:rPr>
      </w:pPr>
      <w:r>
        <w:rPr>
          <w:rFonts w:ascii="Arial" w:cs="Arial" w:eastAsia="Arial" w:hAnsi="Arial"/>
          <w:sz w:val="17"/>
          <w:szCs w:val="17"/>
          <w:color w:val="auto"/>
        </w:rPr>
        <w:t>their work outside of our offices and limited the number of staff in any given research and development laboratory. Our research and development teams are currently operating under heightened protective COVID-19 protocols,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 pandemic, we may experience disruptions that could severely impact our business, preclinical studies and clinical trials, including:</w:t>
      </w:r>
    </w:p>
    <w:p>
      <w:pPr>
        <w:spacing w:after="0" w:line="68" w:lineRule="exact"/>
        <w:rPr>
          <w:sz w:val="20"/>
          <w:szCs w:val="20"/>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160" w:right="160" w:hanging="572"/>
        <w:spacing w:after="0" w:line="311"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40" w:lineRule="exact"/>
        <w:rPr>
          <w:rFonts w:ascii="Arial" w:cs="Arial" w:eastAsia="Arial" w:hAnsi="Arial"/>
          <w:sz w:val="16"/>
          <w:szCs w:val="16"/>
          <w:color w:val="auto"/>
        </w:rPr>
      </w:pPr>
    </w:p>
    <w:p>
      <w:pPr>
        <w:ind w:left="1160" w:hanging="572"/>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128" w:lineRule="exact"/>
        <w:rPr>
          <w:rFonts w:ascii="Arial" w:cs="Arial" w:eastAsia="Arial" w:hAnsi="Arial"/>
          <w:sz w:val="17"/>
          <w:szCs w:val="17"/>
          <w:color w:val="auto"/>
        </w:rPr>
      </w:pPr>
    </w:p>
    <w:p>
      <w:pPr>
        <w:ind w:left="1160" w:right="34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1160" w:right="240" w:hanging="572"/>
        <w:spacing w:after="0" w:line="342"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clinical site procedures and requirements as well as regulatory requirements for conducting clinical trials during the pandemic.</w:t>
      </w:r>
    </w:p>
    <w:p>
      <w:pPr>
        <w:spacing w:after="0" w:line="275"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 In 2020 and 2021, the FDA has published a number of industry guidance documents, including updates to previous guidance, related to cGMP requirements, remote interactive evaluations of drug manufacturing and bioresearch monitoring facilities, and drug product manufacturing and supply chain inspections, among others. The extent to which the COVID-19 pandemic impacts our business, preclinical studies and clinical trials will depend on future developments, which are highly uncertain and cannot be predicted with confidence.</w:t>
      </w:r>
    </w:p>
    <w:p>
      <w:pPr>
        <w:spacing w:after="0" w:line="199"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business closures or business disruptions and the effectiveness of actions taken in the United States and other countries to contain and treat the disease.</w:t>
      </w:r>
    </w:p>
    <w:p>
      <w:pPr>
        <w:spacing w:after="0" w:line="275"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The trading prices for shares of other biopharmaceutical companies have been highly volatile partially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98"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88"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3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76"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8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ind w:right="80" w:firstLine="589"/>
        <w:spacing w:after="0" w:line="263" w:lineRule="auto"/>
        <w:rPr>
          <w:sz w:val="20"/>
          <w:szCs w:val="20"/>
          <w:color w:val="auto"/>
        </w:rPr>
      </w:pPr>
      <w:r>
        <w:rPr>
          <w:rFonts w:ascii="Arial" w:cs="Arial" w:eastAsia="Arial" w:hAnsi="Arial"/>
          <w:sz w:val="18"/>
          <w:szCs w:val="18"/>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76" w:lineRule="exact"/>
        <w:rPr>
          <w:sz w:val="20"/>
          <w:szCs w:val="20"/>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1160" w:right="440" w:hanging="572"/>
        <w:spacing w:after="0" w:line="263"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clinicians’ willingness to screen their patients for biomarkers to indicate which patients may be eligible for enrollment in our clinical trials;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or temporary suspension of the enrollment of patients in our clinical trials due to the COVID-19 pandemic;</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1160" w:hanging="572"/>
        <w:spacing w:after="0" w:line="263"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211"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31"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 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right="220"/>
        <w:spacing w:after="0" w:line="308"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5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21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preclinical studies or clinical trials;</w:t>
      </w:r>
    </w:p>
    <w:p>
      <w:pPr>
        <w:spacing w:after="0" w:line="62" w:lineRule="exact"/>
        <w:rPr>
          <w:rFonts w:ascii="Arial" w:cs="Arial" w:eastAsia="Arial" w:hAnsi="Arial"/>
          <w:sz w:val="18"/>
          <w:szCs w:val="18"/>
          <w:color w:val="auto"/>
        </w:rPr>
      </w:pPr>
    </w:p>
    <w:p>
      <w:pPr>
        <w:ind w:left="1160" w:right="7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impact of the COVID-19 pandemic on our ability to produce our product candidates and conduct clinical trials in foreign countries;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left="1160" w:right="28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52"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business, financial condition and results of operations.</w:t>
      </w: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76"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219"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 xml:space="preserve">In particular,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(out-licensed worldwide rights to Rain Therapeutics), Kartos Therapeutics, </w:t>
      </w:r>
      <w:r>
        <w:rPr>
          <w:rFonts w:ascii="Arial" w:cs="Arial" w:eastAsia="Arial" w:hAnsi="Arial"/>
          <w:sz w:val="15"/>
          <w:szCs w:val="15"/>
          <w:color w:val="auto"/>
        </w:rPr>
        <w:t>Kymera Therapeutics,</w:t>
      </w:r>
      <w:r>
        <w:rPr>
          <w:rFonts w:ascii="Arial" w:cs="Arial" w:eastAsia="Arial" w:hAnsi="Arial"/>
          <w:sz w:val="16"/>
          <w:szCs w:val="16"/>
          <w:color w:val="auto"/>
        </w:rPr>
        <w:t xml:space="preserve"> Novartis and Roche, including testing MDM2 inhibitors in combination with a variety of other anti-cancer agents.</w:t>
      </w:r>
    </w:p>
    <w:p>
      <w:pPr>
        <w:spacing w:after="0" w:line="191" w:lineRule="exact"/>
        <w:rPr>
          <w:sz w:val="20"/>
          <w:szCs w:val="20"/>
          <w:color w:val="auto"/>
        </w:rPr>
      </w:pPr>
    </w:p>
    <w:p>
      <w:pPr>
        <w:ind w:right="360" w:firstLine="589"/>
        <w:spacing w:after="0" w:line="259"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214"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214" w:lineRule="exact"/>
        <w:rPr>
          <w:sz w:val="20"/>
          <w:szCs w:val="20"/>
          <w:color w:val="auto"/>
        </w:rPr>
      </w:pPr>
    </w:p>
    <w:p>
      <w:pPr>
        <w:jc w:val="both"/>
        <w:ind w:right="640" w:firstLine="589"/>
        <w:spacing w:after="0" w:line="263"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right="20"/>
        <w:spacing w:after="0" w:line="277" w:lineRule="auto"/>
        <w:rPr>
          <w:sz w:val="20"/>
          <w:szCs w:val="20"/>
          <w:color w:val="auto"/>
        </w:rPr>
      </w:pPr>
      <w:r>
        <w:rPr>
          <w:rFonts w:ascii="Arial" w:cs="Arial" w:eastAsia="Arial" w:hAnsi="Arial"/>
          <w:sz w:val="18"/>
          <w:szCs w:val="18"/>
          <w:color w:val="auto"/>
        </w:rPr>
        <w:t>personnel, establishing clinical trial sites and patient registration for clinical trials, as well as in acquiring technologies complementary to, or necessary for, our programs.</w:t>
      </w:r>
    </w:p>
    <w:p>
      <w:pPr>
        <w:spacing w:after="0" w:line="197"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9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31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76" w:lineRule="exact"/>
        <w:rPr>
          <w:sz w:val="20"/>
          <w:szCs w:val="20"/>
          <w:color w:val="auto"/>
        </w:rPr>
      </w:pPr>
    </w:p>
    <w:p>
      <w:pPr>
        <w:ind w:right="400" w:firstLine="589"/>
        <w:spacing w:after="0" w:line="296" w:lineRule="auto"/>
        <w:rPr>
          <w:sz w:val="20"/>
          <w:szCs w:val="20"/>
          <w:color w:val="auto"/>
        </w:rPr>
      </w:pPr>
      <w:r>
        <w:rPr>
          <w:rFonts w:ascii="Arial" w:cs="Arial" w:eastAsia="Arial" w:hAnsi="Arial"/>
          <w:sz w:val="16"/>
          <w:szCs w:val="16"/>
          <w:color w:val="auto"/>
        </w:rPr>
        <w:t>Our future operating results are dependent on our ability to successfully discover, develop, obtain regulatory approval for and commercialize product candidates beyond our lead product candidate, PC14586, and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88"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62"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52"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51" w:lineRule="exact"/>
        <w:rPr>
          <w:sz w:val="20"/>
          <w:szCs w:val="20"/>
          <w:color w:val="auto"/>
        </w:rPr>
      </w:pPr>
    </w:p>
    <w:p>
      <w:pPr>
        <w:jc w:val="both"/>
        <w:ind w:right="580" w:firstLine="589"/>
        <w:spacing w:after="0" w:line="311" w:lineRule="auto"/>
        <w:rPr>
          <w:sz w:val="20"/>
          <w:szCs w:val="20"/>
          <w:color w:val="auto"/>
        </w:rPr>
      </w:pPr>
      <w:r>
        <w:rPr>
          <w:rFonts w:ascii="Arial" w:cs="Arial" w:eastAsia="Arial" w:hAnsi="Arial"/>
          <w:sz w:val="16"/>
          <w:szCs w:val="16"/>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8" w:name="page59"/>
    <w:bookmarkEnd w:id="58"/>
    <w:p>
      <w:pPr>
        <w:ind w:right="8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89"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91"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While we have only recently initiated a clinical trial for our lead product candidate, PC14586, as is the case with all oncology drugs, it is likely that there may be significant side effects associated with its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95"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develop our current or future product candidates in combination with other therapies, which exposes us to additional risks.</w:t>
      </w:r>
    </w:p>
    <w:p>
      <w:pPr>
        <w:spacing w:after="0" w:line="142"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9" w:name="page60"/>
    <w:bookmarkEnd w:id="59"/>
    <w:p>
      <w:pPr>
        <w:spacing w:after="0" w:line="254" w:lineRule="auto"/>
        <w:rPr>
          <w:sz w:val="20"/>
          <w:szCs w:val="20"/>
          <w:color w:val="auto"/>
        </w:rPr>
      </w:pPr>
      <w:r>
        <w:rPr>
          <w:rFonts w:ascii="Arial" w:cs="Arial" w:eastAsia="Arial" w:hAnsi="Arial"/>
          <w:sz w:val="18"/>
          <w:szCs w:val="18"/>
          <w:color w:val="auto"/>
        </w:rPr>
        <w:t>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222" w:lineRule="exact"/>
        <w:rPr>
          <w:sz w:val="20"/>
          <w:szCs w:val="20"/>
          <w:color w:val="auto"/>
        </w:rPr>
      </w:pPr>
    </w:p>
    <w:p>
      <w:pPr>
        <w:ind w:right="520" w:firstLine="589"/>
        <w:spacing w:after="0" w:line="263" w:lineRule="auto"/>
        <w:rPr>
          <w:sz w:val="20"/>
          <w:szCs w:val="20"/>
          <w:color w:val="auto"/>
        </w:rPr>
      </w:pPr>
      <w:r>
        <w:rPr>
          <w:rFonts w:ascii="Arial" w:cs="Arial" w:eastAsia="Arial" w:hAnsi="Arial"/>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211"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30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9"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3"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215"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right="20"/>
        <w:spacing w:after="0" w:line="277" w:lineRule="auto"/>
        <w:rPr>
          <w:sz w:val="20"/>
          <w:szCs w:val="20"/>
          <w:color w:val="auto"/>
        </w:rPr>
      </w:pPr>
      <w:r>
        <w:rPr>
          <w:rFonts w:ascii="Arial" w:cs="Arial" w:eastAsia="Arial" w:hAnsi="Arial"/>
          <w:sz w:val="18"/>
          <w:szCs w:val="18"/>
          <w:color w:val="auto"/>
        </w:rPr>
        <w:t>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76" w:lineRule="exact"/>
        <w:rPr>
          <w:sz w:val="20"/>
          <w:szCs w:val="20"/>
          <w:color w:val="auto"/>
        </w:rPr>
      </w:pPr>
    </w:p>
    <w:p>
      <w:pPr>
        <w:jc w:val="both"/>
        <w:ind w:right="500" w:firstLine="589"/>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76"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prevalence and severity of any side effects for other precision medicines and public perception of other precision medicines;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relative convenience and ease of administration, including as compared to alternative treatments and competitive therapies; and</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52"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If our product candidates receive regulatory approval but fail to achieve market acceptance among physicians, patients, hospitals, cancer treatment centers or others in the medical community, we will not be able to generate significant revenue.</w:t>
      </w:r>
    </w:p>
    <w:p>
      <w:pPr>
        <w:spacing w:after="0" w:line="19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and a decrease in demand for any such product candidates.</w:t>
      </w:r>
    </w:p>
    <w:p>
      <w:pPr>
        <w:spacing w:after="0" w:line="198"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ind w:right="140"/>
        <w:spacing w:after="0" w:line="259"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9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5"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66"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firstLine="589"/>
        <w:spacing w:after="0" w:line="285" w:lineRule="auto"/>
        <w:rPr>
          <w:sz w:val="20"/>
          <w:szCs w:val="20"/>
          <w:color w:val="auto"/>
        </w:rPr>
      </w:pPr>
      <w:r>
        <w:rPr>
          <w:rFonts w:ascii="Arial" w:cs="Arial" w:eastAsia="Arial" w:hAnsi="Arial"/>
          <w:sz w:val="16"/>
          <w:szCs w:val="16"/>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203"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215"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92"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3" w:name="page64"/>
    <w:bookmarkEnd w:id="63"/>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76"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52"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76"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jc w:val="both"/>
        <w:ind w:right="20"/>
        <w:spacing w:after="0" w:line="311" w:lineRule="auto"/>
        <w:rPr>
          <w:sz w:val="20"/>
          <w:szCs w:val="20"/>
          <w:color w:val="auto"/>
        </w:rPr>
      </w:pPr>
      <w:r>
        <w:rPr>
          <w:rFonts w:ascii="Arial" w:cs="Arial" w:eastAsia="Arial" w:hAnsi="Arial"/>
          <w:sz w:val="16"/>
          <w:szCs w:val="16"/>
          <w:color w:val="auto"/>
        </w:rPr>
        <w:t>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76" w:lineRule="exact"/>
        <w:rPr>
          <w:sz w:val="20"/>
          <w:szCs w:val="20"/>
          <w:color w:val="auto"/>
        </w:rPr>
      </w:pPr>
    </w:p>
    <w:p>
      <w:pPr>
        <w:ind w:right="340" w:firstLine="589"/>
        <w:spacing w:after="0" w:line="259"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214"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31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89"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9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222"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Risks Related to Regulatory Process and Other Legal Compliance Matters</w:t>
      </w:r>
    </w:p>
    <w:p>
      <w:pPr>
        <w:spacing w:after="0" w:line="256"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36"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215"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92" w:lineRule="exact"/>
        <w:rPr>
          <w:sz w:val="20"/>
          <w:szCs w:val="20"/>
          <w:color w:val="auto"/>
        </w:rPr>
      </w:pPr>
    </w:p>
    <w:p>
      <w:pPr>
        <w:ind w:right="140" w:firstLine="589"/>
        <w:spacing w:after="0" w:line="253" w:lineRule="auto"/>
        <w:rPr>
          <w:sz w:val="20"/>
          <w:szCs w:val="20"/>
          <w:color w:val="auto"/>
        </w:rPr>
      </w:pPr>
      <w:r>
        <w:rPr>
          <w:rFonts w:ascii="Arial" w:cs="Arial" w:eastAsia="Arial" w:hAnsi="Arial"/>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86" w:lineRule="exact"/>
        <w:rPr>
          <w:sz w:val="20"/>
          <w:szCs w:val="20"/>
          <w:color w:val="auto"/>
        </w:rPr>
      </w:pPr>
    </w:p>
    <w:p>
      <w:pPr>
        <w:ind w:left="1160" w:right="180" w:hanging="572"/>
        <w:spacing w:after="0" w:line="311"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the design or implementation of our clinical trials, including our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40" w:lineRule="exact"/>
        <w:rPr>
          <w:rFonts w:ascii="Arial" w:cs="Arial" w:eastAsia="Arial" w:hAnsi="Arial"/>
          <w:sz w:val="16"/>
          <w:szCs w:val="16"/>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tumor-agnostic development strategy;</w:t>
      </w:r>
    </w:p>
    <w:p>
      <w:pPr>
        <w:spacing w:after="0" w:line="117"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1160" w:right="200" w:hanging="572"/>
        <w:spacing w:after="0" w:line="342"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5" w:lineRule="exact"/>
        <w:rPr>
          <w:rFonts w:ascii="Arial" w:cs="Arial" w:eastAsia="Arial" w:hAnsi="Arial"/>
          <w:sz w:val="16"/>
          <w:szCs w:val="16"/>
          <w:color w:val="auto"/>
        </w:rPr>
      </w:pPr>
    </w:p>
    <w:p>
      <w:pPr>
        <w:ind w:left="1160" w:right="26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fail to approve companion diagnostic tests that may be required for our product candidates;</w:t>
      </w:r>
    </w:p>
    <w:p>
      <w:pPr>
        <w:spacing w:after="0" w:line="62" w:lineRule="exact"/>
        <w:rPr>
          <w:rFonts w:ascii="Arial" w:cs="Arial" w:eastAsia="Arial" w:hAnsi="Arial"/>
          <w:sz w:val="18"/>
          <w:szCs w:val="18"/>
          <w:color w:val="auto"/>
        </w:rPr>
      </w:pPr>
    </w:p>
    <w:p>
      <w:pPr>
        <w:ind w:left="1160" w:right="68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66" w:name="page67"/>
    <w:bookmarkEnd w:id="66"/>
    <w:p>
      <w:pPr>
        <w:ind w:left="1160" w:hanging="572"/>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160" w:right="66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62"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62" w:lineRule="exact"/>
        <w:rPr>
          <w:rFonts w:ascii="Arial" w:cs="Arial" w:eastAsia="Arial" w:hAnsi="Arial"/>
          <w:sz w:val="18"/>
          <w:szCs w:val="18"/>
          <w:color w:val="auto"/>
        </w:rPr>
      </w:pPr>
    </w:p>
    <w:p>
      <w:pPr>
        <w:ind w:left="1160" w:right="68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97"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6"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32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89"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204"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right="740"/>
        <w:spacing w:after="0" w:line="277" w:lineRule="auto"/>
        <w:rPr>
          <w:sz w:val="20"/>
          <w:szCs w:val="20"/>
          <w:color w:val="auto"/>
        </w:rPr>
      </w:pPr>
      <w:r>
        <w:rPr>
          <w:rFonts w:ascii="Arial" w:cs="Arial" w:eastAsia="Arial" w:hAnsi="Arial"/>
          <w:sz w:val="18"/>
          <w:szCs w:val="18"/>
          <w:color w:val="auto"/>
        </w:rPr>
        <w:t>exclusivity period can be reduced to six years if a drug no longer meets the criteria for ODD or if the drug is sufficiently profitable so that market exclusivity is no longer justified.</w:t>
      </w:r>
    </w:p>
    <w:p>
      <w:pPr>
        <w:spacing w:after="0" w:line="19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317"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b w:val="1"/>
          <w:bCs w:val="1"/>
          <w:i w:val="1"/>
          <w:iCs w:val="1"/>
          <w:color w:val="auto"/>
        </w:rPr>
        <w:t>We may seek and fail to obtain breakthrough therapy designations for our current or Fast Track and breakthrough therapy designations for future product candidates. Even if we are successful, such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63"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PC14586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PC14586,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1"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08"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line="273" w:lineRule="auto"/>
        <w:rPr>
          <w:sz w:val="20"/>
          <w:szCs w:val="20"/>
          <w:color w:val="auto"/>
        </w:rPr>
      </w:pPr>
      <w:r>
        <w:rPr>
          <w:rFonts w:ascii="Arial" w:cs="Arial" w:eastAsia="Arial" w:hAnsi="Arial"/>
          <w:sz w:val="17"/>
          <w:szCs w:val="17"/>
          <w:color w:val="auto"/>
        </w:rPr>
        <w:t>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3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76"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32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93"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Our lead product candidate, PC14586, is in early clinical development and all of our other product candidates are in discovery or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clinical trials may not be successful.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ind w:right="20" w:firstLine="589"/>
        <w:spacing w:after="0" w:line="293" w:lineRule="auto"/>
        <w:rPr>
          <w:sz w:val="20"/>
          <w:szCs w:val="20"/>
          <w:color w:val="auto"/>
        </w:rPr>
      </w:pPr>
      <w:r>
        <w:rPr>
          <w:rFonts w:ascii="Arial" w:cs="Arial" w:eastAsia="Arial" w:hAnsi="Arial"/>
          <w:sz w:val="16"/>
          <w:szCs w:val="16"/>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9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Additionally, our PC14586 Phase 1/2 clinical trial is, and other clinical trials we conduct in the future may be, open-label in study design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12"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We may experience delays in obtaining the FDA’s authorization to initiate clinical trials, completing ongoing clinical trials of PC14586 and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80" w:lineRule="exact"/>
        <w:rPr>
          <w:sz w:val="20"/>
          <w:szCs w:val="20"/>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tumor-agnostic development strategy;</w:t>
      </w:r>
    </w:p>
    <w:p>
      <w:pPr>
        <w:spacing w:after="0" w:line="117"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obtaining regulatory approval or authorization to commence a clinical trial, including delays or issues relating to any future companion diagnostics which we may develop;</w:t>
      </w:r>
    </w:p>
    <w:p>
      <w:pPr>
        <w:spacing w:after="0" w:line="62"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clinical trial site;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jc w:val="both"/>
        <w:ind w:left="1160" w:right="40" w:hanging="572"/>
        <w:spacing w:after="0" w:line="263"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0" w:name="page71"/>
    <w:bookmarkEnd w:id="70"/>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1160" w:right="72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having third-party contractors fail to complete their obligations in a timely manner or failing to comply with applicable regulatory requirements;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preclinical studies or clinical trials from third-party suppliers.</w:t>
      </w:r>
    </w:p>
    <w:p>
      <w:pPr>
        <w:spacing w:after="0" w:line="252"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208"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04"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31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Changes in funding or 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ind w:right="320"/>
        <w:spacing w:after="0" w:line="263" w:lineRule="auto"/>
        <w:rPr>
          <w:sz w:val="20"/>
          <w:szCs w:val="20"/>
          <w:color w:val="auto"/>
        </w:rPr>
      </w:pPr>
      <w:r>
        <w:rPr>
          <w:rFonts w:ascii="Arial" w:cs="Arial" w:eastAsia="Arial" w:hAnsi="Arial"/>
          <w:sz w:val="18"/>
          <w:szCs w:val="18"/>
          <w:color w:val="auto"/>
        </w:rPr>
        <w:t>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11"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303" w:lineRule="exact"/>
        <w:rPr>
          <w:sz w:val="20"/>
          <w:szCs w:val="20"/>
          <w:color w:val="auto"/>
        </w:rPr>
      </w:pPr>
    </w:p>
    <w:p>
      <w:pPr>
        <w:ind w:right="700"/>
        <w:spacing w:after="0" w:line="286"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92"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65"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risk evaluation and mitigation strategy, or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1" w:lineRule="exact"/>
        <w:rPr>
          <w:sz w:val="20"/>
          <w:szCs w:val="20"/>
          <w:color w:val="auto"/>
        </w:rPr>
      </w:pPr>
    </w:p>
    <w:p>
      <w:pPr>
        <w:ind w:left="1160" w:right="56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manufacturing delays and supply disruptions where regulatory inspections identify observations of noncompliance requiring remediation;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ind w:left="1160" w:right="34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100" w:firstLine="589"/>
        <w:spacing w:after="0" w:line="288"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and regulations promulgated during the Trump administration as well as those implemented by the Biden administration may impact our business and industry. To the extent any current or future executive or legislative actions impose significant changes in or burdens on, or otherwise materially delay, FDA’s ability to engage in routine oversight activities, such as implementing regulations through rulemaking, issuance of guidance, and agency review and approval of marketing applications on a timely basis, our business and clinical development plans could be negatively impacted. It remains to be seen how the Biden administration and new leadership at the HHS and FDA will impact our business. If we, as well as our contractors, are slow or unable to adapt to changes in existing requirements or the adoption of new requirements or policies, or are not able to maintain regulatory compliance, we may be delayed in obtaining regulatory approval, lose any marketing approval that we may have obtained, and we may not achieve or sustain profitability.</w:t>
      </w:r>
    </w:p>
    <w:p>
      <w:pPr>
        <w:spacing w:after="0" w:line="19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5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19"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beneficiaries during their coverage gap period, as a condition for the manufacturer’s outpatient drugs to be covered under Medicare Part D.</w:t>
      </w:r>
    </w:p>
    <w:p>
      <w:pPr>
        <w:spacing w:after="0" w:line="225"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181"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3% in the final fiscal year of this sequester.</w:t>
      </w:r>
    </w:p>
    <w:p>
      <w:pPr>
        <w:spacing w:after="0" w:line="17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in May 2019, CMS issued a final rule to allow Medicare Advantage Plans the option of using step therapy, a type of prior authorization, for Part B drugs beginning January 1, 2020. This final rule codified CMS’s policy change that was effective January 1, 2019. In 2020, under the Trump administration,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As a result, the Biden administration and HHS have delayed the implementation or published rules rescinding some of these Trump-era policies.</w:t>
      </w:r>
    </w:p>
    <w:p>
      <w:pPr>
        <w:spacing w:after="0" w:line="172"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Further,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has released a Comprehensive Plan for Addressing High Drug Prices that outlines principles for drug pricing reform and potential legislative policies that Congress could pursue to advance these principles. No legislation or administrative actions have been finalized to implement these principles. In addition, Congress is considering legislation that, if passed, could have significant impact on prices of prescription drugs covered by Medicare, including limitations on drug price increases, which may adversely affect our profitability. The impact of these and future reform measures on us and the pharmaceutical industry as a whole is unclear.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ind w:right="60" w:firstLine="589"/>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5" w:lineRule="exact"/>
        <w:rPr>
          <w:sz w:val="20"/>
          <w:szCs w:val="20"/>
          <w:color w:val="auto"/>
        </w:rPr>
      </w:pPr>
    </w:p>
    <w:p>
      <w:pPr>
        <w:ind w:right="320" w:firstLine="589"/>
        <w:spacing w:after="0" w:line="259"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14"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49" w:lineRule="exact"/>
        <w:rPr>
          <w:sz w:val="20"/>
          <w:szCs w:val="20"/>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1"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ind w:right="2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0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29"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63" w:lineRule="exact"/>
        <w:rPr>
          <w:sz w:val="20"/>
          <w:szCs w:val="20"/>
          <w:color w:val="auto"/>
        </w:rPr>
      </w:pPr>
    </w:p>
    <w:p>
      <w:pPr>
        <w:ind w:left="1160" w:hanging="572"/>
        <w:spacing w:after="0" w:line="271" w:lineRule="auto"/>
        <w:tabs>
          <w:tab w:leader="none" w:pos="1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70" w:lineRule="exact"/>
        <w:rPr>
          <w:rFonts w:ascii="Arial" w:cs="Arial" w:eastAsia="Arial" w:hAnsi="Arial"/>
          <w:sz w:val="17"/>
          <w:szCs w:val="17"/>
          <w:color w:val="auto"/>
        </w:rPr>
      </w:pPr>
    </w:p>
    <w:p>
      <w:pPr>
        <w:ind w:left="1160" w:right="80" w:hanging="572"/>
        <w:spacing w:after="0" w:line="254"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6" w:name="page77"/>
    <w:bookmarkEnd w:id="76"/>
    <w:p>
      <w:pPr>
        <w:ind w:left="1160" w:right="240"/>
        <w:spacing w:after="0" w:line="257" w:lineRule="auto"/>
        <w:rPr>
          <w:sz w:val="20"/>
          <w:szCs w:val="20"/>
          <w:color w:val="auto"/>
        </w:rPr>
      </w:pPr>
      <w:r>
        <w:rPr>
          <w:rFonts w:ascii="Arial" w:cs="Arial" w:eastAsia="Arial" w:hAnsi="Arial"/>
          <w:sz w:val="18"/>
          <w:szCs w:val="18"/>
          <w:color w:val="auto"/>
        </w:rPr>
        <w:t>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0" w:lineRule="exact"/>
        <w:rPr>
          <w:sz w:val="20"/>
          <w:szCs w:val="20"/>
          <w:color w:val="auto"/>
        </w:rPr>
      </w:pPr>
    </w:p>
    <w:p>
      <w:pPr>
        <w:ind w:left="1160" w:hanging="572"/>
        <w:spacing w:after="0" w:line="254"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3" w:lineRule="exact"/>
        <w:rPr>
          <w:rFonts w:ascii="Arial" w:cs="Arial" w:eastAsia="Arial" w:hAnsi="Arial"/>
          <w:sz w:val="18"/>
          <w:szCs w:val="18"/>
          <w:color w:val="auto"/>
        </w:rPr>
      </w:pPr>
    </w:p>
    <w:p>
      <w:pPr>
        <w:ind w:left="1160" w:hanging="572"/>
        <w:spacing w:after="0" w:line="293" w:lineRule="auto"/>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Physician Payment Sunshine Act, created under the ACA and its implementing regulations, which require applicable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covered recipients, including physicians (defined to include doctors, dentists, optometrists, podiatrists and chiropractors), other non-physician healthcare providers (such as physician assistants and nurse practitioners, among others), and teaching hospitals, as well as ownership and investment interests held by physicians, as defined by law, and their immediate family members;</w:t>
      </w:r>
    </w:p>
    <w:p>
      <w:pPr>
        <w:spacing w:after="0" w:line="56" w:lineRule="exact"/>
        <w:rPr>
          <w:rFonts w:ascii="Arial" w:cs="Arial" w:eastAsia="Arial" w:hAnsi="Arial"/>
          <w:sz w:val="16"/>
          <w:szCs w:val="16"/>
          <w:color w:val="auto"/>
        </w:rPr>
      </w:pPr>
    </w:p>
    <w:p>
      <w:pPr>
        <w:ind w:left="1160" w:right="6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160" w:right="40" w:hanging="572"/>
        <w:spacing w:after="0" w:line="253"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223"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ind w:right="120"/>
        <w:spacing w:after="0" w:line="277" w:lineRule="auto"/>
        <w:rPr>
          <w:sz w:val="20"/>
          <w:szCs w:val="20"/>
          <w:color w:val="auto"/>
        </w:rPr>
      </w:pPr>
      <w:r>
        <w:rPr>
          <w:rFonts w:ascii="Arial" w:cs="Arial" w:eastAsia="Arial" w:hAnsi="Arial"/>
          <w:sz w:val="18"/>
          <w:szCs w:val="18"/>
          <w:color w:val="auto"/>
        </w:rPr>
        <w:t>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collection is governed by restrictive regulations governing the use, processing and cross-border transfer of personal information.</w:t>
      </w:r>
    </w:p>
    <w:p>
      <w:pPr>
        <w:spacing w:after="0" w:line="142"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In connection with our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201" w:lineRule="exact"/>
        <w:rPr>
          <w:sz w:val="20"/>
          <w:szCs w:val="20"/>
          <w:color w:val="auto"/>
        </w:rPr>
      </w:pPr>
    </w:p>
    <w:p>
      <w:pPr>
        <w:ind w:right="140" w:firstLine="589"/>
        <w:spacing w:after="0" w:line="268" w:lineRule="auto"/>
        <w:rPr>
          <w:sz w:val="20"/>
          <w:szCs w:val="20"/>
          <w:color w:val="auto"/>
        </w:rPr>
      </w:pPr>
      <w:r>
        <w:rPr>
          <w:rFonts w:ascii="Arial" w:cs="Arial" w:eastAsia="Arial" w:hAnsi="Arial"/>
          <w:sz w:val="17"/>
          <w:szCs w:val="17"/>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13"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line="291" w:lineRule="auto"/>
        <w:rPr>
          <w:sz w:val="20"/>
          <w:szCs w:val="20"/>
          <w:color w:val="auto"/>
        </w:rPr>
      </w:pPr>
      <w:r>
        <w:rPr>
          <w:rFonts w:ascii="Arial" w:cs="Arial" w:eastAsia="Arial" w:hAnsi="Arial"/>
          <w:sz w:val="16"/>
          <w:szCs w:val="16"/>
          <w:color w:val="auto"/>
        </w:rPr>
        <w:t>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In November 2020, California passed the California Privacy Rights Act, or CPRA, which amends and expands the CCPA. Although the CCPA includes exemptions for certain clinical trial data, the law may increase our compliance costs and potential liability with respect to other personal information. The CCPA and CPRA may impact our business activities and exemplifies the vulnerability of our business to the evolving regulatory environment related to personal data and protected health information.</w:t>
      </w:r>
    </w:p>
    <w:p>
      <w:pPr>
        <w:spacing w:after="0" w:line="193"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3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76"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3"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1" w:lineRule="exact"/>
        <w:rPr>
          <w:sz w:val="20"/>
          <w:szCs w:val="20"/>
          <w:color w:val="auto"/>
        </w:rPr>
      </w:pPr>
    </w:p>
    <w:p>
      <w:pPr>
        <w:jc w:val="both"/>
        <w:ind w:right="60" w:firstLine="589"/>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9" w:name="page80"/>
    <w:bookmarkEnd w:id="79"/>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76" w:lineRule="exact"/>
        <w:rPr>
          <w:sz w:val="20"/>
          <w:szCs w:val="20"/>
          <w:color w:val="auto"/>
        </w:rPr>
      </w:pPr>
    </w:p>
    <w:p>
      <w:pPr>
        <w:ind w:right="180" w:firstLine="589"/>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7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our Chief Medical Officer and our Chief Regulatory and Quality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205"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203"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31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As of February 28, 2022, we had 54 full-time employees, including 35 employees engaged in research and development activities. In order to successfully implement our development and commercialization plans and strategies, and as we are a relatively new public company, we expect to need additional managerial, operational,</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sales, marketing, financial and other personnel. Future growth would impose significant added responsibilities on members of management, including:</w:t>
      </w:r>
    </w:p>
    <w:p>
      <w:pPr>
        <w:spacing w:after="0" w:line="140" w:lineRule="exact"/>
        <w:rPr>
          <w:sz w:val="20"/>
          <w:szCs w:val="20"/>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160" w:right="120" w:hanging="572"/>
        <w:spacing w:after="0" w:line="263"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52"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9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93"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31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92"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1" w:name="page82"/>
    <w:bookmarkEnd w:id="81"/>
    <w:p>
      <w:pPr>
        <w:ind w:right="80"/>
        <w:spacing w:after="0" w:line="287" w:lineRule="auto"/>
        <w:rPr>
          <w:sz w:val="20"/>
          <w:szCs w:val="20"/>
          <w:color w:val="auto"/>
        </w:rPr>
      </w:pPr>
      <w:r>
        <w:rPr>
          <w:rFonts w:ascii="Arial" w:cs="Arial" w:eastAsia="Arial" w:hAnsi="Arial"/>
          <w:sz w:val="16"/>
          <w:szCs w:val="16"/>
          <w:color w:val="auto"/>
        </w:rPr>
        <w:t>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208" w:lineRule="exact"/>
        <w:rPr>
          <w:sz w:val="20"/>
          <w:szCs w:val="20"/>
          <w:color w:val="auto"/>
        </w:rPr>
      </w:pPr>
    </w:p>
    <w:p>
      <w:pPr>
        <w:ind w:right="260" w:firstLine="589"/>
        <w:spacing w:after="0" w:line="301"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materially adversely affect our future revenue and financial condition and increase our costs and expenses.</w:t>
      </w:r>
    </w:p>
    <w:p>
      <w:pPr>
        <w:spacing w:after="0" w:line="142"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29"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Our net operating loss, or NOL, carryforwards may be unavailable to offset future taxable income because of restrictions under U.S. tax law. Our federal NOLs generated in tax years ending on or prior to December 31,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ind w:right="460"/>
        <w:spacing w:after="0" w:line="259" w:lineRule="auto"/>
        <w:rPr>
          <w:sz w:val="20"/>
          <w:szCs w:val="20"/>
          <w:color w:val="auto"/>
        </w:rPr>
      </w:pPr>
      <w:r>
        <w:rPr>
          <w:rFonts w:ascii="Arial" w:cs="Arial" w:eastAsia="Arial" w:hAnsi="Arial"/>
          <w:sz w:val="18"/>
          <w:szCs w:val="18"/>
          <w:color w:val="auto"/>
        </w:rPr>
        <w:t>are only permitted to be carried forward for 20 taxable years, and therefore could expire unused. Under the Tax Cuts and Jobs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187"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As of December 31, 2021 and 2020, the Company had federal NOL carryforwards of $159.9 million and $97.7 million, respectively. As of December 31, 2021, we had state NOL carryforwards for New Jersey and California and Massachusetts of approximately $155.0 million, $4.9 million, and $4.6 million, respectively. As of December 31, 2020, we had state NOL carryforwards for New Jersey and California of approximately $92.8 million and $4.9 million, respectively. Some of the federal and state NOL carryforwards expire beginning in the year 2033. We also had federal and state research and development credit carryforwards of approximately $6.6 million and $3.5 million, respectively, as of December 31, 2021 and 2020. The federal credits will begin to expire in 2034 if not utilized. The California state credits carryforward indefinitely and the New Jersey state credits expire starting in 2021.</w:t>
      </w:r>
    </w:p>
    <w:p>
      <w:pPr>
        <w:spacing w:after="0" w:line="191" w:lineRule="exact"/>
        <w:rPr>
          <w:sz w:val="20"/>
          <w:szCs w:val="20"/>
          <w:color w:val="auto"/>
        </w:rPr>
      </w:pPr>
    </w:p>
    <w:p>
      <w:pPr>
        <w:jc w:val="both"/>
        <w:ind w:right="80" w:firstLine="589"/>
        <w:spacing w:after="0" w:line="287" w:lineRule="auto"/>
        <w:rPr>
          <w:sz w:val="20"/>
          <w:szCs w:val="20"/>
          <w:color w:val="auto"/>
        </w:rPr>
      </w:pPr>
      <w:r>
        <w:rPr>
          <w:rFonts w:ascii="Arial" w:cs="Arial" w:eastAsia="Arial" w:hAnsi="Arial"/>
          <w:sz w:val="16"/>
          <w:szCs w:val="16"/>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There is also a risk that due to federal or state regulatory changes, such as suspensions on the use of NOLs, our existing NOLs could expire or otherwise be unavailable to offset future income tax liabilities.</w:t>
      </w:r>
    </w:p>
    <w:p>
      <w:pPr>
        <w:spacing w:after="0" w:line="30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7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including COVID-19,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9"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84"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7"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223"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84" w:name="page85"/>
    <w:bookmarkEnd w:id="84"/>
    <w:p>
      <w:pPr>
        <w:ind w:right="160"/>
        <w:spacing w:after="0" w:line="259" w:lineRule="auto"/>
        <w:rPr>
          <w:sz w:val="20"/>
          <w:szCs w:val="20"/>
          <w:color w:val="auto"/>
        </w:rPr>
      </w:pPr>
      <w:r>
        <w:rPr>
          <w:rFonts w:ascii="Arial" w:cs="Arial" w:eastAsia="Arial" w:hAnsi="Arial"/>
          <w:sz w:val="18"/>
          <w:szCs w:val="18"/>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92"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203"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1160" w:right="10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62" w:lineRule="exact"/>
        <w:rPr>
          <w:rFonts w:ascii="Arial" w:cs="Arial" w:eastAsia="Arial" w:hAnsi="Arial"/>
          <w:sz w:val="18"/>
          <w:szCs w:val="18"/>
          <w:color w:val="auto"/>
        </w:rPr>
      </w:pPr>
    </w:p>
    <w:p>
      <w:pPr>
        <w:ind w:left="1160" w:right="68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manufacturer would have to be educated in, or develop substantially equivalent processes for, the production of our product candidates;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contract manufacturers may not be able to execute our manufacturing procedures and other logistical support requirements appropriately;</w:t>
      </w:r>
    </w:p>
    <w:p>
      <w:pPr>
        <w:spacing w:after="0" w:line="140" w:lineRule="exact"/>
        <w:rPr>
          <w:rFonts w:ascii="Arial" w:cs="Arial" w:eastAsia="Arial" w:hAnsi="Arial"/>
          <w:sz w:val="16"/>
          <w:szCs w:val="16"/>
          <w:color w:val="auto"/>
        </w:rPr>
      </w:pPr>
    </w:p>
    <w:p>
      <w:pPr>
        <w:ind w:left="1160" w:right="320" w:hanging="572"/>
        <w:spacing w:after="0" w:line="263"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75" w:lineRule="exact"/>
        <w:rPr>
          <w:rFonts w:ascii="Arial" w:cs="Arial" w:eastAsia="Arial" w:hAnsi="Arial"/>
          <w:sz w:val="18"/>
          <w:szCs w:val="18"/>
          <w:color w:val="auto"/>
        </w:rPr>
      </w:pPr>
    </w:p>
    <w:p>
      <w:pPr>
        <w:ind w:left="1160" w:right="300" w:hanging="572"/>
        <w:spacing w:after="0" w:line="263"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75"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5" w:name="page86"/>
    <w:bookmarkEnd w:id="85"/>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contract manufacturers and critical reagent suppliers may be subject to inclement weather, as well as natural or man-made disasters; and</w:t>
      </w:r>
    </w:p>
    <w:p>
      <w:pPr>
        <w:spacing w:after="0" w:line="62" w:lineRule="exact"/>
        <w:rPr>
          <w:rFonts w:ascii="Arial" w:cs="Arial" w:eastAsia="Arial" w:hAnsi="Arial"/>
          <w:sz w:val="18"/>
          <w:szCs w:val="18"/>
          <w:color w:val="auto"/>
        </w:rPr>
      </w:pPr>
    </w:p>
    <w:p>
      <w:pPr>
        <w:ind w:left="1160" w:right="200" w:hanging="572"/>
        <w:spacing w:after="0" w:line="308" w:lineRule="auto"/>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73"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32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7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21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76" w:lineRule="exact"/>
        <w:rPr>
          <w:sz w:val="20"/>
          <w:szCs w:val="20"/>
          <w:color w:val="auto"/>
        </w:rPr>
      </w:pPr>
    </w:p>
    <w:p>
      <w:pPr>
        <w:ind w:right="700" w:firstLine="589"/>
        <w:spacing w:after="0" w:line="277"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line="271" w:lineRule="auto"/>
        <w:rPr>
          <w:sz w:val="20"/>
          <w:szCs w:val="20"/>
          <w:color w:val="auto"/>
        </w:rPr>
      </w:pPr>
      <w:r>
        <w:rPr>
          <w:rFonts w:ascii="Arial" w:cs="Arial" w:eastAsia="Arial" w:hAnsi="Arial"/>
          <w:sz w:val="17"/>
          <w:szCs w:val="17"/>
          <w:color w:val="auto"/>
        </w:rPr>
        <w:t>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1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89"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3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76"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98"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ind w:left="1160" w:right="70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ind w:left="1160" w:right="80"/>
        <w:spacing w:after="0" w:line="277" w:lineRule="auto"/>
        <w:rPr>
          <w:sz w:val="20"/>
          <w:szCs w:val="20"/>
          <w:color w:val="auto"/>
        </w:rPr>
      </w:pPr>
      <w:r>
        <w:rPr>
          <w:rFonts w:ascii="Arial" w:cs="Arial" w:eastAsia="Arial" w:hAnsi="Arial"/>
          <w:sz w:val="18"/>
          <w:szCs w:val="18"/>
          <w:color w:val="auto"/>
        </w:rPr>
        <w:t>clinical trial results, changes in their strategic focus due to the acquisition of competitive products, availability of funding or other external factors, such as a business combination that diverts resources or creates competing priorities;</w:t>
      </w:r>
    </w:p>
    <w:p>
      <w:pPr>
        <w:spacing w:after="0" w:line="62" w:lineRule="exact"/>
        <w:rPr>
          <w:sz w:val="20"/>
          <w:szCs w:val="20"/>
          <w:color w:val="auto"/>
        </w:rPr>
      </w:pPr>
    </w:p>
    <w:p>
      <w:pPr>
        <w:ind w:left="1160" w:right="32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62"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ind w:left="1160" w:right="520" w:hanging="572"/>
        <w:spacing w:after="0" w:line="263"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160" w:right="100" w:hanging="572"/>
        <w:spacing w:after="0" w:line="342" w:lineRule="auto"/>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160" w:right="84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62"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9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3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76"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84" w:lineRule="exact"/>
        <w:rPr>
          <w:sz w:val="20"/>
          <w:szCs w:val="20"/>
          <w:color w:val="auto"/>
        </w:rPr>
      </w:pPr>
    </w:p>
    <w:p>
      <w:pPr>
        <w:jc w:val="both"/>
        <w:ind w:right="20" w:firstLine="589"/>
        <w:spacing w:after="0" w:line="293"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ind w:right="220"/>
        <w:spacing w:after="0" w:line="301" w:lineRule="auto"/>
        <w:rPr>
          <w:sz w:val="20"/>
          <w:szCs w:val="20"/>
          <w:color w:val="auto"/>
        </w:rPr>
      </w:pPr>
      <w:r>
        <w:rPr>
          <w:rFonts w:ascii="Arial" w:cs="Arial" w:eastAsia="Arial" w:hAnsi="Arial"/>
          <w:sz w:val="16"/>
          <w:szCs w:val="16"/>
          <w:color w:val="auto"/>
        </w:rPr>
        <w:t>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84"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11"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76"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76" w:lineRule="exact"/>
        <w:rPr>
          <w:sz w:val="20"/>
          <w:szCs w:val="20"/>
          <w:color w:val="auto"/>
        </w:rPr>
      </w:pPr>
    </w:p>
    <w:p>
      <w:pPr>
        <w:ind w:right="220" w:firstLine="589"/>
        <w:spacing w:after="0" w:line="342" w:lineRule="auto"/>
        <w:rPr>
          <w:sz w:val="20"/>
          <w:szCs w:val="20"/>
          <w:color w:val="auto"/>
        </w:rPr>
      </w:pPr>
      <w:r>
        <w:rPr>
          <w:rFonts w:ascii="Arial" w:cs="Arial" w:eastAsia="Arial" w:hAnsi="Arial"/>
          <w:sz w:val="16"/>
          <w:szCs w:val="16"/>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6" w:lineRule="exact"/>
        <w:rPr>
          <w:sz w:val="20"/>
          <w:szCs w:val="20"/>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ind w:left="1160" w:right="4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211" w:lineRule="exact"/>
        <w:rPr>
          <w:sz w:val="20"/>
          <w:szCs w:val="20"/>
          <w:color w:val="auto"/>
        </w:rPr>
      </w:pPr>
    </w:p>
    <w:p>
      <w:pPr>
        <w:ind w:right="300" w:firstLine="589"/>
        <w:spacing w:after="0" w:line="308"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89"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21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205"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21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line="253" w:lineRule="auto"/>
        <w:rPr>
          <w:sz w:val="20"/>
          <w:szCs w:val="20"/>
          <w:color w:val="auto"/>
        </w:rPr>
      </w:pPr>
      <w:r>
        <w:rPr>
          <w:rFonts w:ascii="Arial" w:cs="Arial" w:eastAsia="Arial" w:hAnsi="Arial"/>
          <w:sz w:val="18"/>
          <w:szCs w:val="18"/>
          <w:color w:val="auto"/>
        </w:rPr>
        <w:t>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3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76"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203"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8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222"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ind w:firstLine="589"/>
        <w:spacing w:after="0" w:line="269"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20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205"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19" w:lineRule="exact"/>
        <w:rPr>
          <w:sz w:val="20"/>
          <w:szCs w:val="20"/>
          <w:color w:val="auto"/>
        </w:rPr>
      </w:pPr>
    </w:p>
    <w:p>
      <w:pPr>
        <w:ind w:firstLine="569"/>
        <w:spacing w:after="0" w:line="311" w:lineRule="auto"/>
        <w:rPr>
          <w:sz w:val="20"/>
          <w:szCs w:val="20"/>
          <w:color w:val="auto"/>
        </w:rPr>
      </w:pPr>
      <w:r>
        <w:rPr>
          <w:rFonts w:ascii="Arial" w:cs="Arial" w:eastAsia="Arial" w:hAnsi="Arial"/>
          <w:sz w:val="16"/>
          <w:szCs w:val="16"/>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7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2" w:name="page93"/>
    <w:bookmarkEnd w:id="92"/>
    <w:p>
      <w:pPr>
        <w:ind w:right="20"/>
        <w:spacing w:after="0" w:line="277" w:lineRule="auto"/>
        <w:rPr>
          <w:sz w:val="20"/>
          <w:szCs w:val="20"/>
          <w:color w:val="auto"/>
        </w:rPr>
      </w:pPr>
      <w:r>
        <w:rPr>
          <w:rFonts w:ascii="Arial" w:cs="Arial" w:eastAsia="Arial" w:hAnsi="Arial"/>
          <w:sz w:val="18"/>
          <w:szCs w:val="18"/>
          <w:color w:val="auto"/>
        </w:rPr>
        <w:t>term of another patent that is commonly owned or names a common inventor. As a result, the issuance, scope, validity, enforceability and commercial value of our patent rights are highly uncertain.</w:t>
      </w:r>
    </w:p>
    <w:p>
      <w:pPr>
        <w:spacing w:after="0" w:line="19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209"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222"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18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219"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ind w:right="80"/>
        <w:spacing w:after="0" w:line="293" w:lineRule="auto"/>
        <w:rPr>
          <w:sz w:val="20"/>
          <w:szCs w:val="20"/>
          <w:color w:val="auto"/>
        </w:rPr>
      </w:pPr>
      <w:r>
        <w:rPr>
          <w:rFonts w:ascii="Arial" w:cs="Arial" w:eastAsia="Arial" w:hAnsi="Arial"/>
          <w:sz w:val="16"/>
          <w:szCs w:val="16"/>
          <w:color w:val="auto"/>
        </w:rPr>
        <w:t>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299"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89"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3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76"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208" w:lineRule="exact"/>
        <w:rPr>
          <w:sz w:val="20"/>
          <w:szCs w:val="20"/>
          <w:color w:val="auto"/>
        </w:rPr>
      </w:pPr>
    </w:p>
    <w:p>
      <w:pPr>
        <w:ind w:right="100" w:firstLine="589"/>
        <w:spacing w:after="0" w:line="289" w:lineRule="auto"/>
        <w:rPr>
          <w:sz w:val="20"/>
          <w:szCs w:val="20"/>
          <w:color w:val="auto"/>
        </w:rPr>
      </w:pPr>
      <w:r>
        <w:rPr>
          <w:rFonts w:ascii="Arial" w:cs="Arial" w:eastAsia="Arial" w:hAnsi="Arial"/>
          <w:sz w:val="16"/>
          <w:szCs w:val="16"/>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4" w:name="page95"/>
    <w:bookmarkEnd w:id="94"/>
    <w:p>
      <w:pPr>
        <w:ind w:right="7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76"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208"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98"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91"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11"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possibility of post-grant proceedings could have a material adverse effect on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31"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ind w:right="20"/>
        <w:spacing w:after="0" w:line="263" w:lineRule="auto"/>
        <w:rPr>
          <w:sz w:val="20"/>
          <w:szCs w:val="20"/>
          <w:color w:val="auto"/>
        </w:rPr>
      </w:pPr>
      <w:r>
        <w:rPr>
          <w:rFonts w:ascii="Arial" w:cs="Arial" w:eastAsia="Arial" w:hAnsi="Arial"/>
          <w:sz w:val="18"/>
          <w:szCs w:val="18"/>
          <w:color w:val="auto"/>
        </w:rPr>
        <w:t>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211"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201"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31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76"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31"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3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6"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3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89"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97" w:name="page98"/>
    <w:bookmarkEnd w:id="97"/>
    <w:p>
      <w:pPr>
        <w:ind w:firstLine="589"/>
        <w:spacing w:after="0" w:line="255"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21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211"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208"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214"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 resources. We</w:t>
      </w:r>
      <w:r>
        <w:rPr>
          <w:rFonts w:ascii="Arial" w:cs="Arial" w:eastAsia="Arial" w:hAnsi="Arial"/>
          <w:sz w:val="16"/>
          <w:szCs w:val="16"/>
          <w:i w:val="1"/>
          <w:iCs w:val="1"/>
          <w:color w:val="auto"/>
        </w:rPr>
        <w:t xml:space="preserve"> </w:t>
      </w:r>
      <w:r>
        <w:rPr>
          <w:rFonts w:ascii="Arial" w:cs="Arial" w:eastAsia="Arial" w:hAnsi="Arial"/>
          <w:sz w:val="16"/>
          <w:szCs w:val="16"/>
          <w:color w:val="auto"/>
        </w:rPr>
        <w:t>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76"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ind w:right="8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89"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19"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215"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203"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9" w:name="page100"/>
    <w:bookmarkEnd w:id="99"/>
    <w:p>
      <w:pPr>
        <w:ind w:right="780"/>
        <w:spacing w:after="0" w:line="277" w:lineRule="auto"/>
        <w:rPr>
          <w:sz w:val="20"/>
          <w:szCs w:val="20"/>
          <w:color w:val="auto"/>
        </w:rPr>
      </w:pPr>
      <w:r>
        <w:rPr>
          <w:rFonts w:ascii="Arial" w:cs="Arial" w:eastAsia="Arial" w:hAnsi="Arial"/>
          <w:sz w:val="18"/>
          <w:szCs w:val="18"/>
          <w:color w:val="auto"/>
        </w:rPr>
        <w:t>complex legal, business and scientific issues. Disputes may arise between us and our licensors regarding intellectual property subject to a license agreement, including:</w:t>
      </w:r>
    </w:p>
    <w:p>
      <w:pPr>
        <w:spacing w:after="0" w:line="62" w:lineRule="exact"/>
        <w:rPr>
          <w:sz w:val="20"/>
          <w:szCs w:val="20"/>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17"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9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211"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2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31" w:lineRule="exact"/>
        <w:rPr>
          <w:sz w:val="20"/>
          <w:szCs w:val="20"/>
          <w:color w:val="auto"/>
        </w:rPr>
      </w:pPr>
    </w:p>
    <w:p>
      <w:pPr>
        <w:jc w:val="both"/>
        <w:ind w:right="320" w:firstLine="589"/>
        <w:spacing w:after="0" w:line="263" w:lineRule="auto"/>
        <w:rPr>
          <w:sz w:val="20"/>
          <w:szCs w:val="20"/>
          <w:color w:val="auto"/>
        </w:rPr>
      </w:pPr>
      <w:r>
        <w:rPr>
          <w:rFonts w:ascii="Arial" w:cs="Arial" w:eastAsia="Arial" w:hAnsi="Arial"/>
          <w:sz w:val="18"/>
          <w:szCs w:val="18"/>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76" w:lineRule="exact"/>
        <w:rPr>
          <w:sz w:val="20"/>
          <w:szCs w:val="20"/>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117" w:lineRule="exact"/>
        <w:rPr>
          <w:rFonts w:ascii="Arial" w:cs="Arial" w:eastAsia="Arial" w:hAnsi="Arial"/>
          <w:sz w:val="18"/>
          <w:szCs w:val="18"/>
          <w:color w:val="auto"/>
        </w:rPr>
      </w:pPr>
    </w:p>
    <w:p>
      <w:pPr>
        <w:ind w:left="1160" w:right="56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62"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delay in our regulatory filings or any adverse regulatory decisions, including failure to receive regulatory approval of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general economic, political, industry and market conditions, including the new presidential administration in the United States; and</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52"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30"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3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Prior to the closing of our initial public offering in September 2020, there was no public trading market for our common stock. Although our common stock is listed on the Nasdaq Global Select Market, the market for our shares has demonstrated varying levels of trading activity. Furthermore, an active trading market for our common stock may not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32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76"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The trading market for our common stock will be influenced by the research and reports that securities or industry analysts publish about us, our business or our market. We do not have any control over these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76"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154" w:lineRule="exact"/>
        <w:rPr>
          <w:sz w:val="20"/>
          <w:szCs w:val="20"/>
          <w:color w:val="auto"/>
        </w:rPr>
      </w:pPr>
    </w:p>
    <w:p>
      <w:pPr>
        <w:ind w:right="360" w:firstLine="589"/>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3"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2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jc w:val="both"/>
        <w:ind w:right="220" w:firstLine="589"/>
        <w:spacing w:after="0" w:line="311" w:lineRule="auto"/>
        <w:rPr>
          <w:sz w:val="20"/>
          <w:szCs w:val="20"/>
          <w:color w:val="auto"/>
        </w:rPr>
      </w:pPr>
      <w:r>
        <w:rPr>
          <w:rFonts w:ascii="Arial" w:cs="Arial" w:eastAsia="Arial" w:hAnsi="Arial"/>
          <w:sz w:val="16"/>
          <w:szCs w:val="16"/>
          <w:color w:val="auto"/>
        </w:rPr>
        <w:t>As of December 31, 2021, our executive officers, directors, holders of 5% or more of our capital stock and their respective affiliates beneficially owned approximately 69% of our voting stock. As a result, this group of stockholders may be able to impact matters requiring stockholder approval. For example, they may be able to impact elections of directors, amendments of our organizational documents or approval of any merger, sale of assets or</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2" w:name="page103"/>
    <w:bookmarkEnd w:id="102"/>
    <w:p>
      <w:pPr>
        <w:spacing w:after="0" w:line="279" w:lineRule="auto"/>
        <w:rPr>
          <w:sz w:val="20"/>
          <w:szCs w:val="20"/>
          <w:color w:val="auto"/>
        </w:rPr>
      </w:pPr>
      <w:r>
        <w:rPr>
          <w:rFonts w:ascii="Arial" w:cs="Arial" w:eastAsia="Arial" w:hAnsi="Arial"/>
          <w:sz w:val="17"/>
          <w:szCs w:val="17"/>
          <w:color w:val="auto"/>
        </w:rPr>
        <w:t>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the value of our stock.</w:t>
      </w:r>
    </w:p>
    <w:p>
      <w:pPr>
        <w:spacing w:after="0" w:line="131"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323"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6"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16" w:lineRule="exact"/>
        <w:rPr>
          <w:sz w:val="20"/>
          <w:szCs w:val="20"/>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1160" w:right="68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52"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14"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3" w:name="page104"/>
    <w:bookmarkEnd w:id="103"/>
    <w:p>
      <w:pPr>
        <w:ind w:right="32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1"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52"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97"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211"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30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76"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62" w:lineRule="exact"/>
        <w:rPr>
          <w:sz w:val="20"/>
          <w:szCs w:val="20"/>
          <w:color w:val="auto"/>
        </w:rPr>
      </w:pPr>
    </w:p>
    <w:p>
      <w:pPr>
        <w:jc w:val="both"/>
        <w:ind w:left="1160" w:right="360" w:hanging="572"/>
        <w:spacing w:after="0" w:line="263"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4" w:name="page105"/>
    <w:bookmarkEnd w:id="104"/>
    <w:p>
      <w:pPr>
        <w:ind w:left="1160" w:right="480"/>
        <w:spacing w:after="0" w:line="277" w:lineRule="auto"/>
        <w:rPr>
          <w:sz w:val="20"/>
          <w:szCs w:val="20"/>
          <w:color w:val="auto"/>
        </w:rPr>
      </w:pPr>
      <w:r>
        <w:rPr>
          <w:rFonts w:ascii="Arial" w:cs="Arial" w:eastAsia="Arial" w:hAnsi="Arial"/>
          <w:sz w:val="18"/>
          <w:szCs w:val="18"/>
          <w:color w:val="auto"/>
        </w:rPr>
        <w:t>reasonably believed to be in or not opposed to the best interests of the registrant and, with respect to any criminal proceeding, had no reasonable cause to believe such person’s conduct was unlawful;</w:t>
      </w:r>
    </w:p>
    <w:p>
      <w:pPr>
        <w:spacing w:after="0" w:line="62" w:lineRule="exact"/>
        <w:rPr>
          <w:sz w:val="20"/>
          <w:szCs w:val="20"/>
          <w:color w:val="auto"/>
        </w:rPr>
      </w:pPr>
    </w:p>
    <w:p>
      <w:pPr>
        <w:ind w:left="1160" w:hanging="572"/>
        <w:spacing w:after="0"/>
        <w:tabs>
          <w:tab w:leader="none" w:pos="11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160" w:right="40" w:hanging="572"/>
        <w:spacing w:after="0" w:line="342" w:lineRule="auto"/>
        <w:tabs>
          <w:tab w:leader="none" w:pos="11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160" w:right="100" w:hanging="572"/>
        <w:spacing w:after="0" w:line="263"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1160" w:right="120" w:hanging="572"/>
        <w:spacing w:after="0" w:line="308" w:lineRule="auto"/>
        <w:tabs>
          <w:tab w:leader="none" w:pos="11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9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3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7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are subject to Section 404 of the Sarbanes-Oxley Act and the related rules of the SEC and Nasdaq, which, among other things, require that we maintain effective internal control over financial reporting. In addition, Section 404 requires our management and independent registered public accounting firm to report on the effectiveness of our internal control over financial reporting. We are also required to disclose changes made in our internal controls and procedures on a quarterly basis.</w:t>
      </w:r>
    </w:p>
    <w:p>
      <w:pPr>
        <w:spacing w:after="0" w:line="18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Pursuant to Section 404 of the Sarbanes-Oxley Act, we are required to have our independent registered public accounting firm attest to the effectiveness of our internal control over financial reporting. This assessment includes disclosure of any material weaknesses identified by our management in our internal control over financial reporting. We are also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88"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The requirements of these rules and regulations are difficult, time-consuming and costly, and place significant strain on our personnel, systems and resources. Effective internal controls over financial reporting are necessary for us to provide reliable financial reports and, together with adequate disclosure controls and procedures, are designed to prevent fraud. 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implement required new or improved controls, or difficulties encountered in their implementation could cause us to fail to meet our reporting obligations. In addition, if we are unable to continue to meet these requirements, we may not be able to remain listed on the Nasdaq Global Select Market.</w:t>
      </w:r>
    </w:p>
    <w:p>
      <w:pPr>
        <w:spacing w:after="0" w:line="177"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internal controls over financial reporting could lead to restatements of our financial statements and require us to incur the expense of remediation.</w:t>
      </w:r>
    </w:p>
    <w:p>
      <w:pPr>
        <w:spacing w:after="0" w:line="237"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 and we may be subject to investigation or sanctions by the SEC.</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1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increased risk of securities class action litigation, which is expensive and could divert management attention.</w:t>
      </w:r>
    </w:p>
    <w:p>
      <w:pPr>
        <w:spacing w:after="0" w:line="131"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76"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215"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6" w:name="page107"/>
    <w:bookmarkEnd w:id="106"/>
    <w:p>
      <w:pPr>
        <w:ind w:right="60" w:firstLine="589"/>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160" w:right="200" w:hanging="572"/>
        <w:spacing w:after="0" w:line="277"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160" w:right="160" w:hanging="572"/>
        <w:spacing w:after="0" w:line="263"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future product candidates, or competing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demand for our future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our product candidates;</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establish and maintain future collaborations, licensing or other arrangements;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52"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corporate headquarters is located at 8 Clarke Drive, Cranbury, New Jersey 08512, where we lease a facility containing 18,446 square feet of office and laboratory space pursuant to a lease agreement that expires in June 2022 with an option to renew on a month-to-month basis for up to one year. We also lease 6,297 square feet of laboratory space at 3000 Eastpark, South Brunswick, New Jersey 08512 pursuant to a lease that expires in July 2022 with an option to renew on a month-to-month basis for up to one year. In January 2021, we signed a lease for 50,581 square feet of office and laboratory space at One Research Way in Princeton, New Jersey 08540. That lease term extends through 2032, has a five-year extension option, and is intended to replace our two existing facilities in New Jersey. Finally, we lease 3,292 square feet of office space at 420 Bedford Drive, Lexington, Massachusetts 02420 pursuant to a lease that expires in August 2023, with an option to extend for an additional three years.</w:t>
      </w:r>
    </w:p>
    <w:p>
      <w:pPr>
        <w:spacing w:after="0" w:line="166"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We believe that our current facilities are suitable and adequate for our current and near term conduct of our business operations and that suitable additional or substitute space at commercially reasonable terms will be available as needed to accommodate any future expansion of our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From time to time, we may become involved in legal proceedings arising in the ordinary course of our business. As of February 28, 2022, we were not a party to any legal matters or claims that, in the opinion of management, are likely to have a material effect on our business. In the future, we may become party to legal matters and claims in the ordinary course of business, the resolution of which we do not anticipate would have a material adverse impact on our financial position, results of operations or cash flows. Regardless of outcome, litigation, or other legal proceedings can have an adverse impact on us because of legal fees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78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“PMVP” since September 25,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As of February 28, 2022, there were approximately 8 holders of record of our common stock. We believe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i w:val="1"/>
          <w:iCs w:val="1"/>
          <w:color w:val="auto"/>
        </w:rPr>
        <w:t>This graph below is not “soliciting material” or deemed “filed” with the SEC for purposes of Section 18 of the Exchange Act, or otherwise subject to liabilities under that Section, and shall not be deemed incorporated by reference into this Annual Report on Form 10-K or into any other filing of PMV Pharma. under the Securities Act, as amended, except to the extent that we specifically incorporate this information by reference therein, whether made before or after the date hereof and irrespective of any general incorporation language in any such filing.</w:t>
      </w:r>
    </w:p>
    <w:p>
      <w:pPr>
        <w:spacing w:after="0" w:line="17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following graph compares the cumulative total return to stockholder return on our common stock relative to the cumulative total returns of the Nasdaq Composite Index and the Nasdaq Biotechnology Index. An investment of $100 is assumed to have been made in our common stock and each index on January 4, 2021 and its relative performance is tracked through December 31, 2021. Pursuant to applicable SEC rules, all values assume reinvestment of the full amount of all dividends, however no dividends have been declared on our common stock to date. The stockholder returns shown on the graph below are based on historical results and are not indicative of future performance, and we do not make or endorse any predictions as to future stockholder returns.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color w:val="auto"/>
        </w:rPr>
        <w:t>COMPARISON OF CUMULATIVE TOTAL RETURN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among PMV Pharma,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151765</wp:posOffset>
            </wp:positionV>
            <wp:extent cx="4371975" cy="2974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7197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unregistered sales of our equity securities during the fiscal year ended December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On September 24, 2020, our registration statement on Form S-1 (File No. 333-248627) relating to our IPO of common stock was declared effective by the SEC. The IPO closed on September 25, 2020 at which time we issued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None of the expenses associated with the IPO were paid to directors, officers, persons owning 10% or more of any class of equity securities, or to our affiliates. Goldman Sachs &amp; Co. LLC, BofA Securities, Cowen, and Evercore IS acted as joint book-running managers for the offering.</w:t>
      </w:r>
    </w:p>
    <w:p>
      <w:pPr>
        <w:spacing w:after="0" w:line="195"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0" w:name="page111"/>
    <w:bookmarkEnd w:id="110"/>
    <w:p>
      <w:pPr>
        <w:ind w:firstLine="589"/>
        <w:spacing w:after="0" w:line="257" w:lineRule="auto"/>
        <w:rPr>
          <w:sz w:val="20"/>
          <w:szCs w:val="20"/>
          <w:color w:val="auto"/>
        </w:rPr>
      </w:pPr>
      <w:r>
        <w:rPr>
          <w:rFonts w:ascii="Arial" w:cs="Arial" w:eastAsia="Arial" w:hAnsi="Arial"/>
          <w:sz w:val="18"/>
          <w:szCs w:val="18"/>
          <w:color w:val="auto"/>
        </w:rPr>
        <w:t>On October 4, 2021, our shelf registration statement on Form S-3 (File No. 333-260012) was automatically declared effective by the SEC for our future follow-on offering. The potential gross proceeds from this future offering are approximately $150.0 million. The company has not issued any shares of common stock pursuant to the offering. There has been no material change in the planned use of proceeds from the follow-on offering as described in the Form S-3 Registration Statement. None of the expenses associated with the follow-on offering were paid to directors, officers, persons owning 10% or more of any class of equity securities, or to our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“Part I, Item 1A. Risk Factors” and in other parts of this Annual Report on Form 10-K.</w:t>
      </w:r>
    </w:p>
    <w:p>
      <w:pPr>
        <w:spacing w:after="0" w:line="15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 xml:space="preserve">A discussion of our financial performance for the year ended December 31, 2021 as compared to the year ended December 31, 2020 appears below under the captions “Results of Operations” and “Liquidity and Capital Resources.” A discussion of our financial performance for the year ended December 31, 2020 compared to the year ended December 31, 2019 can be found in our Annual Report filed on Form 10-K, in the “Part II, Item 7, Management’s Discussion and Analysis of Financial Condition and Results of Operations”, under the same captions, filed with the SEC on March 3, 2021, which is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our Investor Relations website at </w:t>
      </w:r>
      <w:r>
        <w:rPr>
          <w:rFonts w:ascii="Arial" w:cs="Arial" w:eastAsia="Arial" w:hAnsi="Arial"/>
          <w:sz w:val="17"/>
          <w:szCs w:val="17"/>
          <w:i w:val="1"/>
          <w:iCs w:val="1"/>
          <w:color w:val="auto"/>
        </w:rPr>
        <w:t>ir.pmvpharma.com/financial-information/sec-filings</w:t>
      </w:r>
      <w:r>
        <w:rPr>
          <w:rFonts w:ascii="Arial" w:cs="Arial" w:eastAsia="Arial" w:hAnsi="Arial"/>
          <w:sz w:val="17"/>
          <w:szCs w:val="17"/>
          <w:color w:val="auto"/>
        </w:rPr>
        <w:t>. These website addresses are intended to be inactive, textual references only. None of the materials on, or accessible through, these websites are part of this report or are incorporated by reference herein.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certain cancers where wild-type p53 function is silenced.</w:t>
      </w:r>
    </w:p>
    <w:p>
      <w:pPr>
        <w:spacing w:after="0" w:line="196"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$57.8 million, $34.4 million, and $25.4 million for the years ended December 31, 2021, 2020, and 2019, respectively. As of December 31, 2021, we had an accumulated deficit of $167.7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172"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ind w:right="40"/>
        <w:spacing w:after="0" w:line="277" w:lineRule="auto"/>
        <w:rPr>
          <w:sz w:val="20"/>
          <w:szCs w:val="20"/>
          <w:color w:val="auto"/>
        </w:rPr>
      </w:pPr>
      <w:r>
        <w:rPr>
          <w:rFonts w:ascii="Arial" w:cs="Arial" w:eastAsia="Arial" w:hAnsi="Arial"/>
          <w:sz w:val="18"/>
          <w:szCs w:val="18"/>
          <w:color w:val="auto"/>
        </w:rPr>
        <w:t>such agreements as and when needed, we may have to significantly delay, scale back or discontinue the development and commercialization of our product candidates.</w:t>
      </w:r>
    </w:p>
    <w:p>
      <w:pPr>
        <w:spacing w:after="0" w:line="170" w:lineRule="exact"/>
        <w:rPr>
          <w:sz w:val="20"/>
          <w:szCs w:val="20"/>
          <w:color w:val="auto"/>
        </w:rPr>
      </w:pPr>
    </w:p>
    <w:p>
      <w:pPr>
        <w:jc w:val="both"/>
        <w:ind w:right="820" w:firstLine="589"/>
        <w:spacing w:after="0" w:line="286" w:lineRule="auto"/>
        <w:rPr>
          <w:sz w:val="20"/>
          <w:szCs w:val="20"/>
          <w:color w:val="auto"/>
        </w:rPr>
      </w:pPr>
      <w:r>
        <w:rPr>
          <w:rFonts w:ascii="Arial" w:cs="Arial" w:eastAsia="Arial" w:hAnsi="Arial"/>
          <w:sz w:val="17"/>
          <w:szCs w:val="17"/>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18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w:t>
      </w:r>
    </w:p>
    <w:p>
      <w:pPr>
        <w:spacing w:after="0" w:line="178"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have incurred additional expenses as a public company, including expenses related to compliance with the rules and regulations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3" w:name="page114"/>
    <w:bookmarkEnd w:id="113"/>
    <w:p>
      <w:pPr>
        <w:ind w:right="240"/>
        <w:spacing w:after="0" w:line="259" w:lineRule="auto"/>
        <w:rPr>
          <w:sz w:val="20"/>
          <w:szCs w:val="20"/>
          <w:color w:val="auto"/>
        </w:rPr>
      </w:pPr>
      <w:r>
        <w:rPr>
          <w:rFonts w:ascii="Arial" w:cs="Arial" w:eastAsia="Arial" w:hAnsi="Arial"/>
          <w:sz w:val="18"/>
          <w:szCs w:val="18"/>
          <w:color w:val="auto"/>
        </w:rPr>
        <w:t>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Interest income, net primarily consists of interest income from our interest-bearing cash, cash equivalents and marketable securities and interest costs related to amortization of premiums and discounts on our marketable securities.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36,493</w:t>
            </w:r>
          </w:p>
        </w:tc>
        <w:tc>
          <w:tcPr>
            <w:tcW w:w="16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23,933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19,436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36,493</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Research and development expenses were $36.5 million for the year ended December 31, 2021, compared to $23.9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increase of $12.6 million was primarily due to the following:</w:t>
      </w:r>
    </w:p>
    <w:p>
      <w:pPr>
        <w:spacing w:after="0" w:line="103" w:lineRule="exact"/>
        <w:rPr>
          <w:sz w:val="20"/>
          <w:szCs w:val="20"/>
          <w:color w:val="auto"/>
        </w:rPr>
      </w:pPr>
    </w:p>
    <w:p>
      <w:pPr>
        <w:ind w:left="1160" w:right="58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$0.3 million increase in research expenses, largely driven by increased contractual research organization costs focused on discovery research;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4" w:name="page115"/>
    <w:bookmarkEnd w:id="114"/>
    <w:p>
      <w:pPr>
        <w:ind w:left="1160" w:hanging="572"/>
        <w:spacing w:after="0" w:line="277"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$11.7 million increase in development expenses, primarily associated with increased effort advancing our lead compound PC14586 through the Phase 1/2 clinical trial; and</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$0.5 million increase in expenses for personnel related costs and stock-based compensation, primarily driven by the rise in the Company’s stock value subsequent to the IPO in September 2020.</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General and administrative expenses were $21.8 million for the year ended December 31, 2021, compared to $11.0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increase of $10.8 million was primarily due to the following:</w:t>
      </w:r>
    </w:p>
    <w:p>
      <w:pPr>
        <w:spacing w:after="0" w:line="103" w:lineRule="exact"/>
        <w:rPr>
          <w:sz w:val="20"/>
          <w:szCs w:val="20"/>
          <w:color w:val="auto"/>
        </w:rPr>
      </w:pPr>
    </w:p>
    <w:p>
      <w:pPr>
        <w:ind w:left="1160" w:hanging="572"/>
        <w:spacing w:after="0"/>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$5.5 million increase in personnel related expenses due to increased headcount to build out general and administrative infrastructure; and</w:t>
      </w:r>
    </w:p>
    <w:p>
      <w:pPr>
        <w:spacing w:after="0" w:line="140" w:lineRule="exact"/>
        <w:rPr>
          <w:rFonts w:ascii="Arial" w:cs="Arial" w:eastAsia="Arial" w:hAnsi="Arial"/>
          <w:sz w:val="16"/>
          <w:szCs w:val="16"/>
          <w:color w:val="auto"/>
        </w:rPr>
      </w:pPr>
    </w:p>
    <w:p>
      <w:pPr>
        <w:ind w:left="1160" w:right="280" w:hanging="572"/>
        <w:spacing w:after="0" w:line="263"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 million increase in finance and legal support, $0.5 million increase in business licenses and fees, $1.9 million increase for directors and officers insurance, and a $1.8 million increase due to facility and equipment related costs for the Company’s new headquarters in Princeton, New Jersey.</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240" w:firstLine="589"/>
        <w:spacing w:after="0" w:line="279"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marketable securities and interest costs related to amortization of premiums and discounts on marketable securities. Interest income, net was $0.5 million for the year ended December 31, 2021, compared to $0.7 million for the year ended December 31, 2020. The decrease of $0.2 million is driven by decreased interest rates from cash investments in marketable securities and U.S treasuries as of the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0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172,467</w:t>
            </w: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361,422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(188,955)</w:t>
            </w: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 - current</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124,696</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124,696</w:t>
            </w:r>
          </w:p>
        </w:tc>
        <w:tc>
          <w:tcPr>
            <w:tcW w:w="100" w:type="dxa"/>
            <w:vAlign w:val="bottom"/>
            <w:shd w:val="clear" w:color="auto" w:fill="CCEEFF"/>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Marketable securities - noncurrent</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16,911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16,911</w:t>
            </w:r>
          </w:p>
        </w:tc>
        <w:tc>
          <w:tcPr>
            <w:tcW w:w="100" w:type="dxa"/>
            <w:vAlign w:val="bottom"/>
          </w:tcPr>
          <w:p>
            <w:pPr>
              <w:spacing w:after="0"/>
              <w:rPr>
                <w:sz w:val="19"/>
                <w:szCs w:val="19"/>
                <w:color w:val="auto"/>
              </w:rPr>
            </w:pPr>
          </w:p>
        </w:tc>
      </w:tr>
      <w:tr>
        <w:trPr>
          <w:trHeight w:val="223"/>
        </w:trPr>
        <w:tc>
          <w:tcPr>
            <w:tcW w:w="46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financial assets</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361,422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301,286</w:t>
            </w: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364,761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(63,475)</w:t>
            </w: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100" w:type="dxa"/>
            <w:vAlign w:val="bottom"/>
            <w:shd w:val="clear" w:color="auto" w:fill="CCEEFF"/>
          </w:tcPr>
          <w:p>
            <w:pPr>
              <w:spacing w:after="0"/>
              <w:rPr>
                <w:sz w:val="19"/>
                <w:szCs w:val="19"/>
                <w:color w:val="auto"/>
              </w:rPr>
            </w:pPr>
          </w:p>
        </w:tc>
      </w:tr>
      <w:tr>
        <w:trPr>
          <w:trHeight w:val="223"/>
        </w:trPr>
        <w:tc>
          <w:tcPr>
            <w:tcW w:w="4640" w:type="dxa"/>
            <w:vAlign w:val="bottom"/>
          </w:tcPr>
          <w:p>
            <w:pPr>
              <w:ind w:left="260"/>
              <w:spacing w:after="0"/>
              <w:rPr>
                <w:sz w:val="20"/>
                <w:szCs w:val="20"/>
                <w:color w:val="auto"/>
              </w:rPr>
            </w:pPr>
            <w:r>
              <w:rPr>
                <w:rFonts w:ascii="Arial" w:cs="Arial" w:eastAsia="Arial" w:hAnsi="Arial"/>
                <w:sz w:val="18"/>
                <w:szCs w:val="18"/>
                <w:color w:val="auto"/>
              </w:rPr>
              <w:t>Total working capital</w:t>
            </w:r>
          </w:p>
        </w:tc>
        <w:tc>
          <w:tcPr>
            <w:tcW w:w="20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289,067</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358,351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(69,284)</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December 31, 2021, we had cash, cash equivalents, and marketable securities of $314 million and an accumulated deficit of $167.7 million. We have financed our operations primarily through issuances of our convertible preferred and common stock. In 2019, we sold an aggregate of 5,469,606 shares of our Series C convertible preferred stock to accredited investors, generating gross proceeds of $61.9 million. In July 2020, we sold an aggregate of 5,321,864 shares of our Series D convertible preferred stock to accredited investors, generating gross proceeds of $70.0 million. In September 2020, we completed an IPO of 13,529,750 shares of our common stock, which includes the exercise in full by the underwriters of their option to purchase 1,764,750 additional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ind w:right="60"/>
        <w:spacing w:after="0" w:line="259" w:lineRule="auto"/>
        <w:rPr>
          <w:sz w:val="20"/>
          <w:szCs w:val="20"/>
          <w:color w:val="auto"/>
        </w:rPr>
      </w:pPr>
      <w:r>
        <w:rPr>
          <w:rFonts w:ascii="Arial" w:cs="Arial" w:eastAsia="Arial" w:hAnsi="Arial"/>
          <w:sz w:val="18"/>
          <w:szCs w:val="18"/>
          <w:color w:val="auto"/>
        </w:rPr>
        <w:t>of common stock, at a public offering price of $18.00 per share for aggregate gross proceeds of $243.5 million. We received $223.2 million in net proceeds after deducting underwriting discounts and commissions and other offering expenses payable by us. In October 2021, we filed a shelf registration statement on Form S-3, which may result in aggregate gross process of up to $150.0 million. We did not sell any shares pursuant to the shelf registration statement and did not receive any gross proceeds in fiscal year 2021.</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76"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January 2021, we signed a lease for 50,581 square feet of office and laboratory space at One Research Way in Princeton, New Jersey. That lease term extends through 2032, has a five-year extension option, and is intended to replace our two existing facilities. Payments under this lease will total $19.6 million through May 2032. Amounts related to future lease payments as of December 31, 2021 totaled $20.4 million, with $1.4 million to be paid within the next 12 months.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7"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Due to our significant research and development expenditures, we have generated substantial operating losses in each period since inception. We have incurred an accumulated deficit of $167.7 million through December 31, 2021. We expect to incur substantial additional losses in the future as we expand our research and development activities.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operating expenditures were $46.6 million in 2021 and $32.7 million in 2020, and we expect to increase our investment in operations in 2022. Based on our research and development plans, we expect that our cash balances as of December 31, 2021 will be sufficient to fund our operations at least through 2023.</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based this estimate on assumptions that may prove to be wrong, however, and we could use our capital resources sooner than we expect.</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1160" w:hanging="57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ability to maintain future business licenses and research and development programs and to establish new collaboration arrangements;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6" w:name="page117"/>
    <w:bookmarkEnd w:id="116"/>
    <w:p>
      <w:pPr>
        <w:ind w:left="1160" w:hanging="572"/>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160" w:right="560" w:hanging="572"/>
        <w:spacing w:after="0" w:line="277" w:lineRule="auto"/>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70"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(22,065)</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(143,584)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292,972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61,805</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(188,133)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288,144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42,971</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340" w:firstLine="589"/>
        <w:spacing w:after="0" w:line="257" w:lineRule="auto"/>
        <w:rPr>
          <w:sz w:val="20"/>
          <w:szCs w:val="20"/>
          <w:color w:val="auto"/>
        </w:rPr>
      </w:pPr>
      <w:r>
        <w:rPr>
          <w:rFonts w:ascii="Arial" w:cs="Arial" w:eastAsia="Arial" w:hAnsi="Arial"/>
          <w:sz w:val="18"/>
          <w:szCs w:val="18"/>
          <w:color w:val="auto"/>
        </w:rPr>
        <w:t>Net cash used in operating activities for the year ended December 31, 2021, was $46.6 million, which consisted primarily of net loss of $57.8 million decreased by non-cash charges of $7.2 million and a net change of $4.1 million in our net operating assets. The non-cash charges primarily consisted of stock-based compensation of $5.3 million, depreciation of $0.9 million, and non-cash lease expense of $1.0 million. The change in our net operating assets and liabilities was primarily due to a decrease in prepaid expenses and other assets, an increase in accrued expenses, and an increase in outstanding payables.</w:t>
      </w:r>
    </w:p>
    <w:p>
      <w:pPr>
        <w:spacing w:after="0" w:line="18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Net cash used in operating activities for the year ended December 31, 2020, was $32.7 million, which consisted primarily of a net loss of $34.4 million decreased by non-cash charges of $2.5 million and increased by a net change of $0.9 million in our net operating assets. The non-cash charges primarily consisted of stock-based compensation of $1.9 million and depreciation of $0.3 million. The change in our net operating assets and liabilities was primarily due to an increase in current assets, accompanied by a decrease in outstanding payables, and an increase in accrued compensation and accrued liabilities in 2020.</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660" w:firstLine="589"/>
        <w:spacing w:after="0" w:line="263" w:lineRule="auto"/>
        <w:rPr>
          <w:sz w:val="20"/>
          <w:szCs w:val="20"/>
          <w:color w:val="auto"/>
        </w:rPr>
      </w:pPr>
      <w:r>
        <w:rPr>
          <w:rFonts w:ascii="Arial" w:cs="Arial" w:eastAsia="Arial" w:hAnsi="Arial"/>
          <w:sz w:val="18"/>
          <w:szCs w:val="18"/>
          <w:color w:val="auto"/>
        </w:rPr>
        <w:t>Our investing activities used $143.6 million of cash during the year ended December 31, 2021, which consisted primarily of purchases of marketable securities of $256.8 million, along with purchase of property and equipment of $1.3 million partially offset by maturities of marketable securities of $114.6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ind w:right="180" w:firstLine="589"/>
        <w:spacing w:after="0" w:line="263" w:lineRule="auto"/>
        <w:rPr>
          <w:sz w:val="20"/>
          <w:szCs w:val="20"/>
          <w:color w:val="auto"/>
        </w:rPr>
      </w:pPr>
      <w:r>
        <w:rPr>
          <w:rFonts w:ascii="Arial" w:cs="Arial" w:eastAsia="Arial" w:hAnsi="Arial"/>
          <w:sz w:val="18"/>
          <w:szCs w:val="18"/>
          <w:color w:val="auto"/>
        </w:rPr>
        <w:t>Our investing activities provided $28.0 million of cash during the year ended December 31, 2020, which consisted primarily of maturities of marketable securities of $42.6 million, partially offset by purchases of marketable securities of $14.5 million and purchases of property and equipment of $0.1 million.</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Our financing activities provided $2.0 million of cash during the year ended December 31, 2021, which consisted primarily of proceeds from the exercise of stock options.</w:t>
      </w:r>
    </w:p>
    <w:p>
      <w:pPr>
        <w:spacing w:after="0" w:line="170" w:lineRule="exact"/>
        <w:rPr>
          <w:sz w:val="20"/>
          <w:szCs w:val="20"/>
          <w:color w:val="auto"/>
        </w:rPr>
      </w:pPr>
    </w:p>
    <w:p>
      <w:pPr>
        <w:ind w:right="600" w:firstLine="589"/>
        <w:spacing w:after="0" w:line="342" w:lineRule="auto"/>
        <w:rPr>
          <w:sz w:val="20"/>
          <w:szCs w:val="20"/>
          <w:color w:val="auto"/>
        </w:rPr>
      </w:pPr>
      <w:r>
        <w:rPr>
          <w:rFonts w:ascii="Arial" w:cs="Arial" w:eastAsia="Arial" w:hAnsi="Arial"/>
          <w:sz w:val="16"/>
          <w:szCs w:val="16"/>
          <w:color w:val="auto"/>
        </w:rPr>
        <w:t>Our financing activities provided $293.0 million of cash during the year ended December 31, 2020, which consisted primarily of gross IPO proceeds of $243.5 million and Series D Preferred Stock issuance proceeds of $70.0 million, offset by equity issuance costs of $20.6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and Estimates</w:t>
      </w:r>
    </w:p>
    <w:p>
      <w:pPr>
        <w:spacing w:after="0" w:line="12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188"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58" w:lineRule="exact"/>
        <w:rPr>
          <w:sz w:val="20"/>
          <w:szCs w:val="20"/>
          <w:color w:val="auto"/>
        </w:rPr>
      </w:pPr>
    </w:p>
    <w:p>
      <w:pPr>
        <w:ind w:left="1160" w:hanging="572"/>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8" w:name="page119"/>
    <w:bookmarkEnd w:id="118"/>
    <w:p>
      <w:pPr>
        <w:spacing w:after="0" w:line="271" w:lineRule="auto"/>
        <w:rPr>
          <w:sz w:val="20"/>
          <w:szCs w:val="20"/>
          <w:color w:val="auto"/>
        </w:rPr>
      </w:pPr>
      <w:r>
        <w:rPr>
          <w:rFonts w:ascii="Arial" w:cs="Arial" w:eastAsia="Arial" w:hAnsi="Arial"/>
          <w:sz w:val="17"/>
          <w:szCs w:val="17"/>
          <w:color w:val="auto"/>
        </w:rPr>
        <w:t>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89"/>
        <w:spacing w:after="0" w:line="291" w:lineRule="auto"/>
        <w:rPr>
          <w:sz w:val="20"/>
          <w:szCs w:val="20"/>
          <w:color w:val="auto"/>
        </w:rPr>
      </w:pPr>
      <w:r>
        <w:rPr>
          <w:rFonts w:ascii="Arial" w:cs="Arial" w:eastAsia="Arial" w:hAnsi="Arial"/>
          <w:sz w:val="16"/>
          <w:szCs w:val="16"/>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66"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70"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76" w:lineRule="exact"/>
        <w:rPr>
          <w:sz w:val="20"/>
          <w:szCs w:val="20"/>
          <w:color w:val="auto"/>
        </w:rPr>
      </w:pPr>
    </w:p>
    <w:p>
      <w:pPr>
        <w:ind w:left="1160" w:right="220" w:hanging="572"/>
        <w:spacing w:after="0" w:line="259"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As we do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8" w:lineRule="exact"/>
        <w:rPr>
          <w:rFonts w:ascii="Arial" w:cs="Arial" w:eastAsia="Arial" w:hAnsi="Arial"/>
          <w:sz w:val="18"/>
          <w:szCs w:val="18"/>
          <w:color w:val="auto"/>
        </w:rPr>
      </w:pPr>
    </w:p>
    <w:p>
      <w:pPr>
        <w:ind w:left="1160" w:right="160" w:hanging="572"/>
        <w:spacing w:after="0" w:line="308" w:lineRule="auto"/>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yield curve in effect at the date of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constant maturity notes with terms approximately equal to the stock-based awards’ expected term.</w:t>
      </w:r>
    </w:p>
    <w:p>
      <w:pPr>
        <w:spacing w:after="0" w:line="38" w:lineRule="exact"/>
        <w:rPr>
          <w:rFonts w:ascii="Arial" w:cs="Arial" w:eastAsia="Arial" w:hAnsi="Arial"/>
          <w:sz w:val="17"/>
          <w:szCs w:val="17"/>
          <w:color w:val="auto"/>
        </w:rPr>
      </w:pPr>
    </w:p>
    <w:p>
      <w:pPr>
        <w:ind w:left="1160" w:right="160" w:hanging="572"/>
        <w:spacing w:after="0" w:line="263"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a trading history of common stock, the expected volatility was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the common stock of several public companies within the industry that we consider to be comparable to our business over a period equivalent to the expected term of the stock-based awards.</w:t>
      </w:r>
    </w:p>
    <w:p>
      <w:pPr>
        <w:spacing w:after="0" w:line="75"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rate is zero as we have not paid and do not anticipate paying any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w:t>
      </w:r>
    </w:p>
    <w:p>
      <w:pPr>
        <w:spacing w:after="0" w:line="62" w:lineRule="exact"/>
        <w:rPr>
          <w:rFonts w:ascii="Arial" w:cs="Arial" w:eastAsia="Arial" w:hAnsi="Arial"/>
          <w:sz w:val="18"/>
          <w:szCs w:val="18"/>
          <w:color w:val="auto"/>
        </w:rPr>
      </w:pPr>
    </w:p>
    <w:p>
      <w:pPr>
        <w:ind w:left="1160" w:right="160" w:hanging="572"/>
        <w:spacing w:after="0" w:line="257"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our IPO, the fair value of the shares of common stock underlying the stock-based awards was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with input from management. Because there was no public market for our common stock, our board of directors determined the fair value of our common stock at the time of grant of the stock-based award by considering a number of objective and subjective factors, including having valuations of the common stock performed by a third-party valuation specialist, as further described below.</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For a description of recent accounting pronouncements, see Note 2 of the notes to our audited financial statements for the year ended December 31, 2021 included elsewhere in this Annual Report on Form 10-K.</w:t>
      </w:r>
    </w:p>
    <w:p>
      <w:pPr>
        <w:spacing w:after="0" w:line="2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225"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had cash, cash equivalents, and marketable securities of $314.1 million and restricted cash of $0.8 million as of December 31, 2021. The company’s cash equivalents consist of interest-bearing U.S. treasury securities and money market funds. Our exposure due to changes in interest rates is not material due to the nature and amount of our money-market funds and short-term marketable securities.</w:t>
      </w:r>
    </w:p>
    <w:p>
      <w:pPr>
        <w:spacing w:after="0" w:line="184" w:lineRule="exact"/>
        <w:rPr>
          <w:sz w:val="20"/>
          <w:szCs w:val="20"/>
          <w:color w:val="auto"/>
        </w:rPr>
      </w:pPr>
    </w:p>
    <w:p>
      <w:pPr>
        <w:ind w:right="80" w:firstLine="589"/>
        <w:spacing w:after="0" w:line="342" w:lineRule="auto"/>
        <w:rPr>
          <w:sz w:val="20"/>
          <w:szCs w:val="20"/>
          <w:color w:val="auto"/>
        </w:rPr>
      </w:pPr>
      <w:r>
        <w:rPr>
          <w:rFonts w:ascii="Arial" w:cs="Arial" w:eastAsia="Arial" w:hAnsi="Arial"/>
          <w:sz w:val="16"/>
          <w:szCs w:val="16"/>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0" w:name="page121"/>
    <w:bookmarkEnd w:id="120"/>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40" w:type="dxa"/>
            <w:vAlign w:val="bottom"/>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 xml:space="preserve">Report of Ernst &amp; Young LLP,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5740" w:type="dxa"/>
            <w:vAlign w:val="bottom"/>
            <w:tcBorders>
              <w:top w:val="single" w:sz="8" w:color="0000EE"/>
            </w:tcBorders>
            <w:gridSpan w:val="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Balance Sheets as of December 31, 2021 and 2020</w:t>
              </w:r>
            </w:hyperlink>
          </w:p>
        </w:tc>
        <w:tc>
          <w:tcPr>
            <w:tcW w:w="46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340" w:type="dxa"/>
            <w:vAlign w:val="bottom"/>
            <w:gridSpan w:val="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Statements of Operations and Comprehensive Loss for the Years Ended December 31, 2021,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16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340" w:type="dxa"/>
            <w:vAlign w:val="bottom"/>
            <w:gridSpan w:val="7"/>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Statements of Convertible Preferred Stock and Stockholders’ (Deficit) Equity for the Years Ended December 31, 2021,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04"/>
        </w:trPr>
        <w:tc>
          <w:tcPr>
            <w:tcW w:w="60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Statements of Cash Flows for the Years Ended December 31, 2021, 2020, and 2019</w:t>
              </w:r>
            </w:hyperlink>
          </w:p>
        </w:tc>
        <w:tc>
          <w:tcPr>
            <w:tcW w:w="3700" w:type="dxa"/>
            <w:vAlign w:val="bottom"/>
            <w:tcBorders>
              <w:top w:val="single" w:sz="8" w:color="0000EE"/>
            </w:tcBorders>
            <w:gridSpan w:val="2"/>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10340" w:type="dxa"/>
            <w:vAlign w:val="bottom"/>
            <w:gridSpan w:val="7"/>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Notes to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PMV Pharmaceuticals, Inc.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audited the accompanying balance sheets of PMV Pharmaceuticals, Inc. (the “Company”) as of December 31, 2021 and 2020, the related statements of operations and comprehensive loss, convertible preferred stock and stockholders’ (deficit)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6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Accounting for Research and Development Expenses</w:t>
            </w:r>
          </w:p>
        </w:tc>
      </w:tr>
      <w:tr>
        <w:trPr>
          <w:trHeight w:val="418"/>
        </w:trPr>
        <w:tc>
          <w:tcPr>
            <w:tcW w:w="184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400" w:type="dxa"/>
            <w:vAlign w:val="bottom"/>
          </w:tcPr>
          <w:p>
            <w:pPr>
              <w:ind w:left="180"/>
              <w:spacing w:after="0"/>
              <w:rPr>
                <w:sz w:val="20"/>
                <w:szCs w:val="20"/>
                <w:color w:val="auto"/>
              </w:rPr>
            </w:pPr>
            <w:r>
              <w:rPr>
                <w:rFonts w:ascii="Arial" w:cs="Arial" w:eastAsia="Arial" w:hAnsi="Arial"/>
                <w:sz w:val="18"/>
                <w:szCs w:val="18"/>
                <w:color w:val="auto"/>
                <w:w w:val="92"/>
              </w:rPr>
              <w:t>As disclosed in Note 2 to the financial statements, the Company is required to estimate research and development expenses</w:t>
            </w:r>
          </w:p>
        </w:tc>
      </w:tr>
      <w:tr>
        <w:trPr>
          <w:trHeight w:val="216"/>
        </w:trPr>
        <w:tc>
          <w:tcPr>
            <w:tcW w:w="184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9400" w:type="dxa"/>
            <w:vAlign w:val="bottom"/>
          </w:tcPr>
          <w:p>
            <w:pPr>
              <w:ind w:left="180"/>
              <w:spacing w:after="0"/>
              <w:rPr>
                <w:sz w:val="20"/>
                <w:szCs w:val="20"/>
                <w:color w:val="auto"/>
              </w:rPr>
            </w:pPr>
            <w:r>
              <w:rPr>
                <w:rFonts w:ascii="Arial" w:cs="Arial" w:eastAsia="Arial" w:hAnsi="Arial"/>
                <w:sz w:val="18"/>
                <w:szCs w:val="18"/>
                <w:color w:val="auto"/>
                <w:w w:val="92"/>
              </w:rPr>
              <w:t>from its obligations under contracts and purchase orders with vendors, clinical research organizations, clinical manufacturing</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0"/>
              </w:rPr>
              <w:t>organizations and others and for clinical site agreements at each balance sheet date. The Company recorded accrued expenses</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0"/>
              </w:rPr>
              <w:t>for the research and development expenses, which are included in accrued expenses on the December 31, 2021 balance sheet,</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4"/>
              </w:rPr>
              <w:t>and prepaid research and development expenses, which are included in prepaid expenses and other current assets on the</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0"/>
              </w:rPr>
              <w:t>December 31, 2021 balance sheet. The amounts recorded for accrued research and development expenses and for the related</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4"/>
              </w:rPr>
              <w:t>prepaid expenses, within the aforementioned balance sheet captions, represent the Company’s estimate of the unpaid and</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0"/>
              </w:rPr>
              <w:t>prepaid research and development expenses based on the progress of the research and development services compared to the</w:t>
            </w:r>
          </w:p>
        </w:tc>
      </w:tr>
      <w:tr>
        <w:trPr>
          <w:trHeight w:val="230"/>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amounts paid for those services through December 31, 2021.</w:t>
            </w:r>
          </w:p>
        </w:tc>
      </w:tr>
      <w:tr>
        <w:trPr>
          <w:trHeight w:val="418"/>
        </w:trPr>
        <w:tc>
          <w:tcPr>
            <w:tcW w:w="184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1"/>
              </w:rPr>
              <w:t>Auditing the Company’s accrued research and development expenses and related prepaid expenses involved a high degree of</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4"/>
              </w:rPr>
              <w:t>subjectivity due to the estimation required by management in determining the progress to completion of services that have</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4"/>
              </w:rPr>
              <w:t>been performed that will be invoiced by the vendors, clinical research organizations and consultants and under clinical site</w:t>
            </w:r>
          </w:p>
        </w:tc>
      </w:tr>
      <w:tr>
        <w:trPr>
          <w:trHeight w:val="230"/>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agreements subsequent to the date that the financial statements are issued.</w:t>
            </w:r>
          </w:p>
        </w:tc>
      </w:tr>
      <w:tr>
        <w:trPr>
          <w:trHeight w:val="418"/>
        </w:trPr>
        <w:tc>
          <w:tcPr>
            <w:tcW w:w="1840" w:type="dxa"/>
            <w:vAlign w:val="bottom"/>
          </w:tcPr>
          <w:p>
            <w:pPr>
              <w:spacing w:after="0"/>
              <w:rPr>
                <w:sz w:val="20"/>
                <w:szCs w:val="20"/>
                <w:color w:val="auto"/>
              </w:rPr>
            </w:pPr>
            <w:r>
              <w:rPr>
                <w:rFonts w:ascii="Arial" w:cs="Arial" w:eastAsia="Arial" w:hAnsi="Arial"/>
                <w:sz w:val="18"/>
                <w:szCs w:val="18"/>
                <w:i w:val="1"/>
                <w:iCs w:val="1"/>
                <w:color w:val="auto"/>
                <w:w w:val="96"/>
              </w:rPr>
              <w:t>How We Addressed the</w:t>
            </w:r>
          </w:p>
        </w:tc>
        <w:tc>
          <w:tcPr>
            <w:tcW w:w="9400" w:type="dxa"/>
            <w:vAlign w:val="bottom"/>
          </w:tcPr>
          <w:p>
            <w:pPr>
              <w:ind w:left="180"/>
              <w:spacing w:after="0"/>
              <w:rPr>
                <w:sz w:val="20"/>
                <w:szCs w:val="20"/>
                <w:color w:val="auto"/>
              </w:rPr>
            </w:pPr>
            <w:r>
              <w:rPr>
                <w:rFonts w:ascii="Arial" w:cs="Arial" w:eastAsia="Arial" w:hAnsi="Arial"/>
                <w:sz w:val="18"/>
                <w:szCs w:val="18"/>
                <w:color w:val="auto"/>
                <w:w w:val="91"/>
              </w:rPr>
              <w:t>We obtained an understanding and evaluated the design and tested the operating effectiveness of controls over the accounting</w:t>
            </w:r>
          </w:p>
        </w:tc>
      </w:tr>
      <w:tr>
        <w:trPr>
          <w:trHeight w:val="216"/>
        </w:trPr>
        <w:tc>
          <w:tcPr>
            <w:tcW w:w="1840" w:type="dxa"/>
            <w:vAlign w:val="bottom"/>
          </w:tcPr>
          <w:p>
            <w:pPr>
              <w:spacing w:after="0"/>
              <w:rPr>
                <w:sz w:val="20"/>
                <w:szCs w:val="20"/>
                <w:color w:val="auto"/>
              </w:rPr>
            </w:pPr>
            <w:r>
              <w:rPr>
                <w:rFonts w:ascii="Arial" w:cs="Arial" w:eastAsia="Arial" w:hAnsi="Arial"/>
                <w:sz w:val="18"/>
                <w:szCs w:val="18"/>
                <w:i w:val="1"/>
                <w:iCs w:val="1"/>
                <w:color w:val="auto"/>
              </w:rPr>
              <w:t>Matter in Our Audit</w:t>
            </w:r>
          </w:p>
        </w:tc>
        <w:tc>
          <w:tcPr>
            <w:tcW w:w="9400" w:type="dxa"/>
            <w:vAlign w:val="bottom"/>
          </w:tcPr>
          <w:p>
            <w:pPr>
              <w:ind w:left="180"/>
              <w:spacing w:after="0"/>
              <w:rPr>
                <w:sz w:val="20"/>
                <w:szCs w:val="20"/>
                <w:color w:val="auto"/>
              </w:rPr>
            </w:pPr>
            <w:r>
              <w:rPr>
                <w:rFonts w:ascii="Arial" w:cs="Arial" w:eastAsia="Arial" w:hAnsi="Arial"/>
                <w:sz w:val="18"/>
                <w:szCs w:val="18"/>
                <w:color w:val="auto"/>
                <w:w w:val="88"/>
              </w:rPr>
              <w:t>for research and development expenses. This included controls over management's assessment of the assumptions and accuracy</w:t>
            </w:r>
          </w:p>
        </w:tc>
      </w:tr>
      <w:tr>
        <w:trPr>
          <w:trHeight w:val="230"/>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of data underlying the research and development accruals and prepaid estimates.</w:t>
            </w:r>
          </w:p>
        </w:tc>
      </w:tr>
      <w:tr>
        <w:trPr>
          <w:trHeight w:val="418"/>
        </w:trPr>
        <w:tc>
          <w:tcPr>
            <w:tcW w:w="184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89"/>
              </w:rPr>
              <w:t>To test the research and development accruals and prepaid expenses, our audit procedures included, among others, reviewing a</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2"/>
              </w:rPr>
              <w:t>sample of agreements with the service providers to corroborate key financial and contractual terms, and testing the accuracy</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9"/>
              </w:rPr>
              <w:t>and completeness of the underlying data used in the accrual and prepaid expense computations. We also evaluated</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2"/>
              </w:rPr>
              <w:t>management’s estimates of the progress of a sample of research and development activities by making direct inquiries of the</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5"/>
              </w:rPr>
              <w:t>Company’s operations personnel that oversee the external research and development activities and obtaining information</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1"/>
              </w:rPr>
              <w:t>directly from certain service providers about the service providers’ estimate of costs that had been incurred through December</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4"/>
              </w:rPr>
              <w:t>31, 2021. Additionally, we assessed the historical accuracy of management’s estimates when evaluating the current period</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1"/>
              </w:rPr>
              <w:t>estimate. To evaluate the completeness of the accruals, we also examined subsequent invoices from the service providers and</w:t>
            </w:r>
          </w:p>
        </w:tc>
      </w:tr>
      <w:tr>
        <w:trPr>
          <w:trHeight w:val="216"/>
        </w:trPr>
        <w:tc>
          <w:tcPr>
            <w:tcW w:w="184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89"/>
              </w:rPr>
              <w:t>cash disbursements to the service providers, to the extent such invoices were received, or payments were made prior to the date</w:t>
            </w:r>
          </w:p>
        </w:tc>
      </w:tr>
      <w:tr>
        <w:trPr>
          <w:trHeight w:val="230"/>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that the financial statements were issued.</w:t>
            </w:r>
          </w:p>
        </w:tc>
      </w:tr>
      <w:tr>
        <w:trPr>
          <w:trHeight w:val="607"/>
        </w:trPr>
        <w:tc>
          <w:tcPr>
            <w:tcW w:w="184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7"/>
                <w:szCs w:val="17"/>
                <w:color w:val="auto"/>
              </w:rPr>
              <w:t>/s/ Ernst &amp; Young LLP</w:t>
            </w:r>
          </w:p>
        </w:tc>
      </w:tr>
      <w:tr>
        <w:trPr>
          <w:trHeight w:val="230"/>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We have served as the Company’s auditor since 2017.</w:t>
            </w:r>
          </w:p>
        </w:tc>
      </w:tr>
      <w:tr>
        <w:trPr>
          <w:trHeight w:val="418"/>
        </w:trPr>
        <w:tc>
          <w:tcPr>
            <w:tcW w:w="184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Philadelphia, Pennsylvania</w:t>
            </w:r>
          </w:p>
        </w:tc>
      </w:tr>
      <w:tr>
        <w:trPr>
          <w:trHeight w:val="230"/>
        </w:trPr>
        <w:tc>
          <w:tcPr>
            <w:tcW w:w="184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March 1, 2022</w:t>
            </w:r>
          </w:p>
        </w:tc>
      </w:tr>
      <w:tr>
        <w:trPr>
          <w:trHeight w:val="648"/>
        </w:trPr>
        <w:tc>
          <w:tcPr>
            <w:tcW w:w="1840" w:type="dxa"/>
            <w:vAlign w:val="bottom"/>
          </w:tcPr>
          <w:p>
            <w:pPr>
              <w:spacing w:after="0"/>
              <w:rPr>
                <w:sz w:val="24"/>
                <w:szCs w:val="24"/>
                <w:color w:val="auto"/>
              </w:rPr>
            </w:pPr>
          </w:p>
        </w:tc>
        <w:tc>
          <w:tcPr>
            <w:tcW w:w="9400" w:type="dxa"/>
            <w:vAlign w:val="bottom"/>
          </w:tcPr>
          <w:p>
            <w:pPr>
              <w:ind w:left="3660"/>
              <w:spacing w:after="0"/>
              <w:rPr>
                <w:sz w:val="20"/>
                <w:szCs w:val="20"/>
                <w:color w:val="auto"/>
              </w:rPr>
            </w:pPr>
            <w:r>
              <w:rPr>
                <w:rFonts w:ascii="Arial" w:cs="Arial" w:eastAsia="Arial" w:hAnsi="Arial"/>
                <w:sz w:val="18"/>
                <w:szCs w:val="18"/>
                <w:color w:val="auto"/>
              </w:rPr>
              <w:t>119</w:t>
            </w:r>
          </w:p>
        </w:tc>
      </w:tr>
      <w:tr>
        <w:trPr>
          <w:trHeight w:val="115"/>
        </w:trPr>
        <w:tc>
          <w:tcPr>
            <w:tcW w:w="1840" w:type="dxa"/>
            <w:vAlign w:val="bottom"/>
            <w:tcBorders>
              <w:bottom w:val="single" w:sz="8" w:color="9A9A9A"/>
            </w:tcBorders>
          </w:tcPr>
          <w:p>
            <w:pPr>
              <w:spacing w:after="0"/>
              <w:rPr>
                <w:sz w:val="10"/>
                <w:szCs w:val="10"/>
                <w:color w:val="auto"/>
              </w:rPr>
            </w:pPr>
          </w:p>
        </w:tc>
        <w:tc>
          <w:tcPr>
            <w:tcW w:w="9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0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172,467</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 current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364,761</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noncurrent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r>
      <w:tr>
        <w:trPr>
          <w:trHeight w:val="26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1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331,568</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00" w:type="dxa"/>
            <w:vAlign w:val="bottom"/>
            <w:tcBorders>
              <w:bottom w:val="single" w:sz="8" w:color="CFF0FC"/>
            </w:tcBorders>
          </w:tcPr>
          <w:p>
            <w:pPr>
              <w:spacing w:after="0"/>
              <w:rPr>
                <w:sz w:val="22"/>
                <w:szCs w:val="22"/>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 current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1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500" w:type="dxa"/>
            <w:vAlign w:val="bottom"/>
          </w:tcPr>
          <w:p>
            <w:pPr>
              <w:ind w:left="260"/>
              <w:spacing w:after="0"/>
              <w:rPr>
                <w:sz w:val="20"/>
                <w:szCs w:val="20"/>
                <w:color w:val="auto"/>
              </w:rPr>
            </w:pPr>
            <w:r>
              <w:rPr>
                <w:rFonts w:ascii="Arial" w:cs="Arial" w:eastAsia="Arial" w:hAnsi="Arial"/>
                <w:sz w:val="18"/>
                <w:szCs w:val="18"/>
                <w:color w:val="auto"/>
              </w:rPr>
              <w:t>Preferred stock, $0.00001 par value, 5,000,000 shares authorized as of</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tcPr>
          <w:p>
            <w:pPr>
              <w:ind w:left="380"/>
              <w:spacing w:after="0"/>
              <w:rPr>
                <w:sz w:val="20"/>
                <w:szCs w:val="20"/>
                <w:color w:val="auto"/>
              </w:rPr>
            </w:pPr>
            <w:r>
              <w:rPr>
                <w:rFonts w:ascii="Arial" w:cs="Arial" w:eastAsia="Arial" w:hAnsi="Arial"/>
                <w:sz w:val="18"/>
                <w:szCs w:val="18"/>
                <w:color w:val="auto"/>
              </w:rPr>
              <w:t>December 31, 2021 and December 31, 2020. No shares issued or</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00" w:type="dxa"/>
            <w:vAlign w:val="bottom"/>
          </w:tcPr>
          <w:p>
            <w:pPr>
              <w:ind w:left="380"/>
              <w:spacing w:after="0"/>
              <w:rPr>
                <w:sz w:val="20"/>
                <w:szCs w:val="20"/>
                <w:color w:val="auto"/>
              </w:rPr>
            </w:pPr>
            <w:r>
              <w:rPr>
                <w:rFonts w:ascii="Arial" w:cs="Arial" w:eastAsia="Arial" w:hAnsi="Arial"/>
                <w:sz w:val="18"/>
                <w:szCs w:val="18"/>
                <w:color w:val="auto"/>
              </w:rPr>
              <w:t>outstanding as of December 31, 2021 and December 31, 2020.</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$0.00001 par value, 1,000,000,000 shares authorized;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45,433,684 and 44,777,818 shares issued and outstanding at</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2021 and December 31, 2020, respectively.</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476,363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469,001</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(167,726)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(109,880)</w:t>
            </w: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308,559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331,568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1"/>
                <w:szCs w:val="11"/>
                <w:color w:val="auto"/>
              </w:rPr>
            </w:pPr>
          </w:p>
        </w:tc>
        <w:tc>
          <w:tcPr>
            <w:tcW w:w="13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1120" w:type="dxa"/>
            <w:vAlign w:val="bottom"/>
          </w:tcPr>
          <w:p>
            <w:pPr>
              <w:jc w:val="right"/>
              <w:ind w:right="132"/>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36,493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23,933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20,759</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67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(57,823)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(25,344)</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(57,846)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(34,440)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(25,352)</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gains on marketable securities, net of tax</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(57,924)</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(34,437)</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(25,342)</w:t>
            </w:r>
          </w:p>
        </w:tc>
        <w:tc>
          <w:tcPr>
            <w:tcW w:w="100" w:type="dxa"/>
            <w:vAlign w:val="bottom"/>
            <w:tcBorders>
              <w:bottom w:val="single" w:sz="8" w:color="CFF0FC"/>
            </w:tcBorders>
          </w:tcPr>
          <w:p>
            <w:pPr>
              <w:spacing w:after="0"/>
              <w:rPr>
                <w:sz w:val="22"/>
                <w:szCs w:val="22"/>
                <w:color w:val="auto"/>
              </w:rPr>
            </w:pPr>
          </w:p>
        </w:tc>
      </w:tr>
      <w:tr>
        <w:trPr>
          <w:trHeight w:val="21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per share—basic and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FF0FC"/>
          </w:tcPr>
          <w:p>
            <w:pPr>
              <w:spacing w:after="0"/>
              <w:rPr>
                <w:sz w:val="18"/>
                <w:szCs w:val="18"/>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45,137,656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14,364,475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3,035,243</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(Deficit)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220" w:type="dxa"/>
            <w:vAlign w:val="bottom"/>
            <w:tcBorders>
              <w:right w:val="single" w:sz="8" w:color="auto"/>
            </w:tcBorders>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Convertible</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220" w:type="dxa"/>
            <w:vAlign w:val="bottom"/>
            <w:tcBorders>
              <w:right w:val="single" w:sz="8" w:color="auto"/>
            </w:tcBorders>
            <w:gridSpan w:val="5"/>
            <w:vMerge w:val="continue"/>
          </w:tcPr>
          <w:p>
            <w:pPr>
              <w:spacing w:after="0"/>
              <w:rPr>
                <w:sz w:val="12"/>
                <w:szCs w:val="12"/>
                <w:color w:val="auto"/>
              </w:rPr>
            </w:pPr>
          </w:p>
        </w:tc>
        <w:tc>
          <w:tcPr>
            <w:tcW w:w="1460" w:type="dxa"/>
            <w:vAlign w:val="bottom"/>
            <w:gridSpan w:val="3"/>
            <w:vMerge w:val="restart"/>
          </w:tcPr>
          <w:p>
            <w:pPr>
              <w:jc w:val="right"/>
              <w:ind w:right="27"/>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2220" w:type="dxa"/>
            <w:vAlign w:val="bottom"/>
            <w:tcBorders>
              <w:right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Preferred Stock</w:t>
            </w:r>
          </w:p>
        </w:tc>
        <w:tc>
          <w:tcPr>
            <w:tcW w:w="14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(Loss) Income</w:t>
            </w:r>
          </w:p>
        </w:tc>
        <w:tc>
          <w:tcPr>
            <w:tcW w:w="120" w:type="dxa"/>
            <w:vAlign w:val="bottom"/>
          </w:tcPr>
          <w:p>
            <w:pPr>
              <w:spacing w:after="0"/>
              <w:rPr>
                <w:sz w:val="14"/>
                <w:szCs w:val="14"/>
                <w:color w:val="auto"/>
              </w:rPr>
            </w:pPr>
          </w:p>
        </w:tc>
        <w:tc>
          <w:tcPr>
            <w:tcW w:w="8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Borders>
              <w:right w:val="single" w:sz="8" w:color="auto"/>
            </w:tcBorders>
          </w:tcPr>
          <w:p>
            <w:pPr>
              <w:spacing w:after="0"/>
              <w:rPr>
                <w:sz w:val="13"/>
                <w:szCs w:val="13"/>
                <w:color w:val="auto"/>
              </w:rPr>
            </w:pPr>
          </w:p>
        </w:tc>
        <w:tc>
          <w:tcPr>
            <w:tcW w:w="112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17,396,640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107,228</w:t>
            </w:r>
          </w:p>
        </w:tc>
        <w:tc>
          <w:tcPr>
            <w:tcW w:w="280" w:type="dxa"/>
            <w:vAlign w:val="bottom"/>
            <w:tcBorders>
              <w:top w:val="single" w:sz="8" w:color="CFF0FC"/>
              <w:right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3,012,284</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(50,088)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Issuance of Series C convertible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preferred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net of issuance costs of $168</w:t>
            </w:r>
          </w:p>
        </w:tc>
        <w:tc>
          <w:tcPr>
            <w:tcW w:w="980" w:type="dxa"/>
            <w:vAlign w:val="bottom"/>
          </w:tcPr>
          <w:p>
            <w:pPr>
              <w:jc w:val="right"/>
              <w:spacing w:after="0"/>
              <w:rPr>
                <w:sz w:val="20"/>
                <w:szCs w:val="20"/>
                <w:color w:val="auto"/>
              </w:rPr>
            </w:pPr>
            <w:r>
              <w:rPr>
                <w:rFonts w:ascii="Arial" w:cs="Arial" w:eastAsia="Arial" w:hAnsi="Arial"/>
                <w:sz w:val="18"/>
                <w:szCs w:val="18"/>
                <w:color w:val="auto"/>
              </w:rPr>
              <w:t>5,469,606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61,705</w:t>
            </w:r>
          </w:p>
        </w:tc>
        <w:tc>
          <w:tcPr>
            <w:tcW w:w="280" w:type="dxa"/>
            <w:vAlign w:val="bottom"/>
            <w:tcBorders>
              <w:right w:val="single" w:sz="8" w:color="auto"/>
            </w:tcBorders>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(25,352)</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Unrealized gain on available for sale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right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22,866,246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168,933</w:t>
            </w:r>
          </w:p>
        </w:tc>
        <w:tc>
          <w:tcPr>
            <w:tcW w:w="280" w:type="dxa"/>
            <w:vAlign w:val="bottom"/>
            <w:tcBorders>
              <w:right w:val="single" w:sz="8" w:color="auto"/>
            </w:tcBorders>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(75,440</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(70,474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Arial" w:cs="Arial" w:eastAsia="Arial" w:hAnsi="Arial"/>
                <w:sz w:val="18"/>
                <w:szCs w:val="18"/>
                <w:color w:val="auto"/>
              </w:rPr>
              <w:t>Issuance of Series D convertible</w:t>
            </w: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preferred stock, net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of issuance costs of $208</w:t>
            </w:r>
          </w:p>
        </w:tc>
        <w:tc>
          <w:tcPr>
            <w:tcW w:w="980" w:type="dxa"/>
            <w:vAlign w:val="bottom"/>
          </w:tcPr>
          <w:p>
            <w:pPr>
              <w:jc w:val="right"/>
              <w:spacing w:after="0"/>
              <w:rPr>
                <w:sz w:val="20"/>
                <w:szCs w:val="20"/>
                <w:color w:val="auto"/>
              </w:rPr>
            </w:pPr>
            <w:r>
              <w:rPr>
                <w:rFonts w:ascii="Arial" w:cs="Arial" w:eastAsia="Arial" w:hAnsi="Arial"/>
                <w:sz w:val="18"/>
                <w:szCs w:val="18"/>
                <w:color w:val="auto"/>
              </w:rPr>
              <w:t>5,321,864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69,790</w:t>
            </w:r>
          </w:p>
        </w:tc>
        <w:tc>
          <w:tcPr>
            <w:tcW w:w="280" w:type="dxa"/>
            <w:vAlign w:val="bottom"/>
            <w:tcBorders>
              <w:right w:val="single" w:sz="8" w:color="auto"/>
            </w:tcBorders>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stock to</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(28,188,110)</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(238,723)</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28,188,110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238,723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Exercise of warrants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9,688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issuance costs of</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$20,359</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13,529,750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223,176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4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(34,440)</w:t>
            </w: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(34,440)</w:t>
            </w: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available for sale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44,777,818</w:t>
            </w:r>
          </w:p>
        </w:tc>
        <w:tc>
          <w:tcPr>
            <w:tcW w:w="20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469,001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(109,880)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359,121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Exercise of stock options and common</w:t>
            </w: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right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stock issued under the 2020 ESPP</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655,866</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4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(57,846)</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(57,846)</w:t>
            </w:r>
          </w:p>
        </w:tc>
        <w:tc>
          <w:tcPr>
            <w:tcW w:w="0" w:type="dxa"/>
            <w:vAlign w:val="bottom"/>
          </w:tcPr>
          <w:p>
            <w:pPr>
              <w:spacing w:after="0"/>
              <w:rPr>
                <w:sz w:val="1"/>
                <w:szCs w:val="1"/>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Unrealized loss on available for sale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investments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vMerge w:val="continue"/>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45,433,684</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476,363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w w:val="95"/>
              </w:rPr>
              <w:t>(167,726)</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right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211"/>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(57,846)</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(34,440)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15"/>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 activities:</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Amortization of premiums on marketable securities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(256,845)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marketable securities</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6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issuance costs</w:t>
            </w: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 of common stock, net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740"/>
              <w:spacing w:after="0"/>
              <w:rPr>
                <w:sz w:val="20"/>
                <w:szCs w:val="20"/>
                <w:color w:val="auto"/>
              </w:rPr>
            </w:pPr>
            <w:r>
              <w:rPr>
                <w:rFonts w:ascii="Arial" w:cs="Arial" w:eastAsia="Arial" w:hAnsi="Arial"/>
                <w:sz w:val="18"/>
                <w:szCs w:val="18"/>
                <w:color w:val="auto"/>
              </w:rPr>
              <w:t>Net (decrease) increase in cash, cash equivalents, and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(188,133)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288,144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173,289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incentives used for leasehold improvements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Accrued purchases of property and equipment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238,723</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warrant liability to common stock</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20"/>
          <w:szCs w:val="20"/>
          <w:b w:val="1"/>
          <w:bCs w:val="1"/>
          <w:color w:val="auto"/>
        </w:rPr>
        <w:t>PMV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Financial Statements</w:t>
      </w:r>
    </w:p>
    <w:p>
      <w:pPr>
        <w:jc w:val="center"/>
        <w:ind w:right="-39"/>
        <w:spacing w:after="0"/>
        <w:rPr>
          <w:sz w:val="20"/>
          <w:szCs w:val="20"/>
          <w:color w:val="auto"/>
        </w:rPr>
      </w:pPr>
      <w:r>
        <w:rPr>
          <w:rFonts w:ascii="Arial" w:cs="Arial" w:eastAsia="Arial" w:hAnsi="Arial"/>
          <w:sz w:val="20"/>
          <w:szCs w:val="20"/>
          <w:b w:val="1"/>
          <w:bCs w:val="1"/>
          <w:color w:val="auto"/>
        </w:rPr>
        <w:t>December 31, 2021 and 2020</w:t>
      </w:r>
    </w:p>
    <w:p>
      <w:pPr>
        <w:jc w:val="center"/>
        <w:ind w:right="-3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2" w:lineRule="exact"/>
        <w:rPr>
          <w:sz w:val="20"/>
          <w:szCs w:val="20"/>
          <w:color w:val="auto"/>
        </w:rPr>
      </w:pPr>
    </w:p>
    <w:p>
      <w:pPr>
        <w:ind w:right="7940" w:firstLine="8"/>
        <w:spacing w:after="0" w:line="375" w:lineRule="auto"/>
        <w:tabs>
          <w:tab w:leader="none" w:pos="225"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Formation and Business of the Company Organization</w:t>
      </w:r>
    </w:p>
    <w:p>
      <w:pPr>
        <w:spacing w:after="0" w:line="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in Cranbury, New Jersey.</w:t>
      </w:r>
    </w:p>
    <w:p>
      <w:pPr>
        <w:spacing w:after="0" w:line="18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95"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On September 25, 2020, the Company completed an initial public offering (the “IPO”) of 13,529,750 shares of common stock, at a public offering price of $18.00 per share including the exercise in full by the underwriters of their option to purchase up to 1,764,750 additional shares of commons stock, for aggregate gross proceeds of $243,536 and its shares started trading on The Nasdaq Global Select Market under the ticker symbol “PMVP.” The Company received $223,176 in net proceeds after deducting underwriting discounts and commissions and other offering expenses payable by the Company. In connection with the closing of the IPO, all of the Company’s outstanding shares of convertible preferred stock automatically converted into 28,188,110 shares of common stock.</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has incurred net losses and negative cash flows from operations since it’s inception. During the year ended December 31, 2021,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incurred a net loss of $57,846 and used $46,571 of cash for operations. As of December 31, 2021, the Company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$167,726. Cash, cash equivalents, and marketable securities were $314,074 as of December 31, 2021. Management expects to incur substantial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for the next several years and may need to obtain additional debt or equity financings in order to complete development of its products,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obtain regulatory approvals, launch and commercialize its products and continue research and development programs. The Company believes it has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adequate cash and cash equivalents to operate for at least the next twelve months from the date of issuance of these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w:t>
      </w:r>
    </w:p>
    <w:p>
      <w:pPr>
        <w:jc w:val="center"/>
        <w:ind w:right="-19"/>
        <w:spacing w:after="0"/>
        <w:rPr>
          <w:sz w:val="20"/>
          <w:szCs w:val="20"/>
          <w:color w:val="auto"/>
        </w:rPr>
      </w:pPr>
      <w:r>
        <w:rPr>
          <w:rFonts w:ascii="Arial" w:cs="Arial" w:eastAsia="Arial" w:hAnsi="Arial"/>
          <w:sz w:val="20"/>
          <w:szCs w:val="20"/>
          <w:b w:val="1"/>
          <w:bCs w:val="1"/>
          <w:color w:val="auto"/>
        </w:rPr>
        <w:t>December 31, 2021 and 2020</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35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research and development costs, accrued research and development costs and related prepaid expenses, and the fair values of common stock, convertible preferred stock and stock-based compensation. Actual results could differ materially from those estimates.</w:t>
      </w:r>
    </w:p>
    <w:p>
      <w:pPr>
        <w:spacing w:after="0" w:line="16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length of time and full extent to which the COVID-19 pandemic directly or indirectly impacts our business, results of operations and financial condition, including expense, the supply chain,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 We have made estimates of the impact of the COVID-19 pandemic within our consolidated financial statements and there may be changes to those estimates in future periods.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 September 2020, the Company’s board of directors and stockholders approved an amendment to the Company’s amended and restated certificate of incorporation to affect a 5.2651-for-1 reverse stock split of the Company’s common stock and convertible preferred stock, which was effected on September 24, 2020. The par value of the common stock and convertible preferred stock were not adjusted as a result of the reverse stock split. Accordingly, all common stock, convertible preferred stock, stock options, and related per share amounts in these financial statements have been retroactively adjusted for all periods presented to give effect to the reverse stock split.</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53" w:lineRule="exact"/>
        <w:rPr>
          <w:sz w:val="20"/>
          <w:szCs w:val="20"/>
          <w:color w:val="auto"/>
        </w:rPr>
      </w:pPr>
    </w:p>
    <w:p>
      <w:pPr>
        <w:ind w:left="1160" w:right="140" w:hanging="572"/>
        <w:spacing w:after="0" w:line="277"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1 - Inputs that reflect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observable for the asset or liability either directly or indirectly, including inputs in markets that are not considered to be active.</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3 - Inputs are unobservable in which there is little or no market data available, which require the reporting entity to develop its own assumptions that are unobservable.</w:t>
      </w:r>
    </w:p>
    <w:p>
      <w:pPr>
        <w:spacing w:after="0" w:line="170"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w:t>
      </w:r>
    </w:p>
    <w:p>
      <w:pPr>
        <w:jc w:val="center"/>
        <w:ind w:right="-19"/>
        <w:spacing w:after="0"/>
        <w:rPr>
          <w:sz w:val="20"/>
          <w:szCs w:val="20"/>
          <w:color w:val="auto"/>
        </w:rPr>
      </w:pPr>
      <w:r>
        <w:rPr>
          <w:rFonts w:ascii="Arial" w:cs="Arial" w:eastAsia="Arial" w:hAnsi="Arial"/>
          <w:sz w:val="20"/>
          <w:szCs w:val="20"/>
          <w:b w:val="1"/>
          <w:bCs w:val="1"/>
          <w:color w:val="auto"/>
        </w:rPr>
        <w:t>December 31, 2021 and 2020</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fair value measurement in its entirety requires management to make judgments and consider factors specific to the asset or liability.</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25"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As of December 31, 2021, the company’s long-term marketable debt securities have maturity dates no more than two years.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For the years ending December 31, 2021, 2020, and 2019, the company recorded, $550, $152, and $62 of amortization, respectively.</w:t>
      </w:r>
    </w:p>
    <w:p>
      <w:pPr>
        <w:spacing w:after="0" w:line="166"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Restricted cash as of December 31, 2021 included a $822 deposit at the Company’s commercial bank underlying a stand-by letter of credit issued in favor of a landlord (See Note 6) and is classified in current assets.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231F20"/>
        </w:rPr>
        <w:t>Leases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The Company’s only existing leases are for office and laboratory space.</w:t>
      </w:r>
    </w:p>
    <w:p>
      <w:pPr>
        <w:spacing w:after="0" w:line="192"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84"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170"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Neither of the Company’s leases contain residual value guarantees.</w:t>
      </w:r>
    </w:p>
    <w:p>
      <w:pPr>
        <w:spacing w:after="0" w:line="18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w:t>
      </w:r>
    </w:p>
    <w:p>
      <w:pPr>
        <w:jc w:val="center"/>
        <w:ind w:right="-19"/>
        <w:spacing w:after="0"/>
        <w:rPr>
          <w:sz w:val="20"/>
          <w:szCs w:val="20"/>
          <w:color w:val="auto"/>
        </w:rPr>
      </w:pPr>
      <w:r>
        <w:rPr>
          <w:rFonts w:ascii="Arial" w:cs="Arial" w:eastAsia="Arial" w:hAnsi="Arial"/>
          <w:sz w:val="20"/>
          <w:szCs w:val="20"/>
          <w:b w:val="1"/>
          <w:bCs w:val="1"/>
          <w:color w:val="auto"/>
        </w:rPr>
        <w:t>December 31, 2021 and 2020</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35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0" w:firstLine="589"/>
        <w:spacing w:after="0" w:line="220" w:lineRule="exact"/>
        <w:rPr>
          <w:sz w:val="20"/>
          <w:szCs w:val="20"/>
          <w:color w:val="auto"/>
        </w:rPr>
      </w:pPr>
      <w:r>
        <w:rPr>
          <w:rFonts w:ascii="Arial" w:cs="Arial" w:eastAsia="Arial" w:hAnsi="Arial"/>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generally five years, except for leasehold improvements, which are amortized over the remaining term of the lease.</w:t>
      </w:r>
    </w:p>
    <w:p>
      <w:pPr>
        <w:spacing w:after="0" w:line="204"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Long-lived assets,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Company recorded $(78), $3, and $10 in other comprehensive (loss) income related to unrealized (losses) gains on marketable securities, net of tax for the years ended December 31, 2021, 2020, and 2019, respectively. The Company presents comprehensive income in a single statement within its financial statements.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All costs associated with research and development are expensed as incurred. 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The Company records accruals for estimated research and development expenses, comprising payments for work performed by third party vendors, clinical research organizations, clinical manufacturing organizations and others. Some of these vendors bill monthly based on actual services performed, while others bill periodically based upon achieving certain contractual milestones. For the latter, the Company accrues the expenses as goods or services are used or rendered. Research and development activities related to patient enrollment are accrued as patients enter and progress through the trial. In the event that we prepay fees, we record the prepayment as a prepaid asset and periodically evaluate the prepaid asset in conjunction with the related accrued research and development expenses.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Company’s convertible preferred stock was classified outside of stockholders’ deficit because the shares contained deemed liquidation rights that were a contingent redemption feature not solely within the control of the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w:t>
      </w:r>
    </w:p>
    <w:p>
      <w:pPr>
        <w:jc w:val="center"/>
        <w:ind w:right="-19"/>
        <w:spacing w:after="0"/>
        <w:rPr>
          <w:sz w:val="20"/>
          <w:szCs w:val="20"/>
          <w:color w:val="auto"/>
        </w:rPr>
      </w:pPr>
      <w:r>
        <w:rPr>
          <w:rFonts w:ascii="Arial" w:cs="Arial" w:eastAsia="Arial" w:hAnsi="Arial"/>
          <w:sz w:val="20"/>
          <w:szCs w:val="20"/>
          <w:b w:val="1"/>
          <w:bCs w:val="1"/>
          <w:color w:val="auto"/>
        </w:rPr>
        <w:t>December 31, 2021 and 2020</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Company. The Company’s policy is not to accrete the carrying value and related issuance costs of the convertible preferred stock to its redemption value until it is probable that the security will become redeemable. The convertible preferred stock converted to common stock in connection with the Company’s Initial Public Offering (“IPO”) on September 25, 2020.</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 Company may issue certain financial instruments with embedded features which may be accounted for as separate derivative assets or liabilities, dependent on their specific contractual terms or other conditions. These derivative assets or liabilities are required to be measured at fair value at issuance and remeasured at the end of each reporting period. To determine the fair value of these instruments the Company uses a discounted cash flow analysis, as these instruments are not quoted on an active market. Increases or decreases in fair value from initial measurement and each reporting period are recorded in the statement of operations and comprehensive loss as change in fair value of derivative liabilities.</w:t>
      </w:r>
    </w:p>
    <w:p>
      <w:pPr>
        <w:spacing w:after="0" w:line="269" w:lineRule="exact"/>
        <w:rPr>
          <w:sz w:val="20"/>
          <w:szCs w:val="20"/>
          <w:color w:val="auto"/>
        </w:rPr>
      </w:pPr>
    </w:p>
    <w:p>
      <w:pPr>
        <w:ind w:left="60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7" w:lineRule="exact"/>
        <w:rPr>
          <w:sz w:val="20"/>
          <w:szCs w:val="20"/>
          <w:color w:val="auto"/>
        </w:rPr>
      </w:pPr>
    </w:p>
    <w:p>
      <w:pPr>
        <w:ind w:right="760" w:firstLine="589"/>
        <w:spacing w:after="0" w:line="277" w:lineRule="auto"/>
        <w:rPr>
          <w:sz w:val="20"/>
          <w:szCs w:val="20"/>
          <w:color w:val="auto"/>
        </w:rPr>
      </w:pPr>
      <w:r>
        <w:rPr>
          <w:rFonts w:ascii="Arial" w:cs="Arial" w:eastAsia="Arial" w:hAnsi="Arial"/>
          <w:sz w:val="18"/>
          <w:szCs w:val="18"/>
          <w:color w:val="auto"/>
        </w:rPr>
        <w:t>The Company’s share-based compensation program allows for grants of stock options and restricted stock awards. Grants are awarded to employees and non-employees, including directors.</w:t>
      </w:r>
    </w:p>
    <w:p>
      <w:pPr>
        <w:spacing w:after="0" w:line="170"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 xml:space="preserve">The Company accounts for stock-based employee compensation arrangements in accordance with provisions of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w:t>
      </w:r>
      <w:r>
        <w:rPr>
          <w:rFonts w:ascii="Arial" w:cs="Arial" w:eastAsia="Arial" w:hAnsi="Arial"/>
          <w:sz w:val="17"/>
          <w:szCs w:val="17"/>
          <w:i w:val="1"/>
          <w:iCs w:val="1"/>
          <w:color w:val="auto"/>
        </w:rPr>
        <w:t xml:space="preserve">. </w:t>
      </w:r>
      <w:r>
        <w:rPr>
          <w:rFonts w:ascii="Arial" w:cs="Arial" w:eastAsia="Arial" w:hAnsi="Arial"/>
          <w:sz w:val="17"/>
          <w:szCs w:val="17"/>
          <w:color w:val="auto"/>
        </w:rPr>
        <w:t>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awards and stock options.</w:t>
      </w:r>
    </w:p>
    <w:p>
      <w:pPr>
        <w:spacing w:after="0" w:line="17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Company’s stock-based compensation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Black-Scholes option pricing model requires inputs based on certain subjective assumptions, including (i) the expected stock price volatility,</w:t>
      </w:r>
    </w:p>
    <w:p>
      <w:pPr>
        <w:spacing w:after="0" w:line="46" w:lineRule="exact"/>
        <w:rPr>
          <w:sz w:val="20"/>
          <w:szCs w:val="20"/>
          <w:color w:val="auto"/>
        </w:rPr>
      </w:pPr>
    </w:p>
    <w:p>
      <w:pPr>
        <w:ind w:right="40" w:firstLine="8"/>
        <w:spacing w:after="0" w:line="251" w:lineRule="auto"/>
        <w:tabs>
          <w:tab w:leader="none" w:pos="2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expected term of the award, (iii) the risk-free interest rate and (iv) expected dividends. Due to the lack of a public market for the Company’s common stock until September 2020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Financial Statements</w:t>
      </w:r>
    </w:p>
    <w:p>
      <w:pPr>
        <w:jc w:val="center"/>
        <w:ind w:right="-39"/>
        <w:spacing w:after="0"/>
        <w:rPr>
          <w:sz w:val="20"/>
          <w:szCs w:val="20"/>
          <w:color w:val="auto"/>
        </w:rPr>
      </w:pPr>
      <w:r>
        <w:rPr>
          <w:rFonts w:ascii="Arial" w:cs="Arial" w:eastAsia="Arial" w:hAnsi="Arial"/>
          <w:sz w:val="20"/>
          <w:szCs w:val="20"/>
          <w:b w:val="1"/>
          <w:bCs w:val="1"/>
          <w:color w:val="auto"/>
        </w:rPr>
        <w:t>December 31, 2021 and 2020</w:t>
      </w:r>
    </w:p>
    <w:p>
      <w:pPr>
        <w:jc w:val="center"/>
        <w:ind w:right="-3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has never paid dividends and has no current plans to pay any dividends on its common stock. The Company recognizes forfeitures as they occur.</w:t>
      </w:r>
    </w:p>
    <w:p>
      <w:pPr>
        <w:spacing w:after="0" w:line="23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Prior to the Company’s IPO, 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considered the estimated fair value of the common stock as of the measurement date. Prior to the Initial Public Offering, the estimated fair value of the common stock was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segment.</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 xml:space="preserve">Basic net loss per share is computed using the “two-class” method which includes the weighted average number of shares of common stock outstanding during the period and other securities that participate in dividends (a participating security). The Company’s convertible preferred stock are participating securities as defined by ASC 260-10,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 dilutive effects of a warrant, convertible preferred stock and stock options outstanding during the period calculated in accordance with the treasury stock method, or the two-class method, whichever is more dilutive. The Company allocates net earnings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 xml:space="preserve">The Company accounts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w:t>
      </w:r>
    </w:p>
    <w:p>
      <w:pPr>
        <w:jc w:val="center"/>
        <w:ind w:right="-19"/>
        <w:spacing w:after="0"/>
        <w:rPr>
          <w:sz w:val="20"/>
          <w:szCs w:val="20"/>
          <w:color w:val="auto"/>
        </w:rPr>
      </w:pPr>
      <w:r>
        <w:rPr>
          <w:rFonts w:ascii="Arial" w:cs="Arial" w:eastAsia="Arial" w:hAnsi="Arial"/>
          <w:sz w:val="20"/>
          <w:szCs w:val="20"/>
          <w:b w:val="1"/>
          <w:bCs w:val="1"/>
          <w:color w:val="auto"/>
        </w:rPr>
        <w:t>December 31, 2021 and 2020</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3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2021 and 2020, the Company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9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In February 2016, the Financial Accounting Standards Board (the “FASB”) issued ASU No. 2016-02, Leases (Topic 842), as amended by multiple standards updates, in order to increase transparency and comparability among organizations by requiring lessees to recognize most leases on their balance sheets and making targeted changes to lessor accounting. The most significant change arising from the new standard is the recognition of right of use assets and lease liabilities for leases classified as operating leases. The right-of-use lease liability for operating leases is based on the net present value of future minimum lease payments. Additionally, the right-of-use asset for operating leases is based on the lease liability adjusted for the reclassification of certain balance sheet amounts such as the long term portion of straight line rent liability and deferred lease incentives. Under the standard, disclosures are required to enable financial statement users to assess the amount, timing, and uncertainty of cash flows arising from the leases. Companies are also required to recognize and measure leases existing at, or entered into after, the adoption date using a modified retrospective approach, with certain practical expedients available. Comparative periods prior to adoption have not been retrospectively adjusted.</w:t>
      </w:r>
    </w:p>
    <w:p>
      <w:pPr>
        <w:spacing w:after="0" w:line="166"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The Company adopted the standard effective January 1, 2021 using the modified retrospective transition method. Upon adoption, the Company applied the package of practical expedients that allows an entity to not reassess (i) whether any expired or existing contracts are or contain leases, (ii) lease classification for any expired or existing leases and (iii) initial direct costs for any expired or existing leases. The Company elected the practical expedient not to apply the recognition requirements to short-term leases, defined as a lease that at the commencement date has a lease term of 12 months or less that does not include a purchase option to purchase the underlying asset that the Company is reasonably certain to exercise. Furthermore, the Company has elected the practical expedient to not separate lease and non-lease components by class of underlying asset for its existing leases. As the Company enters into new leases, it will continue to evaluate this accounting policy for any new classes of underlying assets.</w:t>
      </w:r>
    </w:p>
    <w:p>
      <w:pPr>
        <w:spacing w:after="0" w:line="166"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Upon adoption, the Company recorded ROU assets of $970 and lease liabilities of $1,129. The standard did not have a material impact on the statement of operations or statement of cash flows.</w:t>
      </w:r>
    </w:p>
    <w:p>
      <w:pPr>
        <w:spacing w:after="0" w:line="170"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Financial Statements</w:t>
      </w:r>
    </w:p>
    <w:p>
      <w:pPr>
        <w:jc w:val="center"/>
        <w:ind w:right="-39"/>
        <w:spacing w:after="0"/>
        <w:rPr>
          <w:sz w:val="20"/>
          <w:szCs w:val="20"/>
          <w:color w:val="auto"/>
        </w:rPr>
      </w:pPr>
      <w:r>
        <w:rPr>
          <w:rFonts w:ascii="Arial" w:cs="Arial" w:eastAsia="Arial" w:hAnsi="Arial"/>
          <w:sz w:val="20"/>
          <w:szCs w:val="20"/>
          <w:b w:val="1"/>
          <w:bCs w:val="1"/>
          <w:color w:val="auto"/>
        </w:rPr>
        <w:t>December 31, 2021 and 2020</w:t>
      </w:r>
    </w:p>
    <w:p>
      <w:pPr>
        <w:jc w:val="center"/>
        <w:ind w:right="-3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of an enacted change in tax laws or rates in the annual effective tax rate computation in the interim period that includes the enactment date. The Company adopted this standard as of January 1, 2021. The adoption did not have a material impact on the Company’s financial statements.</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include a checking account and a money market account 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188"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87" w:lineRule="exact"/>
        <w:rPr>
          <w:sz w:val="20"/>
          <w:szCs w:val="20"/>
          <w:color w:val="auto"/>
        </w:rPr>
      </w:pPr>
    </w:p>
    <w:p>
      <w:pPr>
        <w:jc w:val="both"/>
        <w:ind w:right="260" w:firstLine="589"/>
        <w:spacing w:after="0" w:line="311" w:lineRule="auto"/>
        <w:rPr>
          <w:sz w:val="20"/>
          <w:szCs w:val="20"/>
          <w:color w:val="auto"/>
        </w:rPr>
      </w:pPr>
      <w:r>
        <w:rPr>
          <w:rFonts w:ascii="Arial" w:cs="Arial" w:eastAsia="Arial" w:hAnsi="Arial"/>
          <w:sz w:val="16"/>
          <w:szCs w:val="16"/>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49"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The outbreak has adversely impacted global commercial activity and contributed to significant volatility in financial markets. The COVID-19 outbreak and government responses are creating disruption in global supply chains and adversely impacting many industries. The outbreak could have a continued material adverse impact on economic and market conditions. The Company continues to monitor the impact of the COVID-19 outbreak closely.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17" w:lineRule="exact"/>
        <w:rPr>
          <w:sz w:val="20"/>
          <w:szCs w:val="20"/>
          <w:color w:val="auto"/>
        </w:rPr>
      </w:pPr>
    </w:p>
    <w:p>
      <w:pPr>
        <w:ind w:right="60" w:firstLine="589"/>
        <w:spacing w:after="0" w:line="342" w:lineRule="auto"/>
        <w:rPr>
          <w:sz w:val="20"/>
          <w:szCs w:val="20"/>
          <w:color w:val="auto"/>
        </w:rPr>
      </w:pPr>
      <w:r>
        <w:rPr>
          <w:rFonts w:ascii="Arial" w:cs="Arial" w:eastAsia="Arial" w:hAnsi="Arial"/>
          <w:sz w:val="16"/>
          <w:szCs w:val="16"/>
          <w:color w:val="auto"/>
        </w:rPr>
        <w:t>The Company’s financial instruments consist of money market funds, U.S. government debt securities and corporate debt securities. The following tables show the Company’s cash equivalents and available-for-sale securities’ carrying amounts and fair values as of December 31,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Quoted priced</w:t>
            </w:r>
          </w:p>
        </w:tc>
        <w:tc>
          <w:tcPr>
            <w:tcW w:w="100" w:type="dxa"/>
            <w:vAlign w:val="bottom"/>
          </w:tcPr>
          <w:p>
            <w:pPr>
              <w:spacing w:after="0"/>
              <w:rPr>
                <w:sz w:val="11"/>
                <w:szCs w:val="11"/>
                <w:color w:val="auto"/>
              </w:rPr>
            </w:pPr>
          </w:p>
        </w:tc>
        <w:tc>
          <w:tcPr>
            <w:tcW w:w="14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 other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10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182"/>
        </w:trPr>
        <w:tc>
          <w:tcPr>
            <w:tcW w:w="28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Financial assets</w:t>
            </w:r>
          </w:p>
        </w:tc>
        <w:tc>
          <w:tcPr>
            <w:tcW w:w="1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40,960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40,960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40,960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227,362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227,362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227,362</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gridSpan w:val="2"/>
          </w:tcPr>
          <w:p>
            <w:pPr>
              <w:spacing w:after="0"/>
              <w:rPr>
                <w:sz w:val="20"/>
                <w:szCs w:val="20"/>
                <w:color w:val="auto"/>
              </w:rPr>
            </w:pPr>
            <w:r>
              <w:rPr>
                <w:rFonts w:ascii="Arial" w:cs="Arial" w:eastAsia="Arial" w:hAnsi="Arial"/>
                <w:sz w:val="18"/>
                <w:szCs w:val="18"/>
                <w:color w:val="auto"/>
              </w:rPr>
              <w:t>Government securities</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42,245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financial assets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Quoted priced</w:t>
            </w:r>
          </w:p>
        </w:tc>
        <w:tc>
          <w:tcPr>
            <w:tcW w:w="100" w:type="dxa"/>
            <w:vAlign w:val="bottom"/>
          </w:tcPr>
          <w:p>
            <w:pPr>
              <w:spacing w:after="0"/>
              <w:rPr>
                <w:sz w:val="11"/>
                <w:szCs w:val="11"/>
                <w:color w:val="auto"/>
              </w:rPr>
            </w:pPr>
          </w:p>
        </w:tc>
        <w:tc>
          <w:tcPr>
            <w:tcW w:w="14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 other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10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183"/>
        </w:trPr>
        <w:tc>
          <w:tcPr>
            <w:tcW w:w="28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Financial assets</w:t>
            </w:r>
          </w:p>
        </w:tc>
        <w:tc>
          <w:tcPr>
            <w:tcW w:w="1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240,033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240,033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240,033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120,008</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gridSpan w:val="2"/>
          </w:tcPr>
          <w:p>
            <w:pPr>
              <w:ind w:left="260"/>
              <w:spacing w:after="0"/>
              <w:rPr>
                <w:sz w:val="20"/>
                <w:szCs w:val="20"/>
                <w:color w:val="auto"/>
              </w:rPr>
            </w:pPr>
            <w:r>
              <w:rPr>
                <w:rFonts w:ascii="Arial" w:cs="Arial" w:eastAsia="Arial" w:hAnsi="Arial"/>
                <w:sz w:val="18"/>
                <w:szCs w:val="18"/>
                <w:color w:val="auto"/>
              </w:rPr>
              <w:t>Total financial assets</w:t>
            </w:r>
          </w:p>
        </w:tc>
        <w:tc>
          <w:tcPr>
            <w:tcW w:w="1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360,041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360,041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240,033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As of December 31, 2021, the company had cash of $3,508 and cash equivalents of $168,960. Cash equivalents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consisted of money market funds of $40,960 and corporate debt securities of $128,000. Cash equivalents of $360,041 as of December 31, 2020 consisted of money market funds of $240,033 and corporate debt securities of $120,008.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188"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b w:val="1"/>
          <w:bCs w:val="1"/>
          <w:i w:val="1"/>
          <w:iCs w:val="1"/>
          <w:color w:val="auto"/>
        </w:rPr>
        <w:t xml:space="preserve">Marketable Securities – </w:t>
      </w:r>
      <w:r>
        <w:rPr>
          <w:rFonts w:ascii="Arial" w:cs="Arial" w:eastAsia="Arial" w:hAnsi="Arial"/>
          <w:sz w:val="18"/>
          <w:szCs w:val="18"/>
          <w:color w:val="auto"/>
        </w:rPr>
        <w:t>Marketable securities of $141,607 as of December 31, 2021 consisted of corporate debt securities of $99,362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debt securities of $42,245. There were $124,696 current marketable securities and $16,911 noncurrent marketable securities as of December 31, 2021. There were no marketable securities as of December 31,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2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Machinery &amp; equipment</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Computers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Furniture &amp; fixtures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r>
      <w:tr>
        <w:trPr>
          <w:trHeight w:val="22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Assets not placed in service</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2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9"/>
                <w:szCs w:val="19"/>
                <w:color w:val="auto"/>
              </w:rPr>
            </w:pPr>
          </w:p>
        </w:tc>
      </w:tr>
      <w:tr>
        <w:trPr>
          <w:trHeight w:val="22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 for the years ended December 31, 2021, 2020, and 2019 was $307, $318, and $388,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consists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189"/>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3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140" w:type="dxa"/>
            <w:vAlign w:val="bottom"/>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CEEFF"/>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Accrued research and development costs</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9"/>
                <w:szCs w:val="19"/>
                <w:color w:val="auto"/>
              </w:rPr>
            </w:pP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Commitments and Contingencies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 June 2015, the Company executed a noncancelable operating lease for approximately 13,000 square feet of laboratory, research and development, and office space in Cranbury, New Jersey for an initial base rent of $20.00 per square foot. This location operates as the Company’s current headquarters.</w:t>
      </w:r>
    </w:p>
    <w:p>
      <w:pPr>
        <w:spacing w:after="0" w:line="184"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In June 2017, the Company obtained an additional noncancelable operating lease for about 6,000 square feet of laboratory space in the same corporate center at an initial rental rate at $22.00 per square foot. As a result of the additional space, both leases will expire June 2022, with an option to renew on a month-to-month basis, with an increase in base rent as per the lease, for up to an additional year. Both leases include a common area maintenance expense for $3.00 per square foot with an increase of 3% on the first month of each calendar year during the lease term and a management fee of 3% of the base rent. The Company is obligated to pay, on a pro-rata basis, real estate taxes and operating costs related to the premises.</w:t>
      </w:r>
    </w:p>
    <w:p>
      <w:pPr>
        <w:spacing w:after="0" w:line="161"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In August 2018, the Company executed two noncancelable operating leases. One lease for approximately 6,000 square feet for vivarium, laboratory and general office space in South Brunswick, New Jersey. The initial annual base rent is $15.50 per square foot and a management fee of 3% of the base rent. The Company is obligated to pay, on a pro-rata basis, insurance premiums, real estate taxes and operating costs related to the premises.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lease expires in July 2022, with an option to renew on a month-to-month basis, with an increase in base rent as per the lease, for up to an additional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second lease is for office space in Lexington, Massachusetts, that expires August 2023, with an option to renew for a one-time, three-year extension.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initial annual base rent is $28.50 per square foot and will increase $1.00 per square foot at the end of each rent year.</w:t>
      </w:r>
    </w:p>
    <w:p>
      <w:pPr>
        <w:spacing w:after="0" w:line="21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2018, the company received a lease incentive for the buildout of 420 Bedford Street in Lexington, MA. The Company was given an allowance for $165 on behalf of the lessor for construction of office space. Management recognizes this allowance as a lease incentive in its Right-of-Use asset and straight-lines the allowance throughout the term of the lease. As of December 31, 2021, the remaining rent incentive pertaining to the Lexington, MA lease totaled $64.</w:t>
      </w:r>
    </w:p>
    <w:p>
      <w:pPr>
        <w:spacing w:after="0" w:line="18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In January 2021, the Company signed a lease for 50,581 square feet of office and laboratory space at One Research Way in Princeton, New Jersey. The Company intends to complete the relocation of their headquarters from Cranbury, NJ to One Research Way in Princeton NJ in late 2022. That lease term extends through 2032, has a five-year extension option, and is intended to replace our two existing facilities and the space is expected to become the Company’s future headquarters. Payment under this lease will total $19.6 million through May 2032. The Company received a lease incentive of $4.1 million from the lessor for a buildout of laboratory, vivarium, and office space, to be reimbursed to the Company in 2022. Management estimated the timing and amounts of reimbursements and included them as a reduction of lease payments when initially measuring the lease liability and right-of-use asset upon commencement.</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lease cost for the year ended December 31,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5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cost</w:t>
            </w:r>
          </w:p>
        </w:tc>
        <w:tc>
          <w:tcPr>
            <w:tcW w:w="35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35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Amounts reported in the balance sheet for leases where the Company is the lessee as of December 31, 2021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spacing w:after="0"/>
              <w:rPr>
                <w:sz w:val="20"/>
                <w:szCs w:val="20"/>
                <w:color w:val="auto"/>
              </w:rPr>
            </w:pPr>
            <w:r>
              <w:rPr>
                <w:rFonts w:ascii="Arial" w:cs="Arial" w:eastAsia="Arial" w:hAnsi="Arial"/>
                <w:sz w:val="14"/>
                <w:szCs w:val="14"/>
                <w:b w:val="1"/>
                <w:bCs w:val="1"/>
                <w:color w:val="auto"/>
              </w:rPr>
              <w:t>Operating Leases: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operating leases</w:t>
            </w:r>
          </w:p>
        </w:tc>
        <w:tc>
          <w:tcPr>
            <w:tcW w:w="3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7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non-current</w:t>
            </w:r>
          </w:p>
        </w:tc>
        <w:tc>
          <w:tcPr>
            <w:tcW w:w="3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10,790</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458"/>
        </w:trPr>
        <w:tc>
          <w:tcPr>
            <w:tcW w:w="8220" w:type="dxa"/>
            <w:vAlign w:val="bottom"/>
          </w:tcPr>
          <w:p>
            <w:pPr>
              <w:ind w:left="600"/>
              <w:spacing w:after="0"/>
              <w:rPr>
                <w:sz w:val="20"/>
                <w:szCs w:val="20"/>
                <w:color w:val="auto"/>
              </w:rPr>
            </w:pPr>
            <w:r>
              <w:rPr>
                <w:rFonts w:ascii="Arial" w:cs="Arial" w:eastAsia="Arial" w:hAnsi="Arial"/>
                <w:sz w:val="18"/>
                <w:szCs w:val="18"/>
                <w:color w:val="auto"/>
                <w:w w:val="93"/>
              </w:rPr>
              <w:t>Other information related to leases for the year ended December 31, 2021 is as follows, in thousands: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2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10,318</w:t>
            </w:r>
          </w:p>
        </w:tc>
        <w:tc>
          <w:tcPr>
            <w:tcW w:w="0" w:type="dxa"/>
            <w:vAlign w:val="bottom"/>
          </w:tcPr>
          <w:p>
            <w:pPr>
              <w:spacing w:after="0"/>
              <w:rPr>
                <w:sz w:val="1"/>
                <w:szCs w:val="1"/>
                <w:color w:val="auto"/>
              </w:rPr>
            </w:pPr>
          </w:p>
        </w:tc>
      </w:tr>
      <w:tr>
        <w:trPr>
          <w:trHeight w:val="863"/>
        </w:trPr>
        <w:tc>
          <w:tcPr>
            <w:tcW w:w="8220" w:type="dxa"/>
            <w:vAlign w:val="bottom"/>
          </w:tcPr>
          <w:p>
            <w:pPr>
              <w:ind w:left="5480"/>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86"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Future minimum lease payments, net of reimbursements, remaining as of December 31, 2021 under operating leases by fiscal year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2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7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(2,609)</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9"/>
                <w:szCs w:val="19"/>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2025</w:t>
            </w:r>
          </w:p>
        </w:tc>
        <w:tc>
          <w:tcPr>
            <w:tcW w:w="2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9"/>
                <w:szCs w:val="19"/>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11,477</w:t>
            </w:r>
          </w:p>
        </w:tc>
        <w:tc>
          <w:tcPr>
            <w:tcW w:w="1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120" w:type="dxa"/>
            <w:vAlign w:val="bottom"/>
            <w:shd w:val="clear" w:color="auto" w:fill="CCEEFF"/>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Less: Amounts representing imputed interest</w:t>
            </w:r>
          </w:p>
        </w:tc>
        <w:tc>
          <w:tcPr>
            <w:tcW w:w="2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(5,116)</w:t>
            </w:r>
          </w:p>
        </w:tc>
      </w:tr>
      <w:tr>
        <w:trPr>
          <w:trHeight w:val="223"/>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Rent expense recorded for the years ended December 31, 2021 and 2020 were $1,691 and $561, respectively.</w:t>
      </w:r>
    </w:p>
    <w:p>
      <w:pPr>
        <w:spacing w:after="0" w:line="266"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The company currently subleases the office space at 420 Bedford Street in Lexington, MA to another company. This sublease agreement expires in August, 2023. In April 2021, the company entered into a sublease agreement with the previous tenants of the office space at One Research Way in Princeton, NJ, from April 2021 to July 2021. As of December 31, 2021, sublease income for the Company was $116.</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300" w:firstLine="589"/>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2021, there were no purchase commitments with third-party suppliers.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Convertible Preferred Stock</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As of December 31, 2019, the Company’s Certificate of Incorporation, as amended and restated, authorized the Company to issue up to 22,883,426 shares of convertible preferred stock with a par value of $0.00001 per share. 1,657,903 shares were designated as Series Seed convertible preferred stock (Series Seed Preferred), 8,076,985 shares were designated as Series A convertible preferred stock (Series A Preferred), 7,672,560 shares were designated as Series B convertible preferred stock (Series B Preferred) and 5,475,978 shares were designated as Series C convertible preferred stock (Series C Preferred). As of December 31, 2019, the Company had an aggregate of 22,866,246 shares of Series Seed Preferred, Series A Preferred, Series B Preferred and Series C Preferred (collectively, “Preferred Stock”) issued and outstanding. All share amounts presented are reverse-split adjusted.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2019, the Preferred Stock consisted of the following (in thousands except for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Preferred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stock issued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8"/>
              </w:rPr>
              <w:t>Liquidation</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issuable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stock</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upon</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authorized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preference</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conversion</w:t>
            </w:r>
          </w:p>
        </w:tc>
        <w:tc>
          <w:tcPr>
            <w:tcW w:w="0" w:type="dxa"/>
            <w:vAlign w:val="bottom"/>
          </w:tcPr>
          <w:p>
            <w:pPr>
              <w:spacing w:after="0"/>
              <w:rPr>
                <w:sz w:val="1"/>
                <w:szCs w:val="1"/>
                <w:color w:val="auto"/>
              </w:rPr>
            </w:pPr>
          </w:p>
        </w:tc>
      </w:tr>
      <w:tr>
        <w:trPr>
          <w:trHeight w:val="209"/>
        </w:trPr>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w:t>
            </w:r>
          </w:p>
        </w:tc>
        <w:tc>
          <w:tcPr>
            <w:tcW w:w="1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1,657,903</w:t>
            </w:r>
          </w:p>
        </w:tc>
        <w:tc>
          <w:tcPr>
            <w:tcW w:w="3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1,647,102</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Series A Preferred</w:t>
            </w:r>
          </w:p>
        </w:tc>
        <w:tc>
          <w:tcPr>
            <w:tcW w:w="1540" w:type="dxa"/>
            <w:vAlign w:val="bottom"/>
          </w:tcPr>
          <w:p>
            <w:pPr>
              <w:jc w:val="right"/>
              <w:spacing w:after="0"/>
              <w:rPr>
                <w:sz w:val="20"/>
                <w:szCs w:val="20"/>
                <w:color w:val="auto"/>
              </w:rPr>
            </w:pPr>
            <w:r>
              <w:rPr>
                <w:rFonts w:ascii="Arial" w:cs="Arial" w:eastAsia="Arial" w:hAnsi="Arial"/>
                <w:sz w:val="18"/>
                <w:szCs w:val="18"/>
                <w:color w:val="auto"/>
              </w:rPr>
              <w:t>8,076,985</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8,076,982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30,593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30,734</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8,076,982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7,672,560</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7,672,556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73,627</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73,728</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7,672,556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Series C Preferred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5,475,978</w:t>
            </w:r>
          </w:p>
        </w:tc>
        <w:tc>
          <w:tcPr>
            <w:tcW w:w="3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5,469,606</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61,705</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61,873</w:t>
            </w:r>
          </w:p>
        </w:tc>
        <w:tc>
          <w:tcPr>
            <w:tcW w:w="3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5,469,606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22,883,426</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22,866,246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168,933</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169,385</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22,866,246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380" w:firstLine="589"/>
        <w:spacing w:after="0" w:line="286" w:lineRule="auto"/>
        <w:rPr>
          <w:sz w:val="20"/>
          <w:szCs w:val="20"/>
          <w:color w:val="auto"/>
        </w:rPr>
      </w:pPr>
      <w:r>
        <w:rPr>
          <w:rFonts w:ascii="Arial" w:cs="Arial" w:eastAsia="Arial" w:hAnsi="Arial"/>
          <w:sz w:val="17"/>
          <w:szCs w:val="17"/>
          <w:color w:val="auto"/>
        </w:rPr>
        <w:t>In July 2020, the Company issued 5,321,864 shares of Series D Preferred Stock at a price of $13.1533 per share, resulting in gross proceeds of $70,000. In connection with the IPO on September 25, 2020, all of the Company’s convertible preferred stock, including Series D Preferred Stock, outstanding at the time of the IPO automatically converted into an aggregate of 28,188,110 shares of common stock.</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December 31,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 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$1.8517 for Series Seed Preferred, $3.7266 for Series A Preferred, $9.6093 for Series B Preferred and $11.3121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w:t>
      </w:r>
    </w:p>
    <w:p>
      <w:pPr>
        <w:ind w:right="60" w:firstLine="8"/>
        <w:spacing w:after="0" w:line="271" w:lineRule="auto"/>
        <w:tabs>
          <w:tab w:leader="none" w:pos="215" w:val="left"/>
        </w:tabs>
        <w:numPr>
          <w:ilvl w:val="0"/>
          <w:numId w:val="71"/>
        </w:numPr>
        <w:rPr>
          <w:rFonts w:ascii="Arial" w:cs="Arial" w:eastAsia="Arial" w:hAnsi="Arial"/>
          <w:sz w:val="17"/>
          <w:szCs w:val="17"/>
          <w:color w:val="auto"/>
        </w:rPr>
      </w:pPr>
      <w:r>
        <w:rPr>
          <w:rFonts w:ascii="Arial" w:cs="Arial" w:eastAsia="Arial" w:hAnsi="Arial"/>
          <w:sz w:val="17"/>
          <w:szCs w:val="17"/>
          <w:color w:val="auto"/>
        </w:rPr>
        <w:t>written consent of two-thirds of the then outstanding shares of Preferred Stock, voting together as a single class, and written consent of the majority of the then outstanding shares of Series C Preferred or (ii) the closing of a public offering, in which the gross cash proceeds are at least $40,000 and the initial offering price to the public is at least $11.3121 per share (as adjusted for any stock splits, stock dividends, combinations, subdivisions, recapitalizations, reorganizations, reclassifications or the like). As of December 31, 2019, the conversion price for each share of Series Seed Preferred, Series A Preferred, Series B Preferred and Series C Preferred is $1.8517, $3.7266, $9.6093 and $11.3121,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Common Stock</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Company is authorized to issue up to 1,000,000,000 shares of common stock with a par value of $0.00001 per share, and 5,000,000 shares of preferred stock with a par value of $0.00001 per share. As of December 31, 2021 and 2020, there were 45,433,684 and 44,777,818 shares of common stock issued and outstanding, respectively.</w:t>
      </w:r>
    </w:p>
    <w:p>
      <w:pPr>
        <w:spacing w:after="0" w:line="184"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Common stockholders are entitled to receive dividends if and when declared by the board of directors subject to the rights of any preferred stockholders. As of December 31, 2021, no dividends on common stock had been declared by the Company.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2021 and 2020, the Company had reserved shares of common stock for issuance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0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4720" w:type="dxa"/>
            <w:vAlign w:val="bottom"/>
            <w:gridSpan w:val="2"/>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issued and outstanding</w:t>
            </w:r>
          </w:p>
        </w:tc>
        <w:tc>
          <w:tcPr>
            <w:tcW w:w="3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4,246,007</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4,090,970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Shares available for future stock option grants</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4,951,680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4,609,725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employee stock purchase plan</w:t>
            </w:r>
          </w:p>
        </w:tc>
        <w:tc>
          <w:tcPr>
            <w:tcW w:w="4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801,464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9,999,151</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9,101,447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60" w:type="dxa"/>
            <w:vAlign w:val="bottom"/>
            <w:vMerge w:val="restart"/>
          </w:tcPr>
          <w:p>
            <w:pPr>
              <w:jc w:val="right"/>
              <w:ind w:right="1875"/>
              <w:spacing w:after="0"/>
              <w:rPr>
                <w:sz w:val="20"/>
                <w:szCs w:val="20"/>
                <w:color w:val="auto"/>
              </w:rPr>
            </w:pPr>
            <w:r>
              <w:rPr>
                <w:rFonts w:ascii="Arial" w:cs="Arial" w:eastAsia="Arial" w:hAnsi="Arial"/>
                <w:sz w:val="18"/>
                <w:szCs w:val="18"/>
                <w:color w:val="auto"/>
              </w:rPr>
              <w:t>137</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5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w:t>
      </w:r>
    </w:p>
    <w:p>
      <w:pPr>
        <w:jc w:val="center"/>
        <w:ind w:right="-19"/>
        <w:spacing w:after="0"/>
        <w:rPr>
          <w:sz w:val="20"/>
          <w:szCs w:val="20"/>
          <w:color w:val="auto"/>
        </w:rPr>
      </w:pPr>
      <w:r>
        <w:rPr>
          <w:rFonts w:ascii="Arial" w:cs="Arial" w:eastAsia="Arial" w:hAnsi="Arial"/>
          <w:sz w:val="20"/>
          <w:szCs w:val="20"/>
          <w:b w:val="1"/>
          <w:bCs w:val="1"/>
          <w:color w:val="auto"/>
        </w:rPr>
        <w:t>December 31, 2021 and 2020</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9  Stock Plan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is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2021, the board of directors exercised its discretion under clause (iii) to increase the number of shares of common stock reserved for issuance under the 2020 Plan by a lesser amount of 1,363,084 shares, effective as of January 1, 2022. As of December 31, 2021, there were 4,951,680 shares available for issuance under the 2020 Plan.</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2021, the 2020 ESPP reserved shares were increased under clause (iii) by zero shares, effective as of January 1, 2022. On November 19, 2021, employees exercised their right to purchase 10,480 shares under the 2020 ESPP. As of December 31, 2021, 47,066 shares are issued or outstanding, and there were 801,464 shares available for issuance, under the 2020 ESPP.</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17"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In 2013, the Company adopted the 2013 Stock Plan (the “2013 Plan”). On September 24, 2020, this plan was replaced by the 2020 Plan, and future issuances of incentive instruments will be governed by that plan. Subject to the provisions of the 2020 Plan, the Company had the option to either forfeit or repurchase remaining shares under the 2013 Equity Incentive Plan on or after the registration date. The Company chose to forfeit the remaining shares.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35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option activity for the year ended December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Available</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Grant</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000s)</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December 31,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4,609,725</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4,090,970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8"/>
                <w:szCs w:val="18"/>
                <w:color w:val="auto"/>
              </w:rPr>
              <w:t>7.13</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Shares reserved for issuance</w:t>
            </w:r>
          </w:p>
        </w:tc>
        <w:tc>
          <w:tcPr>
            <w:tcW w:w="1120" w:type="dxa"/>
            <w:vAlign w:val="bottom"/>
          </w:tcPr>
          <w:p>
            <w:pPr>
              <w:jc w:val="right"/>
              <w:spacing w:after="0"/>
              <w:rPr>
                <w:sz w:val="20"/>
                <w:szCs w:val="20"/>
                <w:color w:val="auto"/>
              </w:rPr>
            </w:pPr>
            <w:r>
              <w:rPr>
                <w:rFonts w:ascii="Arial" w:cs="Arial" w:eastAsia="Arial" w:hAnsi="Arial"/>
                <w:sz w:val="18"/>
                <w:szCs w:val="18"/>
                <w:color w:val="auto"/>
              </w:rPr>
              <w:t>1,343,334</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Options retired under 2013 Equity Plan</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(237,542)</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Options granted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(807,180)</w:t>
            </w:r>
          </w:p>
        </w:tc>
        <w:tc>
          <w:tcPr>
            <w:tcW w:w="1020" w:type="dxa"/>
            <w:vAlign w:val="bottom"/>
          </w:tcPr>
          <w:p>
            <w:pPr>
              <w:jc w:val="right"/>
              <w:spacing w:after="0"/>
              <w:rPr>
                <w:sz w:val="20"/>
                <w:szCs w:val="20"/>
                <w:color w:val="auto"/>
              </w:rPr>
            </w:pPr>
            <w:r>
              <w:rPr>
                <w:rFonts w:ascii="Arial" w:cs="Arial" w:eastAsia="Arial" w:hAnsi="Arial"/>
                <w:sz w:val="18"/>
                <w:szCs w:val="18"/>
                <w:color w:val="auto"/>
              </w:rPr>
              <w:t>807,180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29.22</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Options forfeited / cancelled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43,343</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(43,343)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Options exercised</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(608,800)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December 31,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4,951,680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4,246,007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620" w:type="dxa"/>
            <w:vAlign w:val="bottom"/>
            <w:tcBorders>
              <w:top w:val="single" w:sz="8" w:color="CFF0FC"/>
              <w:bottom w:val="single" w:sz="8" w:color="CFF0FC"/>
            </w:tcBorders>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6.86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68,506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2021</w:t>
            </w: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4,246,007</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620" w:type="dxa"/>
            <w:vAlign w:val="bottom"/>
            <w:tcBorders>
              <w:bottom w:val="single" w:sz="8" w:color="CFF0FC"/>
            </w:tcBorders>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6.86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68,506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140"/>
              <w:spacing w:after="0"/>
              <w:rPr>
                <w:sz w:val="20"/>
                <w:szCs w:val="20"/>
                <w:color w:val="auto"/>
              </w:rPr>
            </w:pPr>
            <w:r>
              <w:rPr>
                <w:rFonts w:ascii="Arial" w:cs="Arial" w:eastAsia="Arial" w:hAnsi="Arial"/>
                <w:sz w:val="18"/>
                <w:szCs w:val="18"/>
                <w:color w:val="auto"/>
              </w:rPr>
              <w:t>Exercisable</w:t>
            </w: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1620" w:type="dxa"/>
            <w:vAlign w:val="bottom"/>
            <w:gridSpan w:val="2"/>
            <w:vMerge w:val="restart"/>
          </w:tcPr>
          <w:p>
            <w:pPr>
              <w:jc w:val="right"/>
              <w:ind w:right="405"/>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52,952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2,668,149</w:t>
            </w:r>
          </w:p>
        </w:tc>
        <w:tc>
          <w:tcPr>
            <w:tcW w:w="16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weighted average grant date fair value of stock options granted during the year ended December 31, 2021 and 2020 was $20.03 and $3.34, respectively.</w:t>
      </w:r>
    </w:p>
    <w:p>
      <w:pPr>
        <w:spacing w:after="0" w:line="170" w:lineRule="exact"/>
        <w:rPr>
          <w:sz w:val="20"/>
          <w:szCs w:val="20"/>
          <w:color w:val="auto"/>
        </w:rPr>
      </w:pPr>
    </w:p>
    <w:p>
      <w:pPr>
        <w:ind w:right="160" w:firstLine="589"/>
        <w:spacing w:after="0" w:line="342" w:lineRule="auto"/>
        <w:rPr>
          <w:sz w:val="20"/>
          <w:szCs w:val="20"/>
          <w:color w:val="auto"/>
        </w:rPr>
      </w:pPr>
      <w:r>
        <w:rPr>
          <w:rFonts w:ascii="Arial" w:cs="Arial" w:eastAsia="Arial" w:hAnsi="Arial"/>
          <w:sz w:val="16"/>
          <w:szCs w:val="16"/>
          <w:color w:val="auto"/>
        </w:rPr>
        <w:t>The aggregate intrinsic value of options vested and exercisable as of December 31, 2021 and 2020 is calculated based on the difference between the exercise price and the fair value of our common stock. The intrinsic value of options exercised in 2021 and 2020 was $18,534 and $245, respectively.</w:t>
      </w:r>
    </w:p>
    <w:p>
      <w:pPr>
        <w:spacing w:after="0" w:line="124"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As of December 31, 2021, the total compensation cost related to nonvested service-based awards not yet recognized is $15,708. The weighted-average period over which the nonvested awards is expected to be recognized is 3.1years.</w:t>
      </w:r>
    </w:p>
    <w:p>
      <w:pPr>
        <w:spacing w:after="0" w:line="170"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options valuation model. The fair value of employee stock options is being amortized on a straight-line basis over the requisite service period of the awards. The fair value of employee stock options was estimated using the following assumptions: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680" w:type="dxa"/>
            <w:vAlign w:val="bottom"/>
            <w:tcBorders>
              <w:bottom w:val="single" w:sz="8" w:color="CFF0FC"/>
            </w:tcBorders>
          </w:tcPr>
          <w:p>
            <w:pPr>
              <w:spacing w:after="0"/>
              <w:rPr>
                <w:sz w:val="19"/>
                <w:szCs w:val="19"/>
                <w:color w:val="auto"/>
              </w:rPr>
            </w:pPr>
          </w:p>
        </w:tc>
        <w:tc>
          <w:tcPr>
            <w:tcW w:w="196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9"/>
                <w:szCs w:val="19"/>
                <w:color w:val="auto"/>
              </w:rPr>
            </w:pPr>
          </w:p>
        </w:tc>
        <w:tc>
          <w:tcPr>
            <w:tcW w:w="198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9"/>
                <w:szCs w:val="19"/>
                <w:color w:val="auto"/>
              </w:rPr>
            </w:pPr>
          </w:p>
        </w:tc>
        <w:tc>
          <w:tcPr>
            <w:tcW w:w="198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- 1.30%</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- 1.51%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- 2.51%</w:t>
            </w:r>
          </w:p>
        </w:tc>
        <w:tc>
          <w:tcPr>
            <w:tcW w:w="12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c>
          <w:tcPr>
            <w:tcW w:w="1040" w:type="dxa"/>
            <w:vAlign w:val="bottom"/>
          </w:tcPr>
          <w:p>
            <w:pPr>
              <w:ind w:left="20"/>
              <w:spacing w:after="0"/>
              <w:rPr>
                <w:sz w:val="20"/>
                <w:szCs w:val="20"/>
                <w:color w:val="auto"/>
              </w:rPr>
            </w:pPr>
            <w:r>
              <w:rPr>
                <w:rFonts w:ascii="Arial" w:cs="Arial" w:eastAsia="Arial" w:hAnsi="Arial"/>
                <w:sz w:val="18"/>
                <w:szCs w:val="18"/>
                <w:color w:val="auto"/>
              </w:rPr>
              <w:t>- 6.44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w:t>
            </w:r>
          </w:p>
        </w:tc>
        <w:tc>
          <w:tcPr>
            <w:tcW w:w="1040" w:type="dxa"/>
            <w:vAlign w:val="bottom"/>
          </w:tcPr>
          <w:p>
            <w:pPr>
              <w:ind w:left="20"/>
              <w:spacing w:after="0"/>
              <w:rPr>
                <w:sz w:val="20"/>
                <w:szCs w:val="20"/>
                <w:color w:val="auto"/>
              </w:rPr>
            </w:pPr>
            <w:r>
              <w:rPr>
                <w:rFonts w:ascii="Arial" w:cs="Arial" w:eastAsia="Arial" w:hAnsi="Arial"/>
                <w:sz w:val="18"/>
                <w:szCs w:val="18"/>
                <w:color w:val="auto"/>
              </w:rPr>
              <w:t>- 6.40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w:t>
            </w:r>
          </w:p>
        </w:tc>
        <w:tc>
          <w:tcPr>
            <w:tcW w:w="1060" w:type="dxa"/>
            <w:vAlign w:val="bottom"/>
          </w:tcPr>
          <w:p>
            <w:pPr>
              <w:ind w:left="20"/>
              <w:spacing w:after="0"/>
              <w:rPr>
                <w:sz w:val="20"/>
                <w:szCs w:val="20"/>
                <w:color w:val="auto"/>
              </w:rPr>
            </w:pPr>
            <w:r>
              <w:rPr>
                <w:rFonts w:ascii="Arial" w:cs="Arial" w:eastAsia="Arial" w:hAnsi="Arial"/>
                <w:sz w:val="18"/>
                <w:szCs w:val="18"/>
                <w:color w:val="auto"/>
              </w:rPr>
              <w:t>- 6.37</w:t>
            </w:r>
          </w:p>
        </w:tc>
        <w:tc>
          <w:tcPr>
            <w:tcW w:w="120" w:type="dxa"/>
            <w:vAlign w:val="bottom"/>
          </w:tcPr>
          <w:p>
            <w:pPr>
              <w:spacing w:after="0"/>
              <w:rPr>
                <w:sz w:val="19"/>
                <w:szCs w:val="19"/>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9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tcPr>
          <w:p>
            <w:pPr>
              <w:jc w:val="right"/>
              <w:spacing w:after="0"/>
              <w:rPr>
                <w:sz w:val="20"/>
                <w:szCs w:val="20"/>
                <w:color w:val="auto"/>
              </w:rPr>
            </w:pPr>
            <w:r>
              <w:rPr>
                <w:rFonts w:ascii="Arial" w:cs="Arial" w:eastAsia="Arial" w:hAnsi="Arial"/>
                <w:sz w:val="18"/>
                <w:szCs w:val="18"/>
                <w:color w:val="auto"/>
              </w:rPr>
              <w:t>76.50%</w:t>
            </w:r>
          </w:p>
        </w:tc>
        <w:tc>
          <w:tcPr>
            <w:tcW w:w="1040" w:type="dxa"/>
            <w:vAlign w:val="bottom"/>
          </w:tcPr>
          <w:p>
            <w:pPr>
              <w:ind w:left="20"/>
              <w:spacing w:after="0"/>
              <w:rPr>
                <w:sz w:val="20"/>
                <w:szCs w:val="20"/>
                <w:color w:val="auto"/>
              </w:rPr>
            </w:pPr>
            <w:r>
              <w:rPr>
                <w:rFonts w:ascii="Arial" w:cs="Arial" w:eastAsia="Arial" w:hAnsi="Arial"/>
                <w:sz w:val="18"/>
                <w:szCs w:val="18"/>
                <w:color w:val="auto"/>
              </w:rPr>
              <w:t>- 79.90%</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70.70%</w:t>
            </w:r>
          </w:p>
        </w:tc>
        <w:tc>
          <w:tcPr>
            <w:tcW w:w="1040" w:type="dxa"/>
            <w:vAlign w:val="bottom"/>
          </w:tcPr>
          <w:p>
            <w:pPr>
              <w:ind w:left="20"/>
              <w:spacing w:after="0"/>
              <w:rPr>
                <w:sz w:val="20"/>
                <w:szCs w:val="20"/>
                <w:color w:val="auto"/>
              </w:rPr>
            </w:pPr>
            <w:r>
              <w:rPr>
                <w:rFonts w:ascii="Arial" w:cs="Arial" w:eastAsia="Arial" w:hAnsi="Arial"/>
                <w:sz w:val="18"/>
                <w:szCs w:val="18"/>
                <w:color w:val="auto"/>
              </w:rPr>
              <w:t>- 77.60%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72.07%</w:t>
            </w:r>
          </w:p>
        </w:tc>
        <w:tc>
          <w:tcPr>
            <w:tcW w:w="1060" w:type="dxa"/>
            <w:vAlign w:val="bottom"/>
          </w:tcPr>
          <w:p>
            <w:pPr>
              <w:ind w:left="20"/>
              <w:spacing w:after="0"/>
              <w:rPr>
                <w:sz w:val="20"/>
                <w:szCs w:val="20"/>
                <w:color w:val="auto"/>
              </w:rPr>
            </w:pPr>
            <w:r>
              <w:rPr>
                <w:rFonts w:ascii="Arial" w:cs="Arial" w:eastAsia="Arial" w:hAnsi="Arial"/>
                <w:sz w:val="18"/>
                <w:szCs w:val="18"/>
                <w:color w:val="auto"/>
              </w:rPr>
              <w:t>- 72.69%</w:t>
            </w:r>
          </w:p>
        </w:tc>
        <w:tc>
          <w:tcPr>
            <w:tcW w:w="120" w:type="dxa"/>
            <w:vAlign w:val="bottom"/>
          </w:tcPr>
          <w:p>
            <w:pPr>
              <w:spacing w:after="0"/>
              <w:rPr>
                <w:sz w:val="20"/>
                <w:szCs w:val="20"/>
                <w:color w:val="auto"/>
              </w:rPr>
            </w:pPr>
          </w:p>
        </w:tc>
      </w:tr>
      <w:tr>
        <w:trPr>
          <w:trHeight w:val="863"/>
        </w:trPr>
        <w:tc>
          <w:tcPr>
            <w:tcW w:w="4680" w:type="dxa"/>
            <w:vAlign w:val="bottom"/>
          </w:tcPr>
          <w:p>
            <w:pPr>
              <w:spacing w:after="0"/>
              <w:rPr>
                <w:sz w:val="24"/>
                <w:szCs w:val="24"/>
                <w:color w:val="auto"/>
              </w:rPr>
            </w:pPr>
          </w:p>
        </w:tc>
        <w:tc>
          <w:tcPr>
            <w:tcW w:w="1960" w:type="dxa"/>
            <w:vAlign w:val="bottom"/>
            <w:gridSpan w:val="2"/>
          </w:tcPr>
          <w:p>
            <w:pPr>
              <w:jc w:val="right"/>
              <w:ind w:right="79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weighted average assumptions used to estimate the fair value of stock options granted and stock purchase rights under the ESPP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780" w:type="dxa"/>
            <w:vAlign w:val="bottom"/>
          </w:tcPr>
          <w:p>
            <w:pPr>
              <w:spacing w:after="0"/>
              <w:rPr>
                <w:sz w:val="14"/>
                <w:szCs w:val="14"/>
                <w:color w:val="auto"/>
              </w:rPr>
            </w:pPr>
          </w:p>
        </w:tc>
        <w:tc>
          <w:tcPr>
            <w:tcW w:w="3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2021</w:t>
            </w:r>
          </w:p>
        </w:tc>
      </w:tr>
      <w:tr>
        <w:trPr>
          <w:trHeight w:val="223"/>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0.04%</w:t>
            </w: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tcPr>
          <w:p>
            <w:pPr>
              <w:jc w:val="right"/>
              <w:ind w:right="1396"/>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77.83%</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right="280" w:firstLine="597"/>
        <w:spacing w:after="0" w:line="277" w:lineRule="auto"/>
        <w:rPr>
          <w:sz w:val="20"/>
          <w:szCs w:val="20"/>
          <w:color w:val="auto"/>
        </w:rPr>
      </w:pPr>
      <w:r>
        <w:rPr>
          <w:rFonts w:ascii="Arial" w:cs="Arial" w:eastAsia="Arial" w:hAnsi="Arial"/>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Volatility: Volatility is based on an average of the historical volatilities of comparable publicly traded companies for the expected term.</w:t>
      </w:r>
    </w:p>
    <w:p>
      <w:pPr>
        <w:spacing w:after="0" w:line="225"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Risk Free Interest Rate: The risk-free rate is based on the U.S. Treasury yields in effect at the time of grant for periods corresponding with the expected term of the option.</w:t>
      </w:r>
    </w:p>
    <w:p>
      <w:pPr>
        <w:spacing w:after="0" w:line="17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7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Stock-based compensation expense recorded under ASC 718 related to options granted was allocated to research and development and general and administrative expense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0"/>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1,097</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7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10. Income Taxes</w:t>
            </w: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720" w:type="dxa"/>
            <w:vAlign w:val="bottom"/>
            <w:gridSpan w:val="13"/>
          </w:tcPr>
          <w:p>
            <w:pPr>
              <w:ind w:left="600"/>
              <w:spacing w:after="0"/>
              <w:rPr>
                <w:sz w:val="20"/>
                <w:szCs w:val="20"/>
                <w:color w:val="auto"/>
              </w:rPr>
            </w:pPr>
            <w:r>
              <w:rPr>
                <w:rFonts w:ascii="Arial" w:cs="Arial" w:eastAsia="Arial" w:hAnsi="Arial"/>
                <w:sz w:val="18"/>
                <w:szCs w:val="18"/>
                <w:color w:val="auto"/>
                <w:w w:val="90"/>
              </w:rPr>
              <w:t>The income tax provision for the years ended December 31, 2021, 2020, and 2019 are as follows (in thousands):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ind w:left="100"/>
              <w:spacing w:after="0"/>
              <w:rPr>
                <w:sz w:val="20"/>
                <w:szCs w:val="20"/>
                <w:color w:val="auto"/>
              </w:rPr>
            </w:pPr>
            <w:r>
              <w:rPr>
                <w:rFonts w:ascii="Arial" w:cs="Arial" w:eastAsia="Arial" w:hAnsi="Arial"/>
                <w:sz w:val="18"/>
                <w:szCs w:val="18"/>
                <w:b w:val="1"/>
                <w:bCs w:val="1"/>
                <w:color w:val="auto"/>
                <w:w w:val="93"/>
              </w:rPr>
              <w:t>For the Years Ended December 31,</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1720" w:type="dxa"/>
            <w:vAlign w:val="bottom"/>
          </w:tcPr>
          <w:p>
            <w:pPr>
              <w:jc w:val="right"/>
              <w:ind w:right="15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current</w:t>
            </w:r>
          </w:p>
        </w:tc>
        <w:tc>
          <w:tcPr>
            <w:tcW w:w="1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1720" w:type="dxa"/>
            <w:vAlign w:val="bottom"/>
          </w:tcPr>
          <w:p>
            <w:pPr>
              <w:jc w:val="right"/>
              <w:ind w:right="15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deferred</w:t>
            </w:r>
          </w:p>
        </w:tc>
        <w:tc>
          <w:tcPr>
            <w:tcW w:w="1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353"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A reconciliation of income tax computed at the statutory federal income tax rate to the provision for income taxes included in the accompanying statements of operations for the Company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For the Years Ended</w:t>
            </w: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360" w:type="dxa"/>
            <w:vAlign w:val="bottom"/>
          </w:tcPr>
          <w:p>
            <w:pPr>
              <w:spacing w:after="0"/>
              <w:rPr>
                <w:sz w:val="11"/>
                <w:szCs w:val="11"/>
                <w:color w:val="auto"/>
              </w:rPr>
            </w:pPr>
          </w:p>
        </w:tc>
        <w:tc>
          <w:tcPr>
            <w:tcW w:w="16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3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at statutory rate</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Stock compensation</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vMerge w:val="continue"/>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80" w:firstLine="589"/>
        <w:spacing w:after="0" w:line="342" w:lineRule="auto"/>
        <w:rPr>
          <w:sz w:val="20"/>
          <w:szCs w:val="20"/>
          <w:color w:val="auto"/>
        </w:rPr>
      </w:pPr>
      <w:r>
        <w:rPr>
          <w:rFonts w:ascii="Arial" w:cs="Arial" w:eastAsia="Arial" w:hAnsi="Arial"/>
          <w:sz w:val="16"/>
          <w:szCs w:val="16"/>
          <w:color w:val="auto"/>
        </w:rPr>
        <w:t>For the years ended December 31, 2021, 2020, and 2019, the Company’s effective tax rate is below the federal statutory income tax rate of 21% primarily due to state income taxes, net of federal benefit and the Company’s position to establish a full valuation allowance on its deferred tax assets.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tax effect of temporary differences and carryforwards that give rise to significant portions of the deferred tax assets and liabilities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20" w:type="dxa"/>
            <w:vAlign w:val="bottom"/>
            <w:tcBorders>
              <w:bottom w:val="single" w:sz="8" w:color="CCEEFF"/>
            </w:tcBorders>
          </w:tcPr>
          <w:p>
            <w:pPr>
              <w:spacing w:after="0"/>
              <w:rPr>
                <w:sz w:val="13"/>
                <w:szCs w:val="13"/>
                <w:color w:val="auto"/>
              </w:rPr>
            </w:pPr>
          </w:p>
        </w:tc>
        <w:tc>
          <w:tcPr>
            <w:tcW w:w="25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22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34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45,231</w:t>
            </w:r>
          </w:p>
        </w:tc>
        <w:tc>
          <w:tcPr>
            <w:tcW w:w="300" w:type="dxa"/>
            <w:vAlign w:val="bottom"/>
          </w:tcPr>
          <w:p>
            <w:pPr>
              <w:spacing w:after="0"/>
              <w:rPr>
                <w:sz w:val="19"/>
                <w:szCs w:val="19"/>
                <w:color w:val="auto"/>
              </w:rPr>
            </w:pPr>
          </w:p>
        </w:tc>
        <w:tc>
          <w:tcPr>
            <w:tcW w:w="540" w:type="dxa"/>
            <w:vAlign w:val="bottom"/>
            <w:gridSpan w:val="2"/>
          </w:tcPr>
          <w:p>
            <w:pPr>
              <w:jc w:val="right"/>
              <w:ind w:right="40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27,511</w:t>
            </w:r>
          </w:p>
        </w:tc>
        <w:tc>
          <w:tcPr>
            <w:tcW w:w="120" w:type="dxa"/>
            <w:vAlign w:val="bottom"/>
          </w:tcPr>
          <w:p>
            <w:pPr>
              <w:spacing w:after="0"/>
              <w:rPr>
                <w:sz w:val="19"/>
                <w:szCs w:val="19"/>
                <w:color w:val="auto"/>
              </w:rPr>
            </w:pPr>
          </w:p>
        </w:tc>
      </w:tr>
      <w:tr>
        <w:trPr>
          <w:trHeight w:val="230"/>
        </w:trPr>
        <w:tc>
          <w:tcPr>
            <w:tcW w:w="5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 compensation</w:t>
            </w:r>
          </w:p>
        </w:tc>
        <w:tc>
          <w:tcPr>
            <w:tcW w:w="2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Research and development credits</w:t>
            </w:r>
          </w:p>
        </w:tc>
        <w:tc>
          <w:tcPr>
            <w:tcW w:w="2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19"/>
                <w:szCs w:val="19"/>
                <w:color w:val="auto"/>
              </w:rPr>
            </w:pPr>
          </w:p>
        </w:tc>
      </w:tr>
      <w:tr>
        <w:trPr>
          <w:trHeight w:val="229"/>
        </w:trPr>
        <w:tc>
          <w:tcPr>
            <w:tcW w:w="5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Accruals and reserves</w:t>
            </w:r>
          </w:p>
        </w:tc>
        <w:tc>
          <w:tcPr>
            <w:tcW w:w="2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9"/>
                <w:szCs w:val="19"/>
                <w:color w:val="auto"/>
              </w:rPr>
            </w:pPr>
          </w:p>
        </w:tc>
      </w:tr>
      <w:tr>
        <w:trPr>
          <w:trHeight w:val="230"/>
        </w:trPr>
        <w:tc>
          <w:tcPr>
            <w:tcW w:w="5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Operating lease liabilities</w:t>
            </w:r>
          </w:p>
        </w:tc>
        <w:tc>
          <w:tcPr>
            <w:tcW w:w="25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r>
      <w:tr>
        <w:trPr>
          <w:trHeight w:val="22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55,619</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31,503</w:t>
            </w:r>
          </w:p>
        </w:tc>
        <w:tc>
          <w:tcPr>
            <w:tcW w:w="120" w:type="dxa"/>
            <w:vAlign w:val="bottom"/>
            <w:shd w:val="clear" w:color="auto" w:fill="CCEEFF"/>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Valuation allowance</w:t>
            </w:r>
          </w:p>
        </w:tc>
        <w:tc>
          <w:tcPr>
            <w:tcW w:w="2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(52,728)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(31,458)</w:t>
            </w:r>
          </w:p>
        </w:tc>
      </w:tr>
      <w:tr>
        <w:trPr>
          <w:trHeight w:val="223"/>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recognized</w:t>
            </w:r>
          </w:p>
        </w:tc>
        <w:tc>
          <w:tcPr>
            <w:tcW w:w="25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w:t>
            </w:r>
          </w:p>
        </w:tc>
        <w:tc>
          <w:tcPr>
            <w:tcW w:w="2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(2,854)</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Fixed assets and depreciation</w:t>
            </w:r>
          </w:p>
        </w:tc>
        <w:tc>
          <w:tcPr>
            <w:tcW w:w="2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23"/>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5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50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60" w:firstLine="589"/>
        <w:spacing w:after="0" w:line="277" w:lineRule="auto"/>
        <w:rPr>
          <w:sz w:val="20"/>
          <w:szCs w:val="20"/>
          <w:color w:val="auto"/>
        </w:rPr>
      </w:pPr>
      <w:r>
        <w:rPr>
          <w:rFonts w:ascii="Arial" w:cs="Arial" w:eastAsia="Arial" w:hAnsi="Arial"/>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70"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As of December 31, 2021 and 2020, the Company had federal net operating loss carryforwards of $159,886 and $97,665, respectively. As of December 31, 2021, the Company had state net operating loss carryforwards for New Jersey, California and Massachusetts of approximately $154,972, $4,912, and $4,640 respectively. At December 31, 2020, the Company had state net operating loss carryforwards for New Jersey, California and Massachusetts of approximately $92,805, $4,912 and $950, respectively. Federal net operating loss carryforwards of $27,515 expire beginning in the year 2033. State net operating loss carryforwards begin to expire in the year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2033. Net operating loss carryforwards related to tax years after 2017 of $132,371 do not expire. The Company also has federal and state research and development credit carryforward of approximately $6,588 and $3,470 as of December 31, 2021 and 2020, respectfully. The federal credits will begin to expire in 2034 if not utilized. The California state credits carryforward indefinitely and the New Jersey state credits expire starting in 2022.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61"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212529"/>
        </w:rPr>
        <w:t>The Company accrues interest and penalties related to unrecognized tax benefits in the Provision for income taxes line item in the statements of operations and comprehensive loss</w:t>
      </w:r>
      <w:r>
        <w:rPr>
          <w:rFonts w:ascii="Arial" w:cs="Arial" w:eastAsia="Arial" w:hAnsi="Arial"/>
          <w:sz w:val="18"/>
          <w:szCs w:val="18"/>
          <w:b w:val="1"/>
          <w:bCs w:val="1"/>
          <w:color w:val="212529"/>
        </w:rPr>
        <w:t>.</w:t>
      </w:r>
      <w:r>
        <w:rPr>
          <w:rFonts w:ascii="Arial" w:cs="Arial" w:eastAsia="Arial" w:hAnsi="Arial"/>
          <w:sz w:val="18"/>
          <w:szCs w:val="18"/>
          <w:color w:val="212529"/>
        </w:rPr>
        <w:t xml:space="preserve"> As of December 31, 2021 and 2020, the Company had not accrued any interest or penalties related to uncertain tax positions.</w:t>
      </w:r>
    </w:p>
    <w:p>
      <w:pPr>
        <w:spacing w:after="0" w:line="184"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If the ending balance of $1,654 and $877 of unrecognized tax benefits as of December 31, 2021 and 2020, respectively, were recognized, none of the recognition would affect the income tax rate. The following table summarized the activity related to the Company’s unrecognized tax benefits: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6"/>
          </w:tcPr>
          <w:p>
            <w:pPr>
              <w:ind w:left="840"/>
              <w:spacing w:after="0"/>
              <w:rPr>
                <w:sz w:val="20"/>
                <w:szCs w:val="20"/>
                <w:color w:val="auto"/>
              </w:rPr>
            </w:pPr>
            <w:r>
              <w:rPr>
                <w:rFonts w:ascii="Arial" w:cs="Arial" w:eastAsia="Arial" w:hAnsi="Arial"/>
                <w:sz w:val="14"/>
                <w:szCs w:val="14"/>
                <w:b w:val="1"/>
                <w:bCs w:val="1"/>
                <w:color w:val="auto"/>
              </w:rPr>
              <w:t>For the Years Ended</w:t>
            </w:r>
          </w:p>
        </w:tc>
      </w:tr>
      <w:tr>
        <w:trPr>
          <w:trHeight w:val="133"/>
        </w:trPr>
        <w:tc>
          <w:tcPr>
            <w:tcW w:w="7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96"/>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r>
      <w:tr>
        <w:trPr>
          <w:trHeight w:val="171"/>
        </w:trPr>
        <w:tc>
          <w:tcPr>
            <w:tcW w:w="77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2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2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positions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70"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The Company files U.S. federal and state income tax returns with varying statutes of limitations. The Company’s tax years 2013 to 2021 will remain open for examination by the federal and state authorities for three and four years, respectively, from the date of utilization of any net operating loss credits.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Net Loss per Share</w:t>
      </w:r>
    </w:p>
    <w:p>
      <w:pPr>
        <w:spacing w:after="0" w:line="117" w:lineRule="exact"/>
        <w:rPr>
          <w:sz w:val="20"/>
          <w:szCs w:val="20"/>
          <w:color w:val="auto"/>
        </w:rPr>
      </w:pPr>
    </w:p>
    <w:p>
      <w:pPr>
        <w:ind w:right="60" w:firstLine="576"/>
        <w:spacing w:after="0" w:line="263" w:lineRule="auto"/>
        <w:rPr>
          <w:sz w:val="20"/>
          <w:szCs w:val="20"/>
          <w:color w:val="auto"/>
        </w:rPr>
      </w:pPr>
      <w:r>
        <w:rPr>
          <w:rFonts w:ascii="Arial" w:cs="Arial" w:eastAsia="Arial" w:hAnsi="Arial"/>
          <w:sz w:val="18"/>
          <w:szCs w:val="18"/>
          <w:color w:val="auto"/>
        </w:rPr>
        <w:t>The Company’s convertible preferred stock does not participate in losses. The Company excluded all outstanding stock options and restricted stock awards at each period end from the computation of diluted net loss per share attributable to common stockholders for the periods indicated because including them would have had an anti-dilutive effect.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For the Years Ended December 31,</w:t>
            </w:r>
          </w:p>
        </w:tc>
        <w:tc>
          <w:tcPr>
            <w:tcW w:w="1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480" w:type="dxa"/>
            <w:vAlign w:val="bottom"/>
          </w:tcPr>
          <w:p>
            <w:pPr>
              <w:spacing w:after="0"/>
              <w:rPr>
                <w:sz w:val="19"/>
                <w:szCs w:val="19"/>
                <w:color w:val="auto"/>
              </w:rPr>
            </w:pPr>
          </w:p>
        </w:tc>
        <w:tc>
          <w:tcPr>
            <w:tcW w:w="1740" w:type="dxa"/>
            <w:vAlign w:val="bottom"/>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90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c>
          <w:tcPr>
            <w:tcW w:w="1720" w:type="dxa"/>
            <w:vAlign w:val="bottom"/>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22,866,246</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Pr>
          <w:p>
            <w:pPr>
              <w:spacing w:after="0"/>
              <w:rPr>
                <w:sz w:val="19"/>
                <w:szCs w:val="19"/>
                <w:color w:val="auto"/>
              </w:rPr>
            </w:pPr>
          </w:p>
        </w:tc>
      </w:tr>
      <w:tr>
        <w:trPr>
          <w:trHeight w:val="22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issued and outstanding</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4,246,007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4,090,970</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2,767,868</w:t>
            </w:r>
          </w:p>
        </w:tc>
        <w:tc>
          <w:tcPr>
            <w:tcW w:w="120" w:type="dxa"/>
            <w:vAlign w:val="bottom"/>
            <w:shd w:val="clear" w:color="auto" w:fill="CCEEFF"/>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4,246,007</w:t>
            </w:r>
          </w:p>
        </w:tc>
        <w:tc>
          <w:tcPr>
            <w:tcW w:w="3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4,090,970</w:t>
            </w:r>
          </w:p>
        </w:tc>
        <w:tc>
          <w:tcPr>
            <w:tcW w:w="28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25,644,914</w:t>
            </w:r>
          </w:p>
        </w:tc>
        <w:tc>
          <w:tcPr>
            <w:tcW w:w="12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5480" w:type="dxa"/>
            <w:vAlign w:val="bottom"/>
          </w:tcPr>
          <w:p>
            <w:pPr>
              <w:spacing w:after="0"/>
              <w:rPr>
                <w:sz w:val="24"/>
                <w:szCs w:val="24"/>
                <w:color w:val="auto"/>
              </w:rPr>
            </w:pPr>
          </w:p>
        </w:tc>
        <w:tc>
          <w:tcPr>
            <w:tcW w:w="1740" w:type="dxa"/>
            <w:vAlign w:val="bottom"/>
          </w:tcPr>
          <w:p>
            <w:pPr>
              <w:jc w:val="right"/>
              <w:ind w:right="1373"/>
              <w:spacing w:after="0"/>
              <w:rPr>
                <w:sz w:val="20"/>
                <w:szCs w:val="20"/>
                <w:color w:val="auto"/>
              </w:rPr>
            </w:pPr>
            <w:r>
              <w:rPr>
                <w:rFonts w:ascii="Arial" w:cs="Arial" w:eastAsia="Arial" w:hAnsi="Arial"/>
                <w:sz w:val="18"/>
                <w:szCs w:val="18"/>
                <w:color w:val="auto"/>
                <w:w w:val="86"/>
              </w:rPr>
              <w:t>142</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jc w:val="center"/>
        <w:spacing w:after="0"/>
        <w:rPr>
          <w:sz w:val="20"/>
          <w:szCs w:val="20"/>
          <w:color w:val="auto"/>
        </w:rPr>
      </w:pPr>
      <w:r>
        <w:rPr>
          <w:rFonts w:ascii="Arial" w:cs="Arial" w:eastAsia="Arial" w:hAnsi="Arial"/>
          <w:sz w:val="20"/>
          <w:szCs w:val="20"/>
          <w:b w:val="1"/>
          <w:bCs w:val="1"/>
          <w:color w:val="auto"/>
        </w:rPr>
        <w:t>December 31, 2021 and 2020</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For the Years Ended December 31,</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(34,440)</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spacing w:after="0"/>
              <w:rPr>
                <w:sz w:val="19"/>
                <w:szCs w:val="19"/>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Weighted-average number of shares - basic and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45,137,656</w:t>
            </w:r>
          </w:p>
        </w:tc>
        <w:tc>
          <w:tcPr>
            <w:tcW w:w="3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14,364,475</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3,035,243</w:t>
            </w:r>
          </w:p>
        </w:tc>
        <w:tc>
          <w:tcPr>
            <w:tcW w:w="120" w:type="dxa"/>
            <w:vAlign w:val="bottom"/>
            <w:tcBorders>
              <w:bottom w:val="single" w:sz="8" w:color="CCEEFF"/>
            </w:tcBorders>
          </w:tcPr>
          <w:p>
            <w:pPr>
              <w:spacing w:after="0"/>
              <w:rPr>
                <w:sz w:val="20"/>
                <w:szCs w:val="20"/>
                <w:color w:val="auto"/>
              </w:rPr>
            </w:pP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Related Parties</w:t>
      </w:r>
    </w:p>
    <w:p>
      <w:pPr>
        <w:spacing w:after="0" w:line="225"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The Company has consulting agreements with two members of its board of directors. The total of consulting fees paid as of the years ended December 31, 2021 and December 31, 2020 were $110 and $112, respectively. In May of 2021, the two members of the board of directors were awarded 5,781 options of company stock each, as per their updated Scientific Advisory Board agreements. There were no amounts owed under the consulting agreements as of December 31, 2021 or December 31, 2020.</w:t>
      </w:r>
    </w:p>
    <w:p>
      <w:pPr>
        <w:spacing w:after="0" w:line="187" w:lineRule="exact"/>
        <w:rPr>
          <w:sz w:val="20"/>
          <w:szCs w:val="20"/>
          <w:color w:val="auto"/>
        </w:rPr>
      </w:pPr>
    </w:p>
    <w:p>
      <w:pPr>
        <w:ind w:right="40" w:firstLine="589"/>
        <w:spacing w:after="0" w:line="308" w:lineRule="auto"/>
        <w:rPr>
          <w:sz w:val="20"/>
          <w:szCs w:val="20"/>
          <w:color w:val="auto"/>
        </w:rPr>
      </w:pPr>
      <w:r>
        <w:rPr>
          <w:rFonts w:ascii="Arial" w:cs="Arial" w:eastAsia="Arial" w:hAnsi="Arial"/>
          <w:sz w:val="17"/>
          <w:szCs w:val="17"/>
          <w:color w:val="auto"/>
        </w:rPr>
        <w:t>During the fiscal year ended December 31, 2020, an investor provided $65 of financial consulting services to the Company. The Company has paid the entirety of the fees as of December 31, 2020. No amounts were paid or owed to the investors as of the year ended December 31,2021.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7" w:name="page148"/>
    <w:bookmarkEnd w:id="147"/>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As of December 31, 2021, the Company conducted an evaluation, under the supervision and with the participation of our management, including our Chief Executive Officer and Chief Financial Officer, of the effectiveness of our disclosure controls and procedures, as such term is defined under Rule 13a-15(e) promulgated under the Securities Exchange Act of 1934, as amended (“the Exchange Act”). Based on this evaluation, our Chief Executive Officer and Chief Financial Officer concluded that the design and operation of our disclosure controls and procedures were effective at the reasonable assurance level as of the end of the period covered by this Annual Report on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 xml:space="preserve">Our management is also responsible for establishing and maintaining for us adequate internal control over financial reporting, as such term is defined in Exchange Act Rule 13a-15(f). Under the supervision and with the participation of our management, including our Chief Executive Officer and Chief Financial Officer, our management conducted an evaluation of the effectiveness of our internal control over financial reporting based on the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w:t>
      </w:r>
      <w:r>
        <w:rPr>
          <w:rFonts w:ascii="Arial" w:cs="Arial" w:eastAsia="Arial" w:hAnsi="Arial"/>
          <w:sz w:val="16"/>
          <w:szCs w:val="16"/>
          <w:color w:val="auto"/>
        </w:rPr>
        <w:t>Framework (2013 framework) issued by the Committee of Sponsoring Organizations of the Treadway Commission. Based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under this framework, our management concluded that our internal control over financial reporting was effective as of December 31, 2021.</w:t>
      </w:r>
    </w:p>
    <w:p>
      <w:pPr>
        <w:spacing w:after="0" w:line="16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Ernst &amp; Young LLP, an independent registered public accounting firm, as stated in their report included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Internal Control</w:t>
      </w:r>
    </w:p>
    <w:p>
      <w:pPr>
        <w:spacing w:after="0" w:line="121" w:lineRule="exact"/>
        <w:rPr>
          <w:sz w:val="20"/>
          <w:szCs w:val="20"/>
          <w:color w:val="auto"/>
        </w:rPr>
      </w:pPr>
    </w:p>
    <w:p>
      <w:pPr>
        <w:ind w:right="20" w:firstLine="540"/>
        <w:spacing w:after="0" w:line="34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fourth quarter of the year ended December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48" w:name="page149"/>
    <w:bookmarkEnd w:id="148"/>
    <w:p>
      <w:pPr>
        <w:ind w:right="2500" w:firstLine="2535"/>
        <w:spacing w:after="0" w:line="38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PMV Pharmaceuticals,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audited PMV Pharmaceuticals, Inc.’s internal control over financial reporting as of December 31, 2021, based on criteria established in Internal Control—Integrated Framework issued by the Committee of Sponsoring Organizations of the Treadway Commission (2013 framework) (the COSO criteria). In our opinion, PMV Pharmaceuticals, Inc. (the “Company”) maintained, in all material respects, effective internal control over financial reporting as of December 31, 2021, based on the COSO criteria.</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balance sheets of the Company as of December 31, 2021 and 2020, the related statements of operations and comprehensive loss, convertible preferred stock and stockholders’ (deficit) equity and cash flows for each of the three years in the period ended December 31, 2021, and the related notes and our report dated March 1, 2022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49" w:name="page150"/>
    <w:bookmarkEnd w:id="149"/>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50" w:name="page151"/>
    <w:bookmarkEnd w:id="150"/>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The information required by this item will be included under the captions “Directors and Corporate Governance,” “and “Other Matters— Section 16(a) Beneficial Ownership Reporting Compliance” in our definitive proxy statement for the annual meeting of stockholders to be held in June 2022 to be filed with the SEC on or before April 30, 2022, or the Proxy Statement, and is incorporated herein by reference.</w:t>
      </w:r>
    </w:p>
    <w:p>
      <w:pPr>
        <w:spacing w:after="0" w:line="2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information required by this item will be included under the captions “Executive Compensation,” and “Directors and Corporate Governance” in the</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Proxy Statement and is incorporated herein by reference.</w:t>
      </w:r>
    </w:p>
    <w:p>
      <w:pPr>
        <w:spacing w:after="0" w:line="3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The information required by this item will be included under the captions “Beneficial Ownership of Shares of Common Stock” and “Directors and Corporate Governance—Equity Compensation Plan Information” in the Proxy Statement and is incorporated herein by reference.</w:t>
      </w: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information required by this item will be included under the captions “Certain Relationships and Related Person Transactions” and “Directors and Corporate Governance” in the Proxy Statement and is incorporated herein by reference.</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The information required by this item will be included under the captions “Ratification of Appointment of Independent Registered Public Accounting Firm” in the Proxy Statement and is incorporated herein by reference.</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10"/>
          </w:tcPr>
          <w:p>
            <w:pPr>
              <w:jc w:val="center"/>
              <w:ind w:right="580"/>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432"/>
        </w:trPr>
        <w:tc>
          <w:tcPr>
            <w:tcW w:w="6720" w:type="dxa"/>
            <w:vAlign w:val="bottom"/>
            <w:gridSpan w:val="2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gridSpan w:val="11"/>
          </w:tcPr>
          <w:p>
            <w:pPr>
              <w:jc w:val="center"/>
              <w:ind w:right="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20" w:type="dxa"/>
            <w:vAlign w:val="bottom"/>
            <w:tcBorders>
              <w:top w:val="single" w:sz="8" w:color="auto"/>
            </w:tcBorders>
            <w:gridSpan w:val="21"/>
          </w:tcPr>
          <w:p>
            <w:pPr>
              <w:spacing w:after="0"/>
              <w:rPr>
                <w:rFonts w:ascii="Arial" w:cs="Arial" w:eastAsia="Arial" w:hAnsi="Arial"/>
                <w:sz w:val="18"/>
                <w:szCs w:val="18"/>
                <w:color w:val="0000EE"/>
                <w:w w:val="99"/>
              </w:rPr>
            </w:pPr>
            <w:hyperlink r:id="rId190">
              <w:r>
                <w:rPr>
                  <w:rFonts w:ascii="Arial" w:cs="Arial" w:eastAsia="Arial" w:hAnsi="Arial"/>
                  <w:sz w:val="18"/>
                  <w:szCs w:val="18"/>
                  <w:color w:val="0000EE"/>
                  <w:w w:val="99"/>
                </w:rPr>
                <w:t>Amended and Restated Certificate of Incorporation of the Registrant, as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90">
              <w:r>
                <w:rPr>
                  <w:rFonts w:ascii="Arial" w:cs="Arial" w:eastAsia="Arial" w:hAnsi="Arial"/>
                  <w:sz w:val="18"/>
                  <w:szCs w:val="18"/>
                  <w:color w:val="0000EE"/>
                  <w:w w:val="89"/>
                </w:rPr>
                <w:t>amended, as currently in effect.</w:t>
              </w:r>
            </w:hyperlink>
          </w:p>
        </w:tc>
        <w:tc>
          <w:tcPr>
            <w:tcW w:w="2900" w:type="dxa"/>
            <w:vAlign w:val="bottom"/>
            <w:tcBorders>
              <w:top w:val="single" w:sz="8" w:color="0000EE"/>
            </w:tcBorders>
            <w:gridSpan w:val="13"/>
          </w:tcPr>
          <w:p>
            <w:pPr>
              <w:spacing w:after="0"/>
              <w:rPr>
                <w:sz w:val="17"/>
                <w:szCs w:val="17"/>
                <w:color w:val="auto"/>
              </w:rPr>
            </w:pPr>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120" w:type="dxa"/>
            <w:vAlign w:val="bottom"/>
            <w:tcBorders>
              <w:bottom w:val="single" w:sz="8" w:color="0000EE"/>
            </w:tcBorders>
            <w:gridSpan w:val="14"/>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Amended and Restated Bylaws of the Registrant, as currently in effect.</w:t>
              </w:r>
            </w:hyperlink>
          </w:p>
        </w:tc>
        <w:tc>
          <w:tcPr>
            <w:tcW w:w="6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720" w:type="dxa"/>
            <w:vAlign w:val="bottom"/>
            <w:gridSpan w:val="21"/>
          </w:tcPr>
          <w:p>
            <w:pPr>
              <w:spacing w:after="0"/>
              <w:rPr>
                <w:sz w:val="20"/>
                <w:szCs w:val="20"/>
                <w:color w:val="auto"/>
              </w:rPr>
            </w:pPr>
            <w:r>
              <w:rPr>
                <w:rFonts w:ascii="Arial" w:cs="Arial" w:eastAsia="Arial" w:hAnsi="Arial"/>
                <w:sz w:val="18"/>
                <w:szCs w:val="18"/>
                <w:color w:val="0000EE"/>
              </w:rPr>
              <w:t>Description of Securities of the Registrant.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580" w:type="dxa"/>
            <w:vAlign w:val="bottom"/>
            <w:tcBorders>
              <w:bottom w:val="single" w:sz="8" w:color="0000EE"/>
            </w:tcBorders>
            <w:gridSpan w:val="20"/>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Amended and Restated Investors’ Rights Agreement, dated July 17, 2020, by</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92">
              <w:r>
                <w:rPr>
                  <w:rFonts w:ascii="Arial" w:cs="Arial" w:eastAsia="Arial" w:hAnsi="Arial"/>
                  <w:sz w:val="18"/>
                  <w:szCs w:val="18"/>
                  <w:color w:val="0000EE"/>
                  <w:w w:val="89"/>
                </w:rPr>
                <w:t>and among the Registrant and certain of its stockholders.</w:t>
              </w:r>
            </w:hyperlink>
          </w:p>
        </w:tc>
        <w:tc>
          <w:tcPr>
            <w:tcW w:w="16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720" w:type="dxa"/>
            <w:vAlign w:val="bottom"/>
            <w:gridSpan w:val="21"/>
          </w:tcPr>
          <w:p>
            <w:pPr>
              <w:spacing w:after="0"/>
              <w:rPr>
                <w:rFonts w:ascii="Arial" w:cs="Arial" w:eastAsia="Arial" w:hAnsi="Arial"/>
                <w:sz w:val="18"/>
                <w:szCs w:val="18"/>
                <w:color w:val="0000EE"/>
              </w:rPr>
            </w:pPr>
            <w:hyperlink r:id="rId193">
              <w:r>
                <w:rPr>
                  <w:rFonts w:ascii="Arial" w:cs="Arial" w:eastAsia="Arial" w:hAnsi="Arial"/>
                  <w:sz w:val="18"/>
                  <w:szCs w:val="18"/>
                  <w:color w:val="0000EE"/>
                </w:rPr>
                <w:t>Specimen common stock certificate of the Registrant.</w:t>
              </w:r>
            </w:hyperlink>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3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Form of Indenture.</w:t>
              </w:r>
            </w:hyperlink>
          </w:p>
        </w:tc>
        <w:tc>
          <w:tcPr>
            <w:tcW w:w="2480" w:type="dxa"/>
            <w:vAlign w:val="bottom"/>
            <w:tcBorders>
              <w:top w:val="single" w:sz="8" w:color="0000EE"/>
            </w:tcBorders>
            <w:gridSpan w:val="9"/>
          </w:tcPr>
          <w:p>
            <w:pPr>
              <w:spacing w:after="0"/>
              <w:rPr>
                <w:sz w:val="24"/>
                <w:szCs w:val="24"/>
                <w:color w:val="auto"/>
              </w:rPr>
            </w:pPr>
          </w:p>
        </w:tc>
        <w:tc>
          <w:tcPr>
            <w:tcW w:w="18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420" w:type="dxa"/>
            <w:vAlign w:val="bottom"/>
            <w:tcBorders>
              <w:bottom w:val="single" w:sz="8" w:color="0000EE"/>
            </w:tcBorders>
            <w:gridSpan w:val="18"/>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Form of Indemnification Agreement between the Registrant and each of its</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directors and executive officers.</w:t>
              </w:r>
            </w:hyperlink>
          </w:p>
        </w:tc>
        <w:tc>
          <w:tcPr>
            <w:tcW w:w="34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560" w:type="dxa"/>
            <w:vAlign w:val="bottom"/>
            <w:tcBorders>
              <w:bottom w:val="single" w:sz="8" w:color="0000EE"/>
            </w:tcBorders>
            <w:gridSpan w:val="19"/>
          </w:tcPr>
          <w:p>
            <w:pPr>
              <w:spacing w:after="0"/>
              <w:rPr>
                <w:rFonts w:ascii="Arial" w:cs="Arial" w:eastAsia="Arial" w:hAnsi="Arial"/>
                <w:sz w:val="18"/>
                <w:szCs w:val="18"/>
                <w:color w:val="0000EE"/>
                <w:w w:val="89"/>
              </w:rPr>
            </w:pPr>
            <w:hyperlink r:id="rId196">
              <w:r>
                <w:rPr>
                  <w:rFonts w:ascii="Arial" w:cs="Arial" w:eastAsia="Arial" w:hAnsi="Arial"/>
                  <w:sz w:val="18"/>
                  <w:szCs w:val="18"/>
                  <w:color w:val="0000EE"/>
                  <w:w w:val="89"/>
                </w:rPr>
                <w:t>2013 Equity Incentive Plan, as amended, and forms of agreement thereunder.</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5720" w:type="dxa"/>
            <w:vAlign w:val="bottom"/>
            <w:gridSpan w:val="21"/>
          </w:tcPr>
          <w:p>
            <w:pPr>
              <w:spacing w:after="0"/>
              <w:rPr>
                <w:rFonts w:ascii="Arial" w:cs="Arial" w:eastAsia="Arial" w:hAnsi="Arial"/>
                <w:sz w:val="18"/>
                <w:szCs w:val="18"/>
                <w:color w:val="0000EE"/>
              </w:rPr>
            </w:pPr>
            <w:hyperlink r:id="rId197">
              <w:r>
                <w:rPr>
                  <w:rFonts w:ascii="Arial" w:cs="Arial" w:eastAsia="Arial" w:hAnsi="Arial"/>
                  <w:sz w:val="18"/>
                  <w:szCs w:val="18"/>
                  <w:color w:val="0000EE"/>
                </w:rPr>
                <w:t>2020 Equity Incentive Plan and forms of agreements thereunder.</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340" w:type="dxa"/>
            <w:vAlign w:val="bottom"/>
            <w:tcBorders>
              <w:bottom w:val="single" w:sz="8" w:color="0000EE"/>
            </w:tcBorders>
            <w:gridSpan w:val="17"/>
          </w:tcPr>
          <w:p>
            <w:pPr>
              <w:spacing w:after="0"/>
              <w:rPr>
                <w:rFonts w:ascii="Arial" w:cs="Arial" w:eastAsia="Arial" w:hAnsi="Arial"/>
                <w:sz w:val="18"/>
                <w:szCs w:val="18"/>
                <w:color w:val="0000EE"/>
                <w:w w:val="88"/>
              </w:rPr>
            </w:pPr>
            <w:hyperlink r:id="rId198">
              <w:r>
                <w:rPr>
                  <w:rFonts w:ascii="Arial" w:cs="Arial" w:eastAsia="Arial" w:hAnsi="Arial"/>
                  <w:sz w:val="18"/>
                  <w:szCs w:val="18"/>
                  <w:color w:val="0000EE"/>
                  <w:w w:val="88"/>
                </w:rPr>
                <w:t>2020 Employee Stock Purchase Plan and forms of agreements thereunder.</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5040" w:type="dxa"/>
            <w:vAlign w:val="bottom"/>
            <w:tcBorders>
              <w:bottom w:val="single" w:sz="8" w:color="0000EE"/>
            </w:tcBorders>
            <w:gridSpan w:val="13"/>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Employment Offer Letter, dated August 17, 2020, by and between the</w:t>
              </w:r>
            </w:hyperlink>
          </w:p>
        </w:tc>
        <w:tc>
          <w:tcPr>
            <w:tcW w:w="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Registrant and David H. Mack, Ph.D.</w:t>
              </w:r>
            </w:hyperlink>
          </w:p>
        </w:tc>
        <w:tc>
          <w:tcPr>
            <w:tcW w:w="30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5040" w:type="dxa"/>
            <w:vAlign w:val="bottom"/>
            <w:tcBorders>
              <w:bottom w:val="single" w:sz="8" w:color="0000EE"/>
            </w:tcBorders>
            <w:gridSpan w:val="13"/>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Employment Offer Letter, dated August 17, 2020, by and between the</w:t>
              </w:r>
            </w:hyperlink>
          </w:p>
        </w:tc>
        <w:tc>
          <w:tcPr>
            <w:tcW w:w="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gridSpan w:val="21"/>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Registrant and Winston Kung</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5040" w:type="dxa"/>
            <w:vAlign w:val="bottom"/>
            <w:tcBorders>
              <w:bottom w:val="single" w:sz="8" w:color="0000EE"/>
            </w:tcBorders>
            <w:gridSpan w:val="13"/>
          </w:tcPr>
          <w:p>
            <w:pPr>
              <w:spacing w:after="0"/>
              <w:rPr>
                <w:rFonts w:ascii="Arial" w:cs="Arial" w:eastAsia="Arial" w:hAnsi="Arial"/>
                <w:sz w:val="18"/>
                <w:szCs w:val="18"/>
                <w:color w:val="0000EE"/>
                <w:w w:val="90"/>
              </w:rPr>
            </w:pPr>
            <w:hyperlink r:id="rId201">
              <w:r>
                <w:rPr>
                  <w:rFonts w:ascii="Arial" w:cs="Arial" w:eastAsia="Arial" w:hAnsi="Arial"/>
                  <w:sz w:val="18"/>
                  <w:szCs w:val="18"/>
                  <w:color w:val="0000EE"/>
                  <w:w w:val="90"/>
                </w:rPr>
                <w:t>Employment Offer Letter, dated August 18, 2020, by and between the</w:t>
              </w:r>
            </w:hyperlink>
          </w:p>
        </w:tc>
        <w:tc>
          <w:tcPr>
            <w:tcW w:w="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Registrant and Leila Alland, M.D.</w:t>
              </w:r>
            </w:hyperlink>
          </w:p>
        </w:tc>
        <w:tc>
          <w:tcPr>
            <w:tcW w:w="32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5720" w:type="dxa"/>
            <w:vAlign w:val="bottom"/>
            <w:gridSpan w:val="21"/>
          </w:tcPr>
          <w:p>
            <w:pPr>
              <w:spacing w:after="0"/>
              <w:rPr>
                <w:rFonts w:ascii="Arial" w:cs="Arial" w:eastAsia="Arial" w:hAnsi="Arial"/>
                <w:sz w:val="18"/>
                <w:szCs w:val="18"/>
                <w:color w:val="0000EE"/>
                <w:w w:val="99"/>
              </w:rPr>
            </w:pPr>
            <w:hyperlink w:anchor="page156">
              <w:r>
                <w:rPr>
                  <w:rFonts w:ascii="Arial" w:cs="Arial" w:eastAsia="Arial" w:hAnsi="Arial"/>
                  <w:sz w:val="18"/>
                  <w:szCs w:val="18"/>
                  <w:color w:val="0000EE"/>
                  <w:w w:val="99"/>
                </w:rPr>
                <w:t>Employment Offer Letter, dated February 22, 2021, by and between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Registrant and Deepika Jalota, Pharm.D.</w:t>
              </w:r>
            </w:hyperlink>
          </w:p>
        </w:tc>
        <w:tc>
          <w:tcPr>
            <w:tcW w:w="2220" w:type="dxa"/>
            <w:vAlign w:val="bottom"/>
            <w:tcBorders>
              <w:top w:val="single" w:sz="8" w:color="0000EE"/>
            </w:tcBorders>
            <w:gridSpan w:val="8"/>
          </w:tcPr>
          <w:p>
            <w:pPr>
              <w:spacing w:after="0"/>
              <w:rPr>
                <w:sz w:val="17"/>
                <w:szCs w:val="17"/>
                <w:color w:val="auto"/>
              </w:rPr>
            </w:pPr>
          </w:p>
        </w:tc>
        <w:tc>
          <w:tcPr>
            <w:tcW w:w="5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5720" w:type="dxa"/>
            <w:vAlign w:val="bottom"/>
            <w:gridSpan w:val="21"/>
          </w:tcPr>
          <w:p>
            <w:pPr>
              <w:spacing w:after="0"/>
              <w:rPr>
                <w:rFonts w:ascii="Arial" w:cs="Arial" w:eastAsia="Arial" w:hAnsi="Arial"/>
                <w:sz w:val="18"/>
                <w:szCs w:val="18"/>
                <w:color w:val="0000EE"/>
              </w:rPr>
            </w:pPr>
            <w:hyperlink r:id="rId202">
              <w:r>
                <w:rPr>
                  <w:rFonts w:ascii="Arial" w:cs="Arial" w:eastAsia="Arial" w:hAnsi="Arial"/>
                  <w:sz w:val="18"/>
                  <w:szCs w:val="18"/>
                  <w:color w:val="0000EE"/>
                </w:rPr>
                <w:t>Employee Incentive Compensation Plan.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5720" w:type="dxa"/>
            <w:vAlign w:val="bottom"/>
            <w:gridSpan w:val="21"/>
          </w:tcPr>
          <w:p>
            <w:pPr>
              <w:spacing w:after="0"/>
              <w:rPr>
                <w:rFonts w:ascii="Arial" w:cs="Arial" w:eastAsia="Arial" w:hAnsi="Arial"/>
                <w:sz w:val="18"/>
                <w:szCs w:val="18"/>
                <w:color w:val="0000EE"/>
              </w:rPr>
            </w:pPr>
            <w:hyperlink r:id="rId203">
              <w:r>
                <w:rPr>
                  <w:rFonts w:ascii="Arial" w:cs="Arial" w:eastAsia="Arial" w:hAnsi="Arial"/>
                  <w:sz w:val="18"/>
                  <w:szCs w:val="18"/>
                  <w:color w:val="0000EE"/>
                </w:rPr>
                <w:t>Change in Control and Severance Policy.</w:t>
              </w:r>
            </w:hyperlink>
          </w:p>
        </w:tc>
        <w:tc>
          <w:tcPr>
            <w:tcW w:w="0" w:type="dxa"/>
            <w:vAlign w:val="bottom"/>
          </w:tcPr>
          <w:p>
            <w:pPr>
              <w:spacing w:after="0"/>
              <w:rPr>
                <w:sz w:val="1"/>
                <w:szCs w:val="1"/>
                <w:color w:val="auto"/>
              </w:rPr>
            </w:pPr>
          </w:p>
        </w:tc>
      </w:tr>
      <w:tr>
        <w:trPr>
          <w:trHeight w:val="790"/>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Borders>
              <w:top w:val="single" w:sz="8" w:color="0000EE"/>
            </w:tcBorders>
            <w:gridSpan w:val="8"/>
          </w:tcPr>
          <w:p>
            <w:pPr>
              <w:spacing w:after="0"/>
              <w:rPr>
                <w:sz w:val="24"/>
                <w:szCs w:val="24"/>
                <w:color w:val="auto"/>
              </w:rPr>
            </w:pPr>
          </w:p>
        </w:tc>
        <w:tc>
          <w:tcPr>
            <w:tcW w:w="2080" w:type="dxa"/>
            <w:vAlign w:val="bottom"/>
            <w:gridSpan w:val="5"/>
          </w:tcPr>
          <w:p>
            <w:pPr>
              <w:jc w:val="center"/>
              <w:ind w:left="1150"/>
              <w:spacing w:after="0"/>
              <w:rPr>
                <w:sz w:val="20"/>
                <w:szCs w:val="20"/>
                <w:color w:val="auto"/>
              </w:rPr>
            </w:pPr>
            <w:r>
              <w:rPr>
                <w:rFonts w:ascii="Arial" w:cs="Arial" w:eastAsia="Arial" w:hAnsi="Arial"/>
                <w:sz w:val="18"/>
                <w:szCs w:val="18"/>
                <w:color w:val="auto"/>
                <w:w w:val="93"/>
              </w:rPr>
              <w:t>148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14"/>
                <w:szCs w:val="14"/>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File No.</w:t>
            </w:r>
          </w:p>
        </w:tc>
        <w:tc>
          <w:tcPr>
            <w:tcW w:w="140" w:type="dxa"/>
            <w:vAlign w:val="bottom"/>
          </w:tcPr>
          <w:p>
            <w:pPr>
              <w:spacing w:after="0"/>
              <w:rPr>
                <w:sz w:val="14"/>
                <w:szCs w:val="14"/>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31"/>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29, 2020</w:t>
            </w:r>
          </w:p>
        </w:tc>
      </w:tr>
      <w:tr>
        <w:trPr>
          <w:trHeight w:val="554"/>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29, 2020</w:t>
            </w:r>
          </w:p>
        </w:tc>
      </w:tr>
      <w:tr>
        <w:trPr>
          <w:trHeight w:val="33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March 3, 2021</w:t>
            </w:r>
          </w:p>
        </w:tc>
      </w:tr>
      <w:tr>
        <w:trPr>
          <w:trHeight w:val="338"/>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54"/>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r>
        <w:trPr>
          <w:trHeight w:val="323"/>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333-260012</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30"/>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3ASR</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8"/>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53"/>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r>
        <w:trPr>
          <w:trHeight w:val="338"/>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r>
        <w:trPr>
          <w:trHeight w:val="338"/>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r>
        <w:trPr>
          <w:trHeight w:val="338"/>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53"/>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53"/>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333-248627</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1580" w:type="dxa"/>
            <w:vAlign w:val="bottom"/>
          </w:tcPr>
          <w:p>
            <w:pPr>
              <w:ind w:left="220"/>
              <w:spacing w:after="0"/>
              <w:rPr>
                <w:sz w:val="20"/>
                <w:szCs w:val="20"/>
                <w:color w:val="auto"/>
              </w:rPr>
            </w:pPr>
            <w:r>
              <w:rPr>
                <w:rFonts w:ascii="Arial" w:cs="Arial" w:eastAsia="Arial" w:hAnsi="Arial"/>
                <w:sz w:val="18"/>
                <w:szCs w:val="18"/>
                <w:color w:val="auto"/>
                <w:w w:val="87"/>
              </w:rPr>
              <w:t>September 4, 2020</w:t>
            </w:r>
          </w:p>
        </w:tc>
      </w:tr>
      <w:tr>
        <w:trPr>
          <w:trHeight w:val="338"/>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333-248627</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10.10</w:t>
            </w:r>
          </w:p>
        </w:tc>
        <w:tc>
          <w:tcPr>
            <w:tcW w:w="1580" w:type="dxa"/>
            <w:vAlign w:val="bottom"/>
          </w:tcPr>
          <w:p>
            <w:pPr>
              <w:ind w:left="220"/>
              <w:spacing w:after="0"/>
              <w:rPr>
                <w:sz w:val="20"/>
                <w:szCs w:val="20"/>
                <w:color w:val="auto"/>
              </w:rPr>
            </w:pPr>
            <w:r>
              <w:rPr>
                <w:rFonts w:ascii="Arial" w:cs="Arial" w:eastAsia="Arial" w:hAnsi="Arial"/>
                <w:sz w:val="18"/>
                <w:szCs w:val="18"/>
                <w:color w:val="auto"/>
                <w:w w:val="87"/>
              </w:rPr>
              <w:t>September 4, 2020</w:t>
            </w:r>
          </w:p>
        </w:tc>
      </w:tr>
    </w:tbl>
    <w:p>
      <w:pPr>
        <w:sectPr>
          <w:pgSz w:w="11900" w:h="16838" w:orient="portrait"/>
          <w:cols w:equalWidth="0" w:num="2">
            <w:col w:w="6720" w:space="140"/>
            <w:col w:w="4380"/>
          </w:cols>
          <w:pgMar w:left="320" w:top="337" w:right="3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5620" w:type="dxa"/>
            <w:vAlign w:val="bottom"/>
            <w:tcBorders>
              <w:bottom w:val="single" w:sz="8" w:color="0000EE"/>
            </w:tcBorders>
            <w:gridSpan w:val="23"/>
          </w:tcPr>
          <w:p>
            <w:pPr>
              <w:spacing w:after="0"/>
              <w:rPr>
                <w:rFonts w:ascii="Arial" w:cs="Arial" w:eastAsia="Arial" w:hAnsi="Arial"/>
                <w:sz w:val="18"/>
                <w:szCs w:val="18"/>
                <w:color w:val="0000EE"/>
                <w:w w:val="89"/>
              </w:rPr>
            </w:pPr>
            <w:hyperlink r:id="rId205">
              <w:r>
                <w:rPr>
                  <w:rFonts w:ascii="Arial" w:cs="Arial" w:eastAsia="Arial" w:hAnsi="Arial"/>
                  <w:sz w:val="18"/>
                  <w:szCs w:val="18"/>
                  <w:color w:val="0000EE"/>
                  <w:w w:val="89"/>
                </w:rPr>
                <w:t>Amended and Restated Change in Control and Severance Policy Participation</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6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Agreement, dated August 17, 2020, by and between the Registrant and David</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H. Mack, Ph.D.</w:t>
              </w:r>
            </w:hyperlink>
          </w:p>
        </w:tc>
        <w:tc>
          <w:tcPr>
            <w:tcW w:w="4500" w:type="dxa"/>
            <w:vAlign w:val="bottom"/>
            <w:gridSpan w:val="21"/>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5620" w:type="dxa"/>
            <w:vAlign w:val="bottom"/>
            <w:tcBorders>
              <w:bottom w:val="single" w:sz="8" w:color="0000EE"/>
            </w:tcBorders>
            <w:gridSpan w:val="23"/>
          </w:tcPr>
          <w:p>
            <w:pPr>
              <w:spacing w:after="0"/>
              <w:rPr>
                <w:rFonts w:ascii="Arial" w:cs="Arial" w:eastAsia="Arial" w:hAnsi="Arial"/>
                <w:sz w:val="18"/>
                <w:szCs w:val="18"/>
                <w:color w:val="0000EE"/>
                <w:w w:val="89"/>
              </w:rPr>
            </w:pPr>
            <w:hyperlink r:id="rId206">
              <w:r>
                <w:rPr>
                  <w:rFonts w:ascii="Arial" w:cs="Arial" w:eastAsia="Arial" w:hAnsi="Arial"/>
                  <w:sz w:val="18"/>
                  <w:szCs w:val="18"/>
                  <w:color w:val="0000EE"/>
                  <w:w w:val="89"/>
                </w:rPr>
                <w:t>Amended and Restated Change in Control and Severance Policy Participation</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1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Agreement, dated August 17, 2020, by and between the Registrant and</w:t>
              </w:r>
            </w:hyperlink>
          </w:p>
        </w:tc>
        <w:tc>
          <w:tcPr>
            <w:tcW w:w="54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Winston Kung.</w:t>
              </w:r>
            </w:hyperlink>
          </w:p>
        </w:tc>
        <w:tc>
          <w:tcPr>
            <w:tcW w:w="4540" w:type="dxa"/>
            <w:vAlign w:val="bottom"/>
            <w:gridSpan w:val="22"/>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5620" w:type="dxa"/>
            <w:vAlign w:val="bottom"/>
            <w:tcBorders>
              <w:bottom w:val="single" w:sz="8" w:color="0000EE"/>
            </w:tcBorders>
            <w:gridSpan w:val="23"/>
          </w:tcPr>
          <w:p>
            <w:pPr>
              <w:spacing w:after="0"/>
              <w:rPr>
                <w:rFonts w:ascii="Arial" w:cs="Arial" w:eastAsia="Arial" w:hAnsi="Arial"/>
                <w:sz w:val="18"/>
                <w:szCs w:val="18"/>
                <w:color w:val="0000EE"/>
                <w:w w:val="89"/>
              </w:rPr>
            </w:pPr>
            <w:hyperlink r:id="rId207">
              <w:r>
                <w:rPr>
                  <w:rFonts w:ascii="Arial" w:cs="Arial" w:eastAsia="Arial" w:hAnsi="Arial"/>
                  <w:sz w:val="18"/>
                  <w:szCs w:val="18"/>
                  <w:color w:val="0000EE"/>
                  <w:w w:val="89"/>
                </w:rPr>
                <w:t>Amended and Restated Change in Control and Severance Policy Participation</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5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Agreement, dated August 18, 2020, by and between the Registrant and Leila</w:t>
              </w:r>
            </w:hyperlink>
          </w:p>
        </w:tc>
        <w:tc>
          <w:tcPr>
            <w:tcW w:w="12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640" w:type="dxa"/>
            <w:vAlign w:val="bottom"/>
            <w:gridSpan w:val="24"/>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Alland, M.D.</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562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Amended and Restated Change in Control and Severance Policy Participation</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Agreement, dated January 14, 2022, by and between the Registrant and</w:t>
              </w:r>
            </w:hyperlink>
          </w:p>
        </w:tc>
        <w:tc>
          <w:tcPr>
            <w:tcW w:w="50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Deepika Jalota, Pharm.D.</w:t>
              </w:r>
            </w:hyperlink>
          </w:p>
        </w:tc>
        <w:tc>
          <w:tcPr>
            <w:tcW w:w="3780" w:type="dxa"/>
            <w:vAlign w:val="bottom"/>
            <w:gridSpan w:val="19"/>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2840" w:type="dxa"/>
            <w:vAlign w:val="bottom"/>
            <w:tcBorders>
              <w:bottom w:val="single" w:sz="8" w:color="0000EE"/>
            </w:tcBorders>
            <w:gridSpan w:val="8"/>
          </w:tcPr>
          <w:p>
            <w:pPr>
              <w:spacing w:after="0"/>
              <w:rPr>
                <w:rFonts w:ascii="Arial" w:cs="Arial" w:eastAsia="Arial" w:hAnsi="Arial"/>
                <w:sz w:val="18"/>
                <w:szCs w:val="18"/>
                <w:color w:val="0000EE"/>
                <w:w w:val="91"/>
              </w:rPr>
            </w:pPr>
            <w:hyperlink r:id="rId208">
              <w:r>
                <w:rPr>
                  <w:rFonts w:ascii="Arial" w:cs="Arial" w:eastAsia="Arial" w:hAnsi="Arial"/>
                  <w:sz w:val="18"/>
                  <w:szCs w:val="18"/>
                  <w:color w:val="0000EE"/>
                  <w:w w:val="91"/>
                </w:rPr>
                <w:t>Outside Director Compensation Policy.</w:t>
              </w:r>
            </w:hyperlink>
          </w:p>
        </w:tc>
        <w:tc>
          <w:tcPr>
            <w:tcW w:w="2800" w:type="dxa"/>
            <w:vAlign w:val="bottom"/>
            <w:gridSpan w:val="16"/>
          </w:tcPr>
          <w:p>
            <w:pPr>
              <w:spacing w:after="0"/>
              <w:rPr>
                <w:sz w:val="24"/>
                <w:szCs w:val="24"/>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5580" w:type="dxa"/>
            <w:vAlign w:val="bottom"/>
            <w:tcBorders>
              <w:bottom w:val="single" w:sz="8" w:color="0000EE"/>
            </w:tcBorders>
            <w:gridSpan w:val="21"/>
          </w:tcPr>
          <w:p>
            <w:pPr>
              <w:spacing w:after="0"/>
              <w:rPr>
                <w:rFonts w:ascii="Arial" w:cs="Arial" w:eastAsia="Arial" w:hAnsi="Arial"/>
                <w:sz w:val="18"/>
                <w:szCs w:val="18"/>
                <w:color w:val="0000EE"/>
                <w:w w:val="89"/>
              </w:rPr>
            </w:pPr>
            <w:hyperlink r:id="rId209">
              <w:r>
                <w:rPr>
                  <w:rFonts w:ascii="Arial" w:cs="Arial" w:eastAsia="Arial" w:hAnsi="Arial"/>
                  <w:sz w:val="18"/>
                  <w:szCs w:val="18"/>
                  <w:color w:val="0000EE"/>
                  <w:w w:val="89"/>
                </w:rPr>
                <w:t>Consulting Agreement, dated January 1, 2016, by and between the Registrant</w:t>
              </w:r>
            </w:hyperlink>
          </w:p>
        </w:tc>
        <w:tc>
          <w:tcPr>
            <w:tcW w:w="6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640" w:type="dxa"/>
            <w:vAlign w:val="bottom"/>
            <w:gridSpan w:val="24"/>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and Arnold Levine, Ph.D.</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10.17*</w:t>
            </w:r>
          </w:p>
        </w:tc>
        <w:tc>
          <w:tcPr>
            <w:tcW w:w="54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Consulting Agreement, dated May 21, 2021, by and between the Registrant</w:t>
            </w:r>
          </w:p>
        </w:tc>
        <w:tc>
          <w:tcPr>
            <w:tcW w:w="20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640" w:type="dxa"/>
            <w:vAlign w:val="bottom"/>
            <w:gridSpan w:val="24"/>
          </w:tcPr>
          <w:p>
            <w:pPr>
              <w:spacing w:after="0" w:line="196" w:lineRule="exact"/>
              <w:rPr>
                <w:sz w:val="20"/>
                <w:szCs w:val="20"/>
                <w:color w:val="auto"/>
              </w:rPr>
            </w:pPr>
            <w:r>
              <w:rPr>
                <w:rFonts w:ascii="Arial" w:cs="Arial" w:eastAsia="Arial" w:hAnsi="Arial"/>
                <w:sz w:val="18"/>
                <w:szCs w:val="18"/>
                <w:color w:val="0000EE"/>
              </w:rPr>
              <w:t>and Richard Heyman, Ph.D.</w:t>
            </w:r>
            <w:r>
              <w:rPr>
                <w:rFonts w:ascii="Arial" w:cs="Arial" w:eastAsia="Arial" w:hAnsi="Arial"/>
                <w:sz w:val="18"/>
                <w:szCs w:val="18"/>
                <w:color w:val="000000"/>
              </w:rPr>
              <w:t>, as amended on July 16, 2021</w:t>
            </w:r>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auto"/>
            </w:tcBorders>
            <w:gridSpan w:val="2"/>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10.18</w:t>
            </w:r>
          </w:p>
        </w:tc>
        <w:tc>
          <w:tcPr>
            <w:tcW w:w="5640" w:type="dxa"/>
            <w:vAlign w:val="bottom"/>
            <w:gridSpan w:val="24"/>
          </w:tcPr>
          <w:p>
            <w:pPr>
              <w:spacing w:after="0"/>
              <w:rPr>
                <w:rFonts w:ascii="Arial" w:cs="Arial" w:eastAsia="Arial" w:hAnsi="Arial"/>
                <w:sz w:val="18"/>
                <w:szCs w:val="18"/>
                <w:color w:val="0000EE"/>
                <w:w w:val="92"/>
              </w:rPr>
            </w:pPr>
            <w:hyperlink r:id="rId210">
              <w:r>
                <w:rPr>
                  <w:rFonts w:ascii="Arial" w:cs="Arial" w:eastAsia="Arial" w:hAnsi="Arial"/>
                  <w:sz w:val="18"/>
                  <w:szCs w:val="18"/>
                  <w:color w:val="0000EE"/>
                  <w:w w:val="92"/>
                </w:rPr>
                <w:t>Lease Agreement, dated March 3, 2015, by and between the Registrant and</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4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Cedar Brook 2005, LP, as amended by the First Amendment to Lease dated</w:t>
              </w:r>
            </w:hyperlink>
          </w:p>
        </w:tc>
        <w:tc>
          <w:tcPr>
            <w:tcW w:w="20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640" w:type="dxa"/>
            <w:vAlign w:val="bottom"/>
            <w:gridSpan w:val="24"/>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April 24, 2017.</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55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8"/>
              </w:rPr>
              <w:t>Lease Agreement, dated January 8, 2021, by and between the Registrant and</w:t>
            </w:r>
          </w:p>
        </w:tc>
        <w:tc>
          <w:tcPr>
            <w:tcW w:w="1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640" w:type="dxa"/>
            <w:vAlign w:val="bottom"/>
            <w:gridSpan w:val="24"/>
          </w:tcPr>
          <w:p>
            <w:pPr>
              <w:spacing w:after="0" w:line="196" w:lineRule="exact"/>
              <w:rPr>
                <w:sz w:val="20"/>
                <w:szCs w:val="20"/>
                <w:color w:val="auto"/>
              </w:rPr>
            </w:pPr>
            <w:r>
              <w:rPr>
                <w:rFonts w:ascii="Arial" w:cs="Arial" w:eastAsia="Arial" w:hAnsi="Arial"/>
                <w:sz w:val="18"/>
                <w:szCs w:val="18"/>
                <w:color w:val="0000EE"/>
              </w:rPr>
              <w:t>BMR-ONE RESEARCH WAY LLC.</w:t>
            </w:r>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5200" w:type="dxa"/>
            <w:vAlign w:val="bottom"/>
            <w:tcBorders>
              <w:bottom w:val="single" w:sz="8" w:color="0000EE"/>
            </w:tcBorders>
            <w:gridSpan w:val="14"/>
          </w:tcPr>
          <w:p>
            <w:pPr>
              <w:spacing w:after="0"/>
              <w:rPr>
                <w:rFonts w:ascii="Arial" w:cs="Arial" w:eastAsia="Arial" w:hAnsi="Arial"/>
                <w:sz w:val="18"/>
                <w:szCs w:val="18"/>
                <w:color w:val="0000EE"/>
                <w:w w:val="89"/>
              </w:rPr>
            </w:pPr>
            <w:hyperlink r:id="rId211">
              <w:r>
                <w:rPr>
                  <w:rFonts w:ascii="Arial" w:cs="Arial" w:eastAsia="Arial" w:hAnsi="Arial"/>
                  <w:sz w:val="18"/>
                  <w:szCs w:val="18"/>
                  <w:color w:val="0000EE"/>
                  <w:w w:val="89"/>
                </w:rPr>
                <w:t>Open Market Sale Agreement, dated as of October 4, 2021, between the</w:t>
              </w:r>
            </w:hyperlink>
          </w:p>
        </w:tc>
        <w:tc>
          <w:tcPr>
            <w:tcW w:w="44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640" w:type="dxa"/>
            <w:vAlign w:val="bottom"/>
            <w:gridSpan w:val="24"/>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Registrant and Jefferies LLC</w:t>
              </w:r>
            </w:hyperlink>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21.1*</w:t>
            </w:r>
          </w:p>
        </w:tc>
        <w:tc>
          <w:tcPr>
            <w:tcW w:w="2080" w:type="dxa"/>
            <w:vAlign w:val="bottom"/>
            <w:tcBorders>
              <w:top w:val="single" w:sz="8" w:color="0000EE"/>
            </w:tcBorders>
            <w:gridSpan w:val="6"/>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List of Subsidiaries</w:t>
              </w:r>
            </w:hyperlink>
          </w:p>
        </w:tc>
        <w:tc>
          <w:tcPr>
            <w:tcW w:w="3560" w:type="dxa"/>
            <w:vAlign w:val="bottom"/>
            <w:gridSpan w:val="18"/>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5640" w:type="dxa"/>
            <w:vAlign w:val="bottom"/>
            <w:gridSpan w:val="24"/>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Consent of Independent Registered Public Accounting Firm.</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8"/>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552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55">
              <w:r>
                <w:rPr>
                  <w:rFonts w:ascii="Arial" w:cs="Arial" w:eastAsia="Arial" w:hAnsi="Arial"/>
                  <w:sz w:val="18"/>
                  <w:szCs w:val="18"/>
                  <w:color w:val="0000EE"/>
                  <w:w w:val="91"/>
                </w:rPr>
                <w:t>Power of Attorney (contained in the signature page to this Annual Report on</w:t>
              </w:r>
            </w:hyperlink>
          </w:p>
        </w:tc>
        <w:tc>
          <w:tcPr>
            <w:tcW w:w="1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155">
              <w:r>
                <w:rPr>
                  <w:rFonts w:ascii="Arial" w:cs="Arial" w:eastAsia="Arial" w:hAnsi="Arial"/>
                  <w:sz w:val="18"/>
                  <w:szCs w:val="18"/>
                  <w:color w:val="0000EE"/>
                  <w:w w:val="95"/>
                </w:rPr>
                <w:t>Form 10-K).</w:t>
              </w:r>
            </w:hyperlink>
          </w:p>
        </w:tc>
        <w:tc>
          <w:tcPr>
            <w:tcW w:w="4680" w:type="dxa"/>
            <w:vAlign w:val="bottom"/>
            <w:gridSpan w:val="23"/>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55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1"/>
              </w:rPr>
              <w:t>Certification of Principal Executive Officer Pursuant to Rules 13a-14(a) and</w:t>
            </w:r>
          </w:p>
        </w:tc>
        <w:tc>
          <w:tcPr>
            <w:tcW w:w="14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62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89"/>
              </w:rPr>
              <w:t>15d-14(a) under the Securities Exchange Act of 1934, as Adopted Pursuant to</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640" w:type="dxa"/>
            <w:vAlign w:val="bottom"/>
            <w:gridSpan w:val="24"/>
          </w:tcPr>
          <w:p>
            <w:pPr>
              <w:spacing w:after="0" w:line="196" w:lineRule="exact"/>
              <w:rPr>
                <w:sz w:val="20"/>
                <w:szCs w:val="20"/>
                <w:color w:val="auto"/>
              </w:rPr>
            </w:pPr>
            <w:r>
              <w:rPr>
                <w:rFonts w:ascii="Arial" w:cs="Arial" w:eastAsia="Arial" w:hAnsi="Arial"/>
                <w:sz w:val="18"/>
                <w:szCs w:val="18"/>
                <w:color w:val="0000EE"/>
              </w:rPr>
              <w:t>Section 302 of the Sarbanes-Oxley Act of 2002.</w:t>
            </w:r>
          </w:p>
        </w:tc>
      </w:tr>
      <w:tr>
        <w:trPr>
          <w:trHeight w:val="20"/>
        </w:trPr>
        <w:tc>
          <w:tcPr>
            <w:tcW w:w="1000" w:type="dxa"/>
            <w:vAlign w:val="bottom"/>
          </w:tcPr>
          <w:p>
            <w:pPr>
              <w:spacing w:after="0" w:line="20" w:lineRule="exact"/>
              <w:rPr>
                <w:sz w:val="1"/>
                <w:szCs w:val="1"/>
                <w:color w:val="auto"/>
              </w:rPr>
            </w:pPr>
          </w:p>
        </w:tc>
        <w:tc>
          <w:tcPr>
            <w:tcW w:w="3460" w:type="dxa"/>
            <w:vAlign w:val="bottom"/>
            <w:gridSpan w:val="9"/>
            <w:shd w:val="clear" w:color="auto" w:fill="0000EE"/>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5640" w:type="dxa"/>
            <w:vAlign w:val="bottom"/>
            <w:gridSpan w:val="24"/>
          </w:tcPr>
          <w:p>
            <w:pPr>
              <w:spacing w:after="0"/>
              <w:rPr>
                <w:rFonts w:ascii="Arial" w:cs="Arial" w:eastAsia="Arial" w:hAnsi="Arial"/>
                <w:sz w:val="18"/>
                <w:szCs w:val="18"/>
                <w:color w:val="0000EE"/>
                <w:w w:val="95"/>
              </w:rPr>
            </w:pPr>
            <w:hyperlink w:anchor="page175">
              <w:r>
                <w:rPr>
                  <w:rFonts w:ascii="Arial" w:cs="Arial" w:eastAsia="Arial" w:hAnsi="Arial"/>
                  <w:sz w:val="18"/>
                  <w:szCs w:val="18"/>
                  <w:color w:val="0000EE"/>
                  <w:w w:val="95"/>
                </w:rPr>
                <w:t>Certification of Principal Financial Officer Pursuant to Rules 13a-14(a) and</w:t>
              </w:r>
            </w:hyperlink>
          </w:p>
        </w:tc>
      </w:tr>
      <w:tr>
        <w:trPr>
          <w:trHeight w:val="20"/>
        </w:trPr>
        <w:tc>
          <w:tcPr>
            <w:tcW w:w="1000" w:type="dxa"/>
            <w:vAlign w:val="bottom"/>
          </w:tcPr>
          <w:p>
            <w:pPr>
              <w:spacing w:after="0" w:line="20" w:lineRule="exact"/>
              <w:rPr>
                <w:sz w:val="1"/>
                <w:szCs w:val="1"/>
                <w:color w:val="auto"/>
              </w:rPr>
            </w:pPr>
          </w:p>
        </w:tc>
        <w:tc>
          <w:tcPr>
            <w:tcW w:w="5280" w:type="dxa"/>
            <w:vAlign w:val="bottom"/>
            <w:gridSpan w:val="1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6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15d-14(a) under the Securities Exchange Act of 1934, as Adopted Pursuant to</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640" w:type="dxa"/>
            <w:vAlign w:val="bottom"/>
            <w:gridSpan w:val="24"/>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3460" w:type="dxa"/>
            <w:vAlign w:val="bottom"/>
            <w:gridSpan w:val="9"/>
            <w:shd w:val="clear" w:color="auto" w:fill="0000EE"/>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534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77">
              <w:r>
                <w:rPr>
                  <w:rFonts w:ascii="Arial" w:cs="Arial" w:eastAsia="Arial" w:hAnsi="Arial"/>
                  <w:sz w:val="18"/>
                  <w:szCs w:val="18"/>
                  <w:color w:val="0000EE"/>
                  <w:w w:val="92"/>
                </w:rPr>
                <w:t>Certification of Principal Executive Officer Pursuant to 18 U.S.C. Section</w:t>
              </w:r>
            </w:hyperlink>
          </w:p>
        </w:tc>
        <w:tc>
          <w:tcPr>
            <w:tcW w:w="30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1350, as Adopted Pursuant to Section 906 of the Sarbanes-Oxley Act of 2002.</w:t>
              </w:r>
            </w:hyperlink>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5640" w:type="dxa"/>
            <w:vAlign w:val="bottom"/>
            <w:gridSpan w:val="24"/>
          </w:tcPr>
          <w:p>
            <w:pPr>
              <w:spacing w:after="0"/>
              <w:rPr>
                <w:rFonts w:ascii="Arial" w:cs="Arial" w:eastAsia="Arial" w:hAnsi="Arial"/>
                <w:sz w:val="18"/>
                <w:szCs w:val="18"/>
                <w:color w:val="0000EE"/>
                <w:w w:val="98"/>
              </w:rPr>
            </w:pPr>
            <w:hyperlink w:anchor="page179">
              <w:r>
                <w:rPr>
                  <w:rFonts w:ascii="Arial" w:cs="Arial" w:eastAsia="Arial" w:hAnsi="Arial"/>
                  <w:sz w:val="18"/>
                  <w:szCs w:val="18"/>
                  <w:color w:val="0000EE"/>
                  <w:w w:val="98"/>
                </w:rPr>
                <w:t>Certification of Principal Financial Officer Pursuant to 18 U.S.C. Section</w:t>
              </w:r>
            </w:hyperlink>
          </w:p>
        </w:tc>
      </w:tr>
      <w:tr>
        <w:trPr>
          <w:trHeight w:val="20"/>
        </w:trPr>
        <w:tc>
          <w:tcPr>
            <w:tcW w:w="1000" w:type="dxa"/>
            <w:vAlign w:val="bottom"/>
          </w:tcPr>
          <w:p>
            <w:pPr>
              <w:spacing w:after="0" w:line="20" w:lineRule="exact"/>
              <w:rPr>
                <w:sz w:val="1"/>
                <w:szCs w:val="1"/>
                <w:color w:val="auto"/>
              </w:rPr>
            </w:pPr>
          </w:p>
        </w:tc>
        <w:tc>
          <w:tcPr>
            <w:tcW w:w="5280" w:type="dxa"/>
            <w:vAlign w:val="bottom"/>
            <w:gridSpan w:val="15"/>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79">
              <w:r>
                <w:rPr>
                  <w:rFonts w:ascii="Arial" w:cs="Arial" w:eastAsia="Arial" w:hAnsi="Arial"/>
                  <w:sz w:val="18"/>
                  <w:szCs w:val="18"/>
                  <w:color w:val="0000EE"/>
                  <w:w w:val="90"/>
                </w:rPr>
                <w:t>1350, as Adopted Pursuant to Section 906 of the Sarbanes-Oxley Act of 2002.</w:t>
              </w:r>
            </w:hyperlink>
          </w:p>
        </w:tc>
      </w:tr>
      <w:tr>
        <w:trPr>
          <w:trHeight w:val="790"/>
        </w:trPr>
        <w:tc>
          <w:tcPr>
            <w:tcW w:w="1000" w:type="dxa"/>
            <w:vAlign w:val="bottom"/>
          </w:tcPr>
          <w:p>
            <w:pPr>
              <w:spacing w:after="0"/>
              <w:rPr>
                <w:sz w:val="24"/>
                <w:szCs w:val="24"/>
                <w:color w:val="auto"/>
              </w:rPr>
            </w:pPr>
          </w:p>
        </w:tc>
        <w:tc>
          <w:tcPr>
            <w:tcW w:w="5100" w:type="dxa"/>
            <w:vAlign w:val="bottom"/>
            <w:gridSpan w:val="12"/>
          </w:tcPr>
          <w:p>
            <w:pPr>
              <w:ind w:left="448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333-248627</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10.11</w:t>
            </w:r>
          </w:p>
        </w:tc>
        <w:tc>
          <w:tcPr>
            <w:tcW w:w="1580" w:type="dxa"/>
            <w:vAlign w:val="bottom"/>
          </w:tcPr>
          <w:p>
            <w:pPr>
              <w:ind w:left="220"/>
              <w:spacing w:after="0"/>
              <w:rPr>
                <w:sz w:val="20"/>
                <w:szCs w:val="20"/>
                <w:color w:val="auto"/>
              </w:rPr>
            </w:pPr>
            <w:r>
              <w:rPr>
                <w:rFonts w:ascii="Arial" w:cs="Arial" w:eastAsia="Arial" w:hAnsi="Arial"/>
                <w:sz w:val="18"/>
                <w:szCs w:val="18"/>
                <w:color w:val="auto"/>
                <w:w w:val="87"/>
              </w:rPr>
              <w:t>September 4, 2020</w:t>
            </w:r>
          </w:p>
        </w:tc>
      </w:tr>
      <w:tr>
        <w:trPr>
          <w:trHeight w:val="770"/>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333-248627</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10.12</w:t>
            </w:r>
          </w:p>
        </w:tc>
        <w:tc>
          <w:tcPr>
            <w:tcW w:w="1580" w:type="dxa"/>
            <w:vAlign w:val="bottom"/>
          </w:tcPr>
          <w:p>
            <w:pPr>
              <w:ind w:left="220"/>
              <w:spacing w:after="0"/>
              <w:rPr>
                <w:sz w:val="20"/>
                <w:szCs w:val="20"/>
                <w:color w:val="auto"/>
              </w:rPr>
            </w:pPr>
            <w:r>
              <w:rPr>
                <w:rFonts w:ascii="Arial" w:cs="Arial" w:eastAsia="Arial" w:hAnsi="Arial"/>
                <w:sz w:val="18"/>
                <w:szCs w:val="18"/>
                <w:color w:val="auto"/>
                <w:w w:val="87"/>
              </w:rPr>
              <w:t>September 4, 2020</w:t>
            </w:r>
          </w:p>
        </w:tc>
      </w:tr>
      <w:tr>
        <w:trPr>
          <w:trHeight w:val="769"/>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333-248627</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10.13</w:t>
            </w:r>
          </w:p>
        </w:tc>
        <w:tc>
          <w:tcPr>
            <w:tcW w:w="1580" w:type="dxa"/>
            <w:vAlign w:val="bottom"/>
          </w:tcPr>
          <w:p>
            <w:pPr>
              <w:ind w:left="220"/>
              <w:spacing w:after="0"/>
              <w:rPr>
                <w:sz w:val="20"/>
                <w:szCs w:val="20"/>
                <w:color w:val="auto"/>
              </w:rPr>
            </w:pPr>
            <w:r>
              <w:rPr>
                <w:rFonts w:ascii="Arial" w:cs="Arial" w:eastAsia="Arial" w:hAnsi="Arial"/>
                <w:sz w:val="18"/>
                <w:szCs w:val="18"/>
                <w:color w:val="auto"/>
                <w:w w:val="87"/>
              </w:rPr>
              <w:t>September 4,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333-248627</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580" w:type="dxa"/>
            <w:vAlign w:val="bottom"/>
          </w:tcPr>
          <w:p>
            <w:pPr>
              <w:ind w:left="220"/>
              <w:spacing w:after="0"/>
              <w:rPr>
                <w:sz w:val="20"/>
                <w:szCs w:val="20"/>
                <w:color w:val="auto"/>
              </w:rPr>
            </w:pPr>
            <w:r>
              <w:rPr>
                <w:rFonts w:ascii="Arial" w:cs="Arial" w:eastAsia="Arial" w:hAnsi="Arial"/>
                <w:sz w:val="18"/>
                <w:szCs w:val="18"/>
                <w:color w:val="auto"/>
                <w:w w:val="87"/>
              </w:rPr>
              <w:t>September 4, 2020</w:t>
            </w:r>
          </w:p>
        </w:tc>
      </w:tr>
      <w:tr>
        <w:trPr>
          <w:trHeight w:val="338"/>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333-248627</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10.16</w:t>
            </w:r>
          </w:p>
        </w:tc>
        <w:tc>
          <w:tcPr>
            <w:tcW w:w="1580" w:type="dxa"/>
            <w:vAlign w:val="bottom"/>
          </w:tcPr>
          <w:p>
            <w:pPr>
              <w:ind w:left="220"/>
              <w:spacing w:after="0"/>
              <w:rPr>
                <w:sz w:val="20"/>
                <w:szCs w:val="20"/>
                <w:color w:val="auto"/>
              </w:rPr>
            </w:pPr>
            <w:r>
              <w:rPr>
                <w:rFonts w:ascii="Arial" w:cs="Arial" w:eastAsia="Arial" w:hAnsi="Arial"/>
                <w:sz w:val="18"/>
                <w:szCs w:val="18"/>
                <w:color w:val="auto"/>
                <w:w w:val="87"/>
              </w:rPr>
              <w:t>September 4,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center"/>
              <w:ind w:right="30"/>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1"/>
              </w:rPr>
              <w:t>333-248627</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88"/>
              </w:rPr>
              <w:t>September 4, 2020</w:t>
            </w:r>
          </w:p>
        </w:tc>
      </w:tr>
      <w:tr>
        <w:trPr>
          <w:trHeight w:val="769"/>
        </w:trPr>
        <w:tc>
          <w:tcPr>
            <w:tcW w:w="58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2"/>
              </w:rPr>
              <w:t>March 3, 2021</w:t>
            </w:r>
          </w:p>
        </w:tc>
      </w:tr>
      <w:tr>
        <w:trPr>
          <w:trHeight w:val="539"/>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88"/>
              </w:rPr>
              <w:t>S-</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1"/>
              </w:rPr>
              <w:t>333-260012</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89"/>
              </w:rPr>
              <w:t>October 4, 2021</w:t>
            </w:r>
          </w:p>
        </w:tc>
      </w:tr>
      <w:tr>
        <w:trPr>
          <w:trHeight w:val="230"/>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3"/>
              </w:rPr>
              <w:t>3ASR</w:t>
            </w: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ectPr>
          <w:pgSz w:w="11900" w:h="16838" w:orient="portrait"/>
          <w:cols w:equalWidth="0" w:num="2">
            <w:col w:w="6640" w:space="280"/>
            <w:col w:w="4200"/>
          </w:cols>
          <w:pgMar w:left="320" w:top="324" w:right="45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5660" w:type="dxa"/>
            <w:vAlign w:val="bottom"/>
          </w:tcPr>
          <w:p>
            <w:pPr>
              <w:ind w:left="160"/>
              <w:spacing w:after="0"/>
              <w:rPr>
                <w:sz w:val="20"/>
                <w:szCs w:val="20"/>
                <w:color w:val="auto"/>
              </w:rPr>
            </w:pPr>
            <w:r>
              <w:rPr>
                <w:rFonts w:ascii="Arial" w:cs="Arial" w:eastAsia="Arial" w:hAnsi="Arial"/>
                <w:sz w:val="18"/>
                <w:szCs w:val="18"/>
                <w:color w:val="auto"/>
                <w:w w:val="91"/>
              </w:rPr>
              <w:t>Inline XBRL Instance Document-the Instance Document does not appear in</w:t>
            </w:r>
          </w:p>
        </w:tc>
      </w:tr>
      <w:tr>
        <w:trPr>
          <w:trHeight w:val="216"/>
        </w:trPr>
        <w:tc>
          <w:tcPr>
            <w:tcW w:w="84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w w:val="90"/>
              </w:rPr>
              <w:t>the Interactive Data File because XBRL tags are embedded within the Inline</w:t>
            </w:r>
          </w:p>
        </w:tc>
      </w:tr>
      <w:tr>
        <w:trPr>
          <w:trHeight w:val="230"/>
        </w:trPr>
        <w:tc>
          <w:tcPr>
            <w:tcW w:w="840" w:type="dxa"/>
            <w:vAlign w:val="bottom"/>
          </w:tcPr>
          <w:p>
            <w:pPr>
              <w:spacing w:after="0"/>
              <w:rPr>
                <w:sz w:val="20"/>
                <w:szCs w:val="20"/>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XBRL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566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5660" w:type="dxa"/>
            <w:vAlign w:val="bottom"/>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566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566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5660" w:type="dxa"/>
            <w:vAlign w:val="bottom"/>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000" w:right="4440" w:hanging="992"/>
        <w:spacing w:after="0" w:line="308"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0972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6"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4"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22"/>
          <w:szCs w:val="22"/>
          <w:color w:val="auto"/>
        </w:rPr>
      </w:pPr>
      <w:r>
        <w:rPr>
          <w:rFonts w:ascii="Arial" w:cs="Arial" w:eastAsia="Arial" w:hAnsi="Arial"/>
          <w:sz w:val="18"/>
          <w:szCs w:val="18"/>
          <w:color w:val="auto"/>
        </w:rPr>
        <w:t>Indicated management contract or compensatory plan.</w:t>
      </w:r>
    </w:p>
    <w:p>
      <w:pPr>
        <w:spacing w:after="0" w:line="175" w:lineRule="exact"/>
        <w:rPr>
          <w:sz w:val="20"/>
          <w:szCs w:val="20"/>
          <w:color w:val="auto"/>
        </w:rPr>
      </w:pPr>
    </w:p>
    <w:p>
      <w:pPr>
        <w:ind w:left="580" w:hanging="572"/>
        <w:spacing w:after="0" w:line="253" w:lineRule="auto"/>
        <w:tabs>
          <w:tab w:leader="none" w:pos="580" w:val="left"/>
        </w:tabs>
        <w:numPr>
          <w:ilvl w:val="0"/>
          <w:numId w:val="75"/>
        </w:numPr>
        <w:rPr>
          <w:rFonts w:ascii="Arial" w:cs="Arial" w:eastAsia="Arial" w:hAnsi="Arial"/>
          <w:sz w:val="36"/>
          <w:szCs w:val="36"/>
          <w:color w:val="auto"/>
          <w:vertAlign w:val="superscript"/>
        </w:rPr>
      </w:pPr>
      <w:r>
        <w:rPr>
          <w:rFonts w:ascii="Arial" w:cs="Arial" w:eastAsia="Arial" w:hAnsi="Arial"/>
          <w:sz w:val="18"/>
          <w:szCs w:val="18"/>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has elected not to include summary information.</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41" w:right="6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H. Mack, Ph.D.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4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David H. Mack, Ph.D. and Winston Kung,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204"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31"/>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H. Mack</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182"/>
        </w:trPr>
        <w:tc>
          <w:tcPr>
            <w:tcW w:w="3260" w:type="dxa"/>
            <w:vAlign w:val="bottom"/>
          </w:tcPr>
          <w:p>
            <w:pPr>
              <w:jc w:val="center"/>
              <w:spacing w:after="0" w:line="182" w:lineRule="exact"/>
              <w:rPr>
                <w:sz w:val="20"/>
                <w:szCs w:val="20"/>
                <w:color w:val="auto"/>
              </w:rPr>
            </w:pPr>
            <w:r>
              <w:rPr>
                <w:rFonts w:ascii="Arial" w:cs="Arial" w:eastAsia="Arial" w:hAnsi="Arial"/>
                <w:sz w:val="18"/>
                <w:szCs w:val="18"/>
                <w:color w:val="auto"/>
                <w:w w:val="94"/>
              </w:rPr>
              <w:t>David H. Mack, Ph.D.</w:t>
            </w:r>
          </w:p>
        </w:tc>
        <w:tc>
          <w:tcPr>
            <w:tcW w:w="100" w:type="dxa"/>
            <w:vAlign w:val="bottom"/>
          </w:tcPr>
          <w:p>
            <w:pPr>
              <w:spacing w:after="0"/>
              <w:rPr>
                <w:sz w:val="15"/>
                <w:szCs w:val="15"/>
                <w:color w:val="auto"/>
              </w:rPr>
            </w:pPr>
          </w:p>
        </w:tc>
        <w:tc>
          <w:tcPr>
            <w:tcW w:w="4500" w:type="dxa"/>
            <w:vAlign w:val="bottom"/>
          </w:tcPr>
          <w:p>
            <w:pPr>
              <w:jc w:val="center"/>
              <w:spacing w:after="0" w:line="182" w:lineRule="exact"/>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30"/>
        </w:trPr>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51"/>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Winston Kung</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3"/>
              </w:rPr>
              <w:t>Chief Operating Officer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182"/>
        </w:trPr>
        <w:tc>
          <w:tcPr>
            <w:tcW w:w="3260" w:type="dxa"/>
            <w:vAlign w:val="bottom"/>
          </w:tcPr>
          <w:p>
            <w:pPr>
              <w:jc w:val="center"/>
              <w:spacing w:after="0" w:line="182" w:lineRule="exact"/>
              <w:rPr>
                <w:sz w:val="20"/>
                <w:szCs w:val="20"/>
                <w:color w:val="auto"/>
              </w:rPr>
            </w:pPr>
            <w:r>
              <w:rPr>
                <w:rFonts w:ascii="Arial" w:cs="Arial" w:eastAsia="Arial" w:hAnsi="Arial"/>
                <w:sz w:val="18"/>
                <w:szCs w:val="18"/>
                <w:color w:val="auto"/>
                <w:w w:val="92"/>
              </w:rPr>
              <w:t>Winston Kung</w:t>
            </w:r>
          </w:p>
        </w:tc>
        <w:tc>
          <w:tcPr>
            <w:tcW w:w="100" w:type="dxa"/>
            <w:vAlign w:val="bottom"/>
          </w:tcPr>
          <w:p>
            <w:pPr>
              <w:spacing w:after="0"/>
              <w:rPr>
                <w:sz w:val="15"/>
                <w:szCs w:val="15"/>
                <w:color w:val="auto"/>
              </w:rPr>
            </w:pPr>
          </w:p>
        </w:tc>
        <w:tc>
          <w:tcPr>
            <w:tcW w:w="4500" w:type="dxa"/>
            <w:vAlign w:val="bottom"/>
          </w:tcPr>
          <w:p>
            <w:pPr>
              <w:jc w:val="center"/>
              <w:spacing w:after="0" w:line="182" w:lineRule="exact"/>
              <w:rPr>
                <w:sz w:val="20"/>
                <w:szCs w:val="20"/>
                <w:color w:val="auto"/>
              </w:rPr>
            </w:pPr>
            <w:r>
              <w:rPr>
                <w:rFonts w:ascii="Arial" w:cs="Arial" w:eastAsia="Arial" w:hAnsi="Arial"/>
                <w:sz w:val="18"/>
                <w:szCs w:val="18"/>
                <w:color w:val="auto"/>
                <w:w w:val="93"/>
              </w:rPr>
              <w:t>and Chief Financial Officer</w:t>
            </w:r>
          </w:p>
        </w:tc>
        <w:tc>
          <w:tcPr>
            <w:tcW w:w="12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30"/>
        </w:trPr>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51"/>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Heyman</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Director and Chairman of the Board of</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224"/>
        </w:trPr>
        <w:tc>
          <w:tcPr>
            <w:tcW w:w="3260" w:type="dxa"/>
            <w:vAlign w:val="bottom"/>
          </w:tcPr>
          <w:p>
            <w:pPr>
              <w:jc w:val="center"/>
              <w:spacing w:after="0"/>
              <w:rPr>
                <w:sz w:val="20"/>
                <w:szCs w:val="20"/>
                <w:color w:val="auto"/>
              </w:rPr>
            </w:pPr>
            <w:r>
              <w:rPr>
                <w:rFonts w:ascii="Arial" w:cs="Arial" w:eastAsia="Arial" w:hAnsi="Arial"/>
                <w:sz w:val="18"/>
                <w:szCs w:val="18"/>
                <w:color w:val="auto"/>
                <w:w w:val="90"/>
              </w:rPr>
              <w:t>Richard Heyman, Ph.D.</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4"/>
              </w:rPr>
              <w:t>Directors</w:t>
            </w: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37"/>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Arnold Levine</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224"/>
        </w:trPr>
        <w:tc>
          <w:tcPr>
            <w:tcW w:w="3260" w:type="dxa"/>
            <w:vAlign w:val="bottom"/>
          </w:tcPr>
          <w:p>
            <w:pPr>
              <w:jc w:val="center"/>
              <w:spacing w:after="0"/>
              <w:rPr>
                <w:sz w:val="20"/>
                <w:szCs w:val="20"/>
                <w:color w:val="auto"/>
              </w:rPr>
            </w:pPr>
            <w:r>
              <w:rPr>
                <w:rFonts w:ascii="Arial" w:cs="Arial" w:eastAsia="Arial" w:hAnsi="Arial"/>
                <w:sz w:val="18"/>
                <w:szCs w:val="18"/>
                <w:color w:val="auto"/>
                <w:w w:val="94"/>
              </w:rPr>
              <w:t>Arnold Levine, Ph.D.</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37"/>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Thilo Schroeder</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224"/>
        </w:trPr>
        <w:tc>
          <w:tcPr>
            <w:tcW w:w="3260" w:type="dxa"/>
            <w:vAlign w:val="bottom"/>
          </w:tcPr>
          <w:p>
            <w:pPr>
              <w:jc w:val="center"/>
              <w:spacing w:after="0"/>
              <w:rPr>
                <w:sz w:val="20"/>
                <w:szCs w:val="20"/>
                <w:color w:val="auto"/>
              </w:rPr>
            </w:pPr>
            <w:r>
              <w:rPr>
                <w:rFonts w:ascii="Arial" w:cs="Arial" w:eastAsia="Arial" w:hAnsi="Arial"/>
                <w:sz w:val="18"/>
                <w:szCs w:val="18"/>
                <w:color w:val="auto"/>
                <w:w w:val="91"/>
              </w:rPr>
              <w:t>Thilo Schroeder, Ph.D.</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37"/>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Laurie Stelzer</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224"/>
        </w:trPr>
        <w:tc>
          <w:tcPr>
            <w:tcW w:w="3260" w:type="dxa"/>
            <w:vAlign w:val="bottom"/>
          </w:tcPr>
          <w:p>
            <w:pPr>
              <w:jc w:val="center"/>
              <w:spacing w:after="0"/>
              <w:rPr>
                <w:sz w:val="20"/>
                <w:szCs w:val="20"/>
                <w:color w:val="auto"/>
              </w:rPr>
            </w:pPr>
            <w:r>
              <w:rPr>
                <w:rFonts w:ascii="Arial" w:cs="Arial" w:eastAsia="Arial" w:hAnsi="Arial"/>
                <w:sz w:val="18"/>
                <w:szCs w:val="18"/>
                <w:color w:val="auto"/>
                <w:w w:val="91"/>
              </w:rPr>
              <w:t>Laurie Stelzer</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37"/>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Charles M. Baum</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224"/>
        </w:trPr>
        <w:tc>
          <w:tcPr>
            <w:tcW w:w="3260" w:type="dxa"/>
            <w:vAlign w:val="bottom"/>
          </w:tcPr>
          <w:p>
            <w:pPr>
              <w:jc w:val="center"/>
              <w:spacing w:after="0"/>
              <w:rPr>
                <w:sz w:val="20"/>
                <w:szCs w:val="20"/>
                <w:color w:val="auto"/>
              </w:rPr>
            </w:pPr>
            <w:r>
              <w:rPr>
                <w:rFonts w:ascii="Arial" w:cs="Arial" w:eastAsia="Arial" w:hAnsi="Arial"/>
                <w:sz w:val="18"/>
                <w:szCs w:val="18"/>
                <w:color w:val="auto"/>
                <w:w w:val="92"/>
              </w:rPr>
              <w:t>Charles M. Baum, MD., Ph.D.</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1"/>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Kirsten Flowers</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224"/>
        </w:trPr>
        <w:tc>
          <w:tcPr>
            <w:tcW w:w="3260" w:type="dxa"/>
            <w:vAlign w:val="bottom"/>
          </w:tcPr>
          <w:p>
            <w:pPr>
              <w:jc w:val="center"/>
              <w:spacing w:after="0"/>
              <w:rPr>
                <w:sz w:val="20"/>
                <w:szCs w:val="20"/>
                <w:color w:val="auto"/>
              </w:rPr>
            </w:pPr>
            <w:r>
              <w:rPr>
                <w:rFonts w:ascii="Arial" w:cs="Arial" w:eastAsia="Arial" w:hAnsi="Arial"/>
                <w:sz w:val="18"/>
                <w:szCs w:val="18"/>
                <w:color w:val="auto"/>
                <w:w w:val="93"/>
              </w:rPr>
              <w:t>Kirsten Flowers</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850"/>
        </w:trPr>
        <w:tc>
          <w:tcPr>
            <w:tcW w:w="3260" w:type="dxa"/>
            <w:vAlign w:val="bottom"/>
          </w:tcPr>
          <w:p>
            <w:pPr>
              <w:spacing w:after="0"/>
              <w:rPr>
                <w:sz w:val="24"/>
                <w:szCs w:val="24"/>
                <w:color w:val="auto"/>
              </w:rPr>
            </w:pPr>
          </w:p>
        </w:tc>
        <w:tc>
          <w:tcPr>
            <w:tcW w:w="46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151</w:t>
            </w: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55" w:name="page156"/>
    <w:bookmarkEnd w:id="155"/>
    <w:p>
      <w:pPr>
        <w:ind w:left="9820"/>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2794635" cy="531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27946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February 22, 2021</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Deepika Jalota, Pharm.D.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PMV Pharmaceuticals, Inc. Dear</w:t>
      </w:r>
    </w:p>
    <w:p>
      <w:pPr>
        <w:spacing w:after="0"/>
        <w:rPr>
          <w:sz w:val="20"/>
          <w:szCs w:val="20"/>
          <w:color w:val="auto"/>
        </w:rPr>
      </w:pPr>
      <w:r>
        <w:rPr>
          <w:rFonts w:ascii="Arial" w:cs="Arial" w:eastAsia="Arial" w:hAnsi="Arial"/>
          <w:sz w:val="20"/>
          <w:szCs w:val="20"/>
          <w:color w:val="auto"/>
        </w:rPr>
        <w:t>Deepika,</w:t>
      </w:r>
    </w:p>
    <w:p>
      <w:pPr>
        <w:jc w:val="both"/>
        <w:ind w:right="160" w:firstLine="739"/>
        <w:spacing w:after="0" w:line="260" w:lineRule="auto"/>
        <w:rPr>
          <w:sz w:val="20"/>
          <w:szCs w:val="20"/>
          <w:color w:val="auto"/>
        </w:rPr>
      </w:pPr>
      <w:r>
        <w:rPr>
          <w:rFonts w:ascii="Arial" w:cs="Arial" w:eastAsia="Arial" w:hAnsi="Arial"/>
          <w:sz w:val="19"/>
          <w:szCs w:val="19"/>
          <w:color w:val="auto"/>
        </w:rPr>
        <w:t>This letter agreement (the “</w:t>
      </w:r>
      <w:r>
        <w:rPr>
          <w:rFonts w:ascii="Arial" w:cs="Arial" w:eastAsia="Arial" w:hAnsi="Arial"/>
          <w:sz w:val="19"/>
          <w:szCs w:val="19"/>
          <w:i w:val="1"/>
          <w:iCs w:val="1"/>
          <w:color w:val="auto"/>
        </w:rPr>
        <w:t>Agreement</w:t>
      </w:r>
      <w:r>
        <w:rPr>
          <w:rFonts w:ascii="Arial" w:cs="Arial" w:eastAsia="Arial" w:hAnsi="Arial"/>
          <w:sz w:val="19"/>
          <w:szCs w:val="19"/>
          <w:color w:val="auto"/>
        </w:rPr>
        <w:t>”) is entered into between you and PMV Pharmaceuticals, Inc. (the “</w:t>
      </w:r>
      <w:r>
        <w:rPr>
          <w:rFonts w:ascii="Arial" w:cs="Arial" w:eastAsia="Arial" w:hAnsi="Arial"/>
          <w:sz w:val="19"/>
          <w:szCs w:val="19"/>
          <w:i w:val="1"/>
          <w:iCs w:val="1"/>
          <w:color w:val="auto"/>
        </w:rPr>
        <w:t>Company</w:t>
      </w:r>
      <w:r>
        <w:rPr>
          <w:rFonts w:ascii="Arial" w:cs="Arial" w:eastAsia="Arial" w:hAnsi="Arial"/>
          <w:sz w:val="19"/>
          <w:szCs w:val="19"/>
          <w:color w:val="auto"/>
        </w:rPr>
        <w:t>,” “</w:t>
      </w:r>
      <w:r>
        <w:rPr>
          <w:rFonts w:ascii="Arial" w:cs="Arial" w:eastAsia="Arial" w:hAnsi="Arial"/>
          <w:sz w:val="19"/>
          <w:szCs w:val="19"/>
          <w:i w:val="1"/>
          <w:iCs w:val="1"/>
          <w:color w:val="auto"/>
        </w:rPr>
        <w:t>PMV</w:t>
      </w:r>
      <w:r>
        <w:rPr>
          <w:rFonts w:ascii="Arial" w:cs="Arial" w:eastAsia="Arial" w:hAnsi="Arial"/>
          <w:sz w:val="19"/>
          <w:szCs w:val="19"/>
          <w:color w:val="auto"/>
        </w:rPr>
        <w:t xml:space="preserve"> </w:t>
      </w:r>
      <w:r>
        <w:rPr>
          <w:rFonts w:ascii="Arial" w:cs="Arial" w:eastAsia="Arial" w:hAnsi="Arial"/>
          <w:sz w:val="19"/>
          <w:szCs w:val="19"/>
          <w:i w:val="1"/>
          <w:iCs w:val="1"/>
          <w:color w:val="auto"/>
        </w:rPr>
        <w:t>Pharma</w:t>
      </w:r>
      <w:r>
        <w:rPr>
          <w:rFonts w:ascii="Arial" w:cs="Arial" w:eastAsia="Arial" w:hAnsi="Arial"/>
          <w:sz w:val="19"/>
          <w:szCs w:val="19"/>
          <w:color w:val="auto"/>
        </w:rPr>
        <w:t>,” or “</w:t>
      </w:r>
      <w:r>
        <w:rPr>
          <w:rFonts w:ascii="Arial" w:cs="Arial" w:eastAsia="Arial" w:hAnsi="Arial"/>
          <w:sz w:val="19"/>
          <w:szCs w:val="19"/>
          <w:i w:val="1"/>
          <w:iCs w:val="1"/>
          <w:color w:val="auto"/>
        </w:rPr>
        <w:t>we</w:t>
      </w:r>
      <w:r>
        <w:rPr>
          <w:rFonts w:ascii="Arial" w:cs="Arial" w:eastAsia="Arial" w:hAnsi="Arial"/>
          <w:sz w:val="19"/>
          <w:szCs w:val="19"/>
          <w:color w:val="auto"/>
        </w:rPr>
        <w:t>”), and amends and restates in full your earlier Employment Letter dated August 11, 2020, reflecting your promotion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related compensation changes. This Agreement is effective as of the date hereof (the “</w:t>
      </w:r>
      <w:r>
        <w:rPr>
          <w:rFonts w:ascii="Arial" w:cs="Arial" w:eastAsia="Arial" w:hAnsi="Arial"/>
          <w:sz w:val="19"/>
          <w:szCs w:val="19"/>
          <w:i w:val="1"/>
          <w:iCs w:val="1"/>
          <w:color w:val="auto"/>
        </w:rPr>
        <w:t>Effective Date</w:t>
      </w:r>
      <w:r>
        <w:rPr>
          <w:rFonts w:ascii="Arial" w:cs="Arial" w:eastAsia="Arial" w:hAnsi="Arial"/>
          <w:sz w:val="19"/>
          <w:szCs w:val="19"/>
          <w:color w:val="auto"/>
        </w:rPr>
        <w:t>”).</w:t>
      </w:r>
    </w:p>
    <w:p>
      <w:pPr>
        <w:spacing w:after="0" w:line="186" w:lineRule="exact"/>
        <w:rPr>
          <w:sz w:val="20"/>
          <w:szCs w:val="20"/>
          <w:color w:val="auto"/>
        </w:rPr>
      </w:pPr>
    </w:p>
    <w:p>
      <w:pPr>
        <w:jc w:val="both"/>
        <w:ind w:left="20" w:right="140" w:firstLine="739"/>
        <w:spacing w:after="0" w:line="248" w:lineRule="auto"/>
        <w:rPr>
          <w:sz w:val="20"/>
          <w:szCs w:val="20"/>
          <w:color w:val="auto"/>
        </w:rPr>
      </w:pPr>
      <w:r>
        <w:rPr>
          <w:rFonts w:ascii="Arial" w:cs="Arial" w:eastAsia="Arial" w:hAnsi="Arial"/>
          <w:sz w:val="20"/>
          <w:szCs w:val="20"/>
          <w:color w:val="auto"/>
        </w:rPr>
        <w:t xml:space="preserve">1. </w:t>
      </w:r>
      <w:r>
        <w:rPr>
          <w:rFonts w:ascii="Arial" w:cs="Arial" w:eastAsia="Arial" w:hAnsi="Arial"/>
          <w:sz w:val="20"/>
          <w:szCs w:val="20"/>
          <w:b w:val="1"/>
          <w:bCs w:val="1"/>
          <w:color w:val="auto"/>
        </w:rPr>
        <w:t>Position</w:t>
      </w:r>
      <w:r>
        <w:rPr>
          <w:rFonts w:ascii="Arial" w:cs="Arial" w:eastAsia="Arial" w:hAnsi="Arial"/>
          <w:sz w:val="20"/>
          <w:szCs w:val="20"/>
          <w:color w:val="auto"/>
        </w:rPr>
        <w:t>. Your new title is Chief Regulatory and Quality Officer, and you will continue to report to the Company’s Chief Executive Officer. This is a full-time position. While you render services to the Company, you will not engage in any other employment, consulting or other business activity (whether full time or part-time) that would create a conflict of interest with the Company.</w:t>
      </w:r>
    </w:p>
    <w:p>
      <w:pPr>
        <w:spacing w:after="0" w:line="19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 xml:space="preserve">2. </w:t>
      </w:r>
      <w:r>
        <w:rPr>
          <w:rFonts w:ascii="Arial" w:cs="Arial" w:eastAsia="Arial" w:hAnsi="Arial"/>
          <w:sz w:val="19"/>
          <w:szCs w:val="19"/>
          <w:b w:val="1"/>
          <w:bCs w:val="1"/>
          <w:color w:val="auto"/>
        </w:rPr>
        <w:t>Cash Compensation</w:t>
      </w:r>
      <w:r>
        <w:rPr>
          <w:rFonts w:ascii="Arial" w:cs="Arial" w:eastAsia="Arial" w:hAnsi="Arial"/>
          <w:sz w:val="19"/>
          <w:szCs w:val="19"/>
          <w:color w:val="auto"/>
        </w:rPr>
        <w:t>. Your 2020 salary of $362,250 per year, will be increased to $390,000, effective as of March 1, 2021, payable in accordance with the Company’s standard payroll schedule. This salary will be subject to adjustment pursuant to the Company’s employee compensation policies in effect from time to time. In addition, you will be eligible to be considered for an incentive bonus for each fiscal year of the Company under the Company’s Employee Incentive Compensation Plan (the “</w:t>
      </w:r>
      <w:r>
        <w:rPr>
          <w:rFonts w:ascii="Arial" w:cs="Arial" w:eastAsia="Arial" w:hAnsi="Arial"/>
          <w:sz w:val="19"/>
          <w:szCs w:val="19"/>
          <w:i w:val="1"/>
          <w:iCs w:val="1"/>
          <w:color w:val="auto"/>
        </w:rPr>
        <w:t>Incentive Plan</w:t>
      </w:r>
      <w:r>
        <w:rPr>
          <w:rFonts w:ascii="Arial" w:cs="Arial" w:eastAsia="Arial" w:hAnsi="Arial"/>
          <w:sz w:val="19"/>
          <w:szCs w:val="19"/>
          <w:color w:val="auto"/>
        </w:rPr>
        <w:t>”) or any successor plan. The bonus (if any) will be awarded based on objective or subjective criteria established by the Company’s Board of Directors (the “</w:t>
      </w:r>
      <w:r>
        <w:rPr>
          <w:rFonts w:ascii="Arial" w:cs="Arial" w:eastAsia="Arial" w:hAnsi="Arial"/>
          <w:sz w:val="19"/>
          <w:szCs w:val="19"/>
          <w:i w:val="1"/>
          <w:iCs w:val="1"/>
          <w:color w:val="auto"/>
        </w:rPr>
        <w:t>Board</w:t>
      </w:r>
      <w:r>
        <w:rPr>
          <w:rFonts w:ascii="Arial" w:cs="Arial" w:eastAsia="Arial" w:hAnsi="Arial"/>
          <w:sz w:val="19"/>
          <w:szCs w:val="19"/>
          <w:color w:val="auto"/>
        </w:rPr>
        <w:t>”) and/or the Compensation Committee of the Board (the “</w:t>
      </w:r>
      <w:r>
        <w:rPr>
          <w:rFonts w:ascii="Arial" w:cs="Arial" w:eastAsia="Arial" w:hAnsi="Arial"/>
          <w:sz w:val="19"/>
          <w:szCs w:val="19"/>
          <w:i w:val="1"/>
          <w:iCs w:val="1"/>
          <w:color w:val="auto"/>
        </w:rPr>
        <w:t>Compensation Committee</w:t>
      </w:r>
      <w:r>
        <w:rPr>
          <w:rFonts w:ascii="Arial" w:cs="Arial" w:eastAsia="Arial" w:hAnsi="Arial"/>
          <w:sz w:val="19"/>
          <w:szCs w:val="19"/>
          <w:color w:val="auto"/>
        </w:rPr>
        <w:t>”), as applicable. Your 2020 annual target bonus of 35%, will be increased for 2021 and beyond to be 40% of your annual base salary. The terms and conditions of your bonus will be set forth in the Incentive Plan, and the Board and/or the Compensation Committee reserves authority to pay discretionary bonuses. The determinations of the Board and/or the Compensation Committee, as applicable, with respect to your bonus will be final and binding.</w:t>
      </w:r>
    </w:p>
    <w:p>
      <w:pPr>
        <w:spacing w:after="0" w:line="180" w:lineRule="exact"/>
        <w:rPr>
          <w:sz w:val="20"/>
          <w:szCs w:val="20"/>
          <w:color w:val="auto"/>
        </w:rPr>
      </w:pPr>
    </w:p>
    <w:p>
      <w:pPr>
        <w:jc w:val="both"/>
        <w:ind w:right="140" w:firstLine="741"/>
        <w:spacing w:after="0" w:line="253" w:lineRule="auto"/>
        <w:rPr>
          <w:sz w:val="20"/>
          <w:szCs w:val="20"/>
          <w:color w:val="auto"/>
        </w:rPr>
      </w:pPr>
      <w:r>
        <w:rPr>
          <w:rFonts w:ascii="Arial" w:cs="Arial" w:eastAsia="Arial" w:hAnsi="Arial"/>
          <w:sz w:val="20"/>
          <w:szCs w:val="20"/>
          <w:color w:val="auto"/>
        </w:rPr>
        <w:t xml:space="preserve">3. </w:t>
      </w:r>
      <w:r>
        <w:rPr>
          <w:rFonts w:ascii="Arial" w:cs="Arial" w:eastAsia="Arial" w:hAnsi="Arial"/>
          <w:sz w:val="20"/>
          <w:szCs w:val="20"/>
          <w:b w:val="1"/>
          <w:bCs w:val="1"/>
          <w:color w:val="auto"/>
        </w:rPr>
        <w:t>Employee Benefits</w:t>
      </w:r>
      <w:r>
        <w:rPr>
          <w:rFonts w:ascii="Arial" w:cs="Arial" w:eastAsia="Arial" w:hAnsi="Arial"/>
          <w:sz w:val="20"/>
          <w:szCs w:val="20"/>
          <w:color w:val="auto"/>
        </w:rPr>
        <w:t>. As a regular employee of the Company, you will continue to be eligible to participate in a number of Company-sponsored benefits. In addition, you will continue to be entitled to paid vacation in accordance with the Company’s vacation policy, as in effect from time to time.</w:t>
      </w:r>
    </w:p>
    <w:p>
      <w:pPr>
        <w:spacing w:after="0" w:line="191" w:lineRule="exact"/>
        <w:rPr>
          <w:sz w:val="20"/>
          <w:szCs w:val="20"/>
          <w:color w:val="auto"/>
        </w:rPr>
      </w:pPr>
    </w:p>
    <w:p>
      <w:pPr>
        <w:jc w:val="both"/>
        <w:ind w:right="160" w:firstLine="739"/>
        <w:spacing w:after="0" w:line="253" w:lineRule="auto"/>
        <w:rPr>
          <w:sz w:val="20"/>
          <w:szCs w:val="20"/>
          <w:color w:val="auto"/>
        </w:rPr>
      </w:pPr>
      <w:r>
        <w:rPr>
          <w:rFonts w:ascii="Arial" w:cs="Arial" w:eastAsia="Arial" w:hAnsi="Arial"/>
          <w:sz w:val="20"/>
          <w:szCs w:val="20"/>
          <w:color w:val="auto"/>
        </w:rPr>
        <w:t xml:space="preserve">4. </w:t>
      </w:r>
      <w:r>
        <w:rPr>
          <w:rFonts w:ascii="Arial" w:cs="Arial" w:eastAsia="Arial" w:hAnsi="Arial"/>
          <w:sz w:val="20"/>
          <w:szCs w:val="20"/>
          <w:b w:val="1"/>
          <w:bCs w:val="1"/>
          <w:color w:val="auto"/>
        </w:rPr>
        <w:t>Equity Awards</w:t>
      </w:r>
      <w:r>
        <w:rPr>
          <w:rFonts w:ascii="Arial" w:cs="Arial" w:eastAsia="Arial" w:hAnsi="Arial"/>
          <w:sz w:val="20"/>
          <w:szCs w:val="20"/>
          <w:color w:val="auto"/>
        </w:rPr>
        <w:t>. You have received equity awards from the Company and these awards shall continue to be in full force and effect and governed by the terms set forth therein, as modified by the Company’s Change in Control and Severance Policy and your participation agreement thereunder (the “</w:t>
      </w:r>
      <w:r>
        <w:rPr>
          <w:rFonts w:ascii="Arial" w:cs="Arial" w:eastAsia="Arial" w:hAnsi="Arial"/>
          <w:sz w:val="20"/>
          <w:szCs w:val="20"/>
          <w:i w:val="1"/>
          <w:iCs w:val="1"/>
          <w:color w:val="auto"/>
        </w:rPr>
        <w:t>Severance Policy</w:t>
      </w:r>
      <w:r>
        <w:rPr>
          <w:rFonts w:ascii="Arial" w:cs="Arial" w:eastAsia="Arial" w:hAnsi="Arial"/>
          <w:sz w:val="20"/>
          <w:szCs w:val="20"/>
          <w:color w:val="auto"/>
        </w:rPr>
        <w:t>”).</w:t>
      </w:r>
    </w:p>
    <w:p>
      <w:pPr>
        <w:spacing w:after="0" w:line="191" w:lineRule="exact"/>
        <w:rPr>
          <w:sz w:val="20"/>
          <w:szCs w:val="20"/>
          <w:color w:val="auto"/>
        </w:rPr>
      </w:pPr>
    </w:p>
    <w:p>
      <w:pPr>
        <w:jc w:val="both"/>
        <w:ind w:right="160" w:firstLine="738"/>
        <w:spacing w:after="0" w:line="253" w:lineRule="auto"/>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b w:val="1"/>
          <w:bCs w:val="1"/>
          <w:color w:val="auto"/>
        </w:rPr>
        <w:t>Severance &amp; Change of Control Benefits</w:t>
      </w:r>
      <w:r>
        <w:rPr>
          <w:rFonts w:ascii="Arial" w:cs="Arial" w:eastAsia="Arial" w:hAnsi="Arial"/>
          <w:sz w:val="20"/>
          <w:szCs w:val="20"/>
          <w:color w:val="auto"/>
        </w:rPr>
        <w:t>. You will continue to be eligible for benefits in the Severance Policy. Accordingly, your potential severance and change of control benefits and the terms and conditions thereof are set forth in your participation agreement to the Severance Policy.</w:t>
      </w:r>
    </w:p>
    <w:p>
      <w:pPr>
        <w:spacing w:after="0" w:line="204" w:lineRule="exact"/>
        <w:rPr>
          <w:sz w:val="20"/>
          <w:szCs w:val="20"/>
          <w:color w:val="auto"/>
        </w:rPr>
      </w:pPr>
    </w:p>
    <w:p>
      <w:pPr>
        <w:ind w:left="740"/>
        <w:spacing w:after="0"/>
        <w:tabs>
          <w:tab w:leader="none" w:pos="22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As an employee of the Company, you will continue</w:t>
      </w:r>
    </w:p>
    <w:p>
      <w:pPr>
        <w:spacing w:after="0" w:line="45" w:lineRule="exact"/>
        <w:rPr>
          <w:sz w:val="20"/>
          <w:szCs w:val="20"/>
          <w:color w:val="auto"/>
        </w:rPr>
      </w:pPr>
    </w:p>
    <w:p>
      <w:pPr>
        <w:jc w:val="both"/>
        <w:ind w:right="160"/>
        <w:spacing w:after="0" w:line="244" w:lineRule="auto"/>
        <w:rPr>
          <w:sz w:val="20"/>
          <w:szCs w:val="20"/>
          <w:color w:val="auto"/>
        </w:rPr>
      </w:pPr>
      <w:r>
        <w:rPr>
          <w:rFonts w:ascii="Arial" w:cs="Arial" w:eastAsia="Arial" w:hAnsi="Arial"/>
          <w:sz w:val="20"/>
          <w:szCs w:val="20"/>
          <w:color w:val="auto"/>
        </w:rPr>
        <w:t>to have access to certain confidential information of the Company and you may, during the course of your employment, develop certain information or inventions that will be the property of the Company. To protect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479425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440" w:top="351" w:right="439" w:bottom="1440" w:gutter="0" w:footer="0" w:header="0"/>
        </w:sectPr>
      </w:pPr>
    </w:p>
    <w:bookmarkStart w:id="156" w:name="page157"/>
    <w:bookmarkEnd w:id="156"/>
    <w:p>
      <w:pPr>
        <w:jc w:val="both"/>
        <w:ind w:firstLine="1"/>
        <w:spacing w:after="0" w:line="270" w:lineRule="auto"/>
        <w:rPr>
          <w:sz w:val="20"/>
          <w:szCs w:val="20"/>
          <w:color w:val="auto"/>
        </w:rPr>
      </w:pPr>
      <w:r>
        <w:rPr>
          <w:rFonts w:ascii="Arial" w:cs="Arial" w:eastAsia="Arial" w:hAnsi="Arial"/>
          <w:sz w:val="18"/>
          <w:szCs w:val="18"/>
          <w:color w:val="auto"/>
        </w:rPr>
        <w:t>interests of the Company, your acceptance of this Agreement reaffirms that the terms of the Company’s At-Will Employment, Confidential Information, Invention Assignment, and Arbitration Agreement that you executed in connection with your hire (the “</w:t>
      </w:r>
      <w:r>
        <w:rPr>
          <w:rFonts w:ascii="Arial" w:cs="Arial" w:eastAsia="Arial" w:hAnsi="Arial"/>
          <w:sz w:val="18"/>
          <w:szCs w:val="18"/>
          <w:i w:val="1"/>
          <w:iCs w:val="1"/>
          <w:color w:val="auto"/>
        </w:rPr>
        <w:t>PIAA</w:t>
      </w:r>
      <w:r>
        <w:rPr>
          <w:rFonts w:ascii="Arial" w:cs="Arial" w:eastAsia="Arial" w:hAnsi="Arial"/>
          <w:sz w:val="18"/>
          <w:szCs w:val="18"/>
          <w:color w:val="auto"/>
        </w:rPr>
        <w:t>”) continue to be in effect. In the event of any dispute or claim relating to or arising out of our employment relationship, you and the Company agree that (i) any and all disputes between you and the Company shall be fully and finally resolved by binding arbitration,</w:t>
      </w:r>
    </w:p>
    <w:p>
      <w:pPr>
        <w:spacing w:after="0" w:line="3" w:lineRule="exact"/>
        <w:rPr>
          <w:sz w:val="20"/>
          <w:szCs w:val="20"/>
          <w:color w:val="auto"/>
        </w:rPr>
      </w:pPr>
    </w:p>
    <w:p>
      <w:pPr>
        <w:jc w:val="both"/>
        <w:ind w:firstLine="8"/>
        <w:spacing w:after="0" w:line="241" w:lineRule="auto"/>
        <w:tabs>
          <w:tab w:leader="none" w:pos="315" w:val="left"/>
        </w:tabs>
        <w:numPr>
          <w:ilvl w:val="0"/>
          <w:numId w:val="76"/>
        </w:numPr>
        <w:rPr>
          <w:rFonts w:ascii="Arial" w:cs="Arial" w:eastAsia="Arial" w:hAnsi="Arial"/>
          <w:sz w:val="20"/>
          <w:szCs w:val="20"/>
          <w:color w:val="auto"/>
        </w:rPr>
      </w:pPr>
      <w:r>
        <w:rPr>
          <w:rFonts w:ascii="Arial" w:cs="Arial" w:eastAsia="Arial" w:hAnsi="Arial"/>
          <w:sz w:val="20"/>
          <w:szCs w:val="20"/>
          <w:color w:val="auto"/>
        </w:rPr>
        <w:t>you are waiting any and all rights to a jury trial but all court remedies will be available in arbitration, (iii) all disputes shall be resolved by a neutral arbitrator who shall issue a written opinion, and (iv) the arbitration shall provide for adequate discovery, and the Company shall pay all but the first $125 of the arbitration fees.</w:t>
      </w:r>
    </w:p>
    <w:p>
      <w:pPr>
        <w:spacing w:after="0" w:line="190" w:lineRule="exact"/>
        <w:rPr>
          <w:sz w:val="20"/>
          <w:szCs w:val="20"/>
          <w:color w:val="auto"/>
        </w:rPr>
      </w:pPr>
    </w:p>
    <w:p>
      <w:pPr>
        <w:jc w:val="both"/>
        <w:ind w:right="20" w:firstLine="738"/>
        <w:spacing w:after="0" w:line="244" w:lineRule="auto"/>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b w:val="1"/>
          <w:bCs w:val="1"/>
          <w:color w:val="auto"/>
        </w:rPr>
        <w:t>Employment Relationship</w:t>
      </w:r>
      <w:r>
        <w:rPr>
          <w:rFonts w:ascii="Arial" w:cs="Arial" w:eastAsia="Arial" w:hAnsi="Arial"/>
          <w:sz w:val="20"/>
          <w:szCs w:val="20"/>
          <w:color w:val="auto"/>
        </w:rPr>
        <w:t>. Employment with the Company is for no specific period of time. Your employment with the Company continues to 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6" w:lineRule="exact"/>
        <w:rPr>
          <w:sz w:val="20"/>
          <w:szCs w:val="20"/>
          <w:color w:val="auto"/>
        </w:rPr>
      </w:pPr>
    </w:p>
    <w:p>
      <w:pPr>
        <w:ind w:left="1520" w:hanging="755"/>
        <w:spacing w:after="0"/>
        <w:tabs>
          <w:tab w:leader="none" w:pos="1520"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Tax Matters</w:t>
      </w:r>
      <w:r>
        <w:rPr>
          <w:rFonts w:ascii="Arial" w:cs="Arial" w:eastAsia="Arial" w:hAnsi="Arial"/>
          <w:sz w:val="20"/>
          <w:szCs w:val="20"/>
          <w:color w:val="auto"/>
        </w:rPr>
        <w:t>.</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60" w:type="dxa"/>
            <w:vAlign w:val="bottom"/>
          </w:tcPr>
          <w:p>
            <w:pPr>
              <w:ind w:left="1460"/>
              <w:spacing w:after="0"/>
              <w:rPr>
                <w:sz w:val="20"/>
                <w:szCs w:val="20"/>
                <w:color w:val="auto"/>
              </w:rPr>
            </w:pPr>
            <w:r>
              <w:rPr>
                <w:rFonts w:ascii="Arial" w:cs="Arial" w:eastAsia="Arial" w:hAnsi="Arial"/>
                <w:sz w:val="20"/>
                <w:szCs w:val="20"/>
                <w:color w:val="auto"/>
              </w:rPr>
              <w:t>a.</w:t>
            </w:r>
          </w:p>
        </w:tc>
        <w:tc>
          <w:tcPr>
            <w:tcW w:w="7200" w:type="dxa"/>
            <w:vAlign w:val="bottom"/>
            <w:gridSpan w:val="3"/>
          </w:tcPr>
          <w:p>
            <w:pPr>
              <w:spacing w:after="0"/>
              <w:rPr>
                <w:sz w:val="20"/>
                <w:szCs w:val="20"/>
                <w:color w:val="auto"/>
              </w:rPr>
            </w:pPr>
            <w:r>
              <w:rPr>
                <w:rFonts w:ascii="Arial" w:cs="Arial" w:eastAsia="Arial" w:hAnsi="Arial"/>
                <w:sz w:val="20"/>
                <w:szCs w:val="20"/>
                <w:color w:val="auto"/>
                <w:w w:val="98"/>
              </w:rPr>
              <w:t>Withholding. All forms of compensation referred to in this Agreement are subject to</w:t>
            </w:r>
          </w:p>
        </w:tc>
      </w:tr>
      <w:tr>
        <w:trPr>
          <w:trHeight w:val="20"/>
        </w:trPr>
        <w:tc>
          <w:tcPr>
            <w:tcW w:w="36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54"/>
        </w:trPr>
        <w:tc>
          <w:tcPr>
            <w:tcW w:w="10860" w:type="dxa"/>
            <w:vAlign w:val="bottom"/>
            <w:gridSpan w:val="4"/>
          </w:tcPr>
          <w:p>
            <w:pPr>
              <w:spacing w:after="0"/>
              <w:rPr>
                <w:sz w:val="20"/>
                <w:szCs w:val="20"/>
                <w:color w:val="auto"/>
              </w:rPr>
            </w:pPr>
            <w:r>
              <w:rPr>
                <w:rFonts w:ascii="Arial" w:cs="Arial" w:eastAsia="Arial" w:hAnsi="Arial"/>
                <w:sz w:val="20"/>
                <w:szCs w:val="20"/>
                <w:color w:val="auto"/>
              </w:rPr>
              <w:t>reduction to reflect applicable withholding and payroll taxes and other deductions required by law.</w:t>
            </w:r>
          </w:p>
        </w:tc>
      </w:tr>
      <w:tr>
        <w:trPr>
          <w:trHeight w:val="414"/>
        </w:trPr>
        <w:tc>
          <w:tcPr>
            <w:tcW w:w="3660" w:type="dxa"/>
            <w:vAlign w:val="bottom"/>
          </w:tcPr>
          <w:p>
            <w:pPr>
              <w:ind w:left="1480"/>
              <w:spacing w:after="0"/>
              <w:rPr>
                <w:sz w:val="20"/>
                <w:szCs w:val="20"/>
                <w:color w:val="auto"/>
              </w:rPr>
            </w:pPr>
            <w:r>
              <w:rPr>
                <w:rFonts w:ascii="Arial" w:cs="Arial" w:eastAsia="Arial" w:hAnsi="Arial"/>
                <w:sz w:val="20"/>
                <w:szCs w:val="20"/>
                <w:color w:val="auto"/>
              </w:rPr>
              <w:t>b.</w:t>
            </w:r>
          </w:p>
        </w:tc>
        <w:tc>
          <w:tcPr>
            <w:tcW w:w="7200" w:type="dxa"/>
            <w:vAlign w:val="bottom"/>
            <w:gridSpan w:val="3"/>
          </w:tcPr>
          <w:p>
            <w:pPr>
              <w:spacing w:after="0"/>
              <w:rPr>
                <w:sz w:val="20"/>
                <w:szCs w:val="20"/>
                <w:color w:val="auto"/>
              </w:rPr>
            </w:pPr>
            <w:r>
              <w:rPr>
                <w:rFonts w:ascii="Arial" w:cs="Arial" w:eastAsia="Arial" w:hAnsi="Arial"/>
                <w:sz w:val="20"/>
                <w:szCs w:val="20"/>
                <w:color w:val="auto"/>
                <w:w w:val="96"/>
              </w:rPr>
              <w:t>Section 409A. The parties intend that the benefits and payments provided under this</w:t>
            </w:r>
          </w:p>
        </w:tc>
      </w:tr>
      <w:tr>
        <w:trPr>
          <w:trHeight w:val="20"/>
        </w:trPr>
        <w:tc>
          <w:tcPr>
            <w:tcW w:w="3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20"/>
        <w:spacing w:after="0" w:line="278" w:lineRule="auto"/>
        <w:rPr>
          <w:sz w:val="20"/>
          <w:szCs w:val="20"/>
          <w:color w:val="auto"/>
        </w:rPr>
      </w:pPr>
      <w:r>
        <w:rPr>
          <w:rFonts w:ascii="Arial" w:cs="Arial" w:eastAsia="Arial" w:hAnsi="Arial"/>
          <w:sz w:val="18"/>
          <w:szCs w:val="18"/>
          <w:color w:val="auto"/>
        </w:rPr>
        <w:t>Agreement shall be exempt from, or comply with, the requirements of Section 409A of the Code (as it has been and may be amended from time to time) and any regulations and guidance that has been promulgated or may be promulgated from time to time thereunder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i w:val="1"/>
          <w:iCs w:val="1"/>
          <w:color w:val="auto"/>
        </w:rPr>
        <w:t>409A</w:t>
      </w:r>
      <w:r>
        <w:rPr>
          <w:rFonts w:ascii="Arial" w:cs="Arial" w:eastAsia="Arial" w:hAnsi="Arial"/>
          <w:sz w:val="18"/>
          <w:szCs w:val="18"/>
          <w:color w:val="auto"/>
        </w:rPr>
        <w:t>”), and any ambiguities or ambiguous terms herein will be interpreted to so comply. Each payment and benefit payable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is intended to constitute a separate payment for purposes of Section 1.409A-2(b)(2) of the Treasury Regulations. The Company shall in no event be obligated to indemnify you for any taxes or interest that may be assessed under Section 409A.</w:t>
      </w:r>
    </w:p>
    <w:p>
      <w:pPr>
        <w:spacing w:after="0" w:line="172" w:lineRule="exact"/>
        <w:rPr>
          <w:sz w:val="20"/>
          <w:szCs w:val="20"/>
          <w:color w:val="auto"/>
        </w:rPr>
      </w:pPr>
    </w:p>
    <w:p>
      <w:pPr>
        <w:jc w:val="both"/>
        <w:ind w:right="20" w:firstLine="739"/>
        <w:spacing w:after="0" w:line="245" w:lineRule="auto"/>
        <w:rPr>
          <w:sz w:val="20"/>
          <w:szCs w:val="20"/>
          <w:color w:val="auto"/>
        </w:rPr>
      </w:pPr>
      <w:r>
        <w:rPr>
          <w:rFonts w:ascii="Arial" w:cs="Arial" w:eastAsia="Arial" w:hAnsi="Arial"/>
          <w:sz w:val="20"/>
          <w:szCs w:val="20"/>
          <w:color w:val="auto"/>
        </w:rPr>
        <w:t xml:space="preserve">9. </w:t>
      </w:r>
      <w:r>
        <w:rPr>
          <w:rFonts w:ascii="Arial" w:cs="Arial" w:eastAsia="Arial" w:hAnsi="Arial"/>
          <w:sz w:val="20"/>
          <w:szCs w:val="20"/>
          <w:b w:val="1"/>
          <w:bCs w:val="1"/>
          <w:color w:val="auto"/>
        </w:rPr>
        <w:t>Interpretation, Amendment and Enforcement.</w:t>
      </w:r>
      <w:r>
        <w:rPr>
          <w:rFonts w:ascii="Arial" w:cs="Arial" w:eastAsia="Arial" w:hAnsi="Arial"/>
          <w:sz w:val="20"/>
          <w:szCs w:val="20"/>
          <w:color w:val="auto"/>
        </w:rPr>
        <w:t xml:space="preserve"> This Agreement, together with the PIAA, the Severance Policy and your participation agreement under the Severance Policy and your Equity Award agreements, supersede and replace any prior agreements, representations or understandings (whether written, oral, implied or otherwise) between you and the Company, including, but not limited to any initial offer letter with the Company, and constitute the complete agreement between you and the Company regarding the subject matter set forth herein. This Agreement may not be amended or modified, except by an express written agreement signed by both you and a duly authorized officer of the Company.</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 * * *</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We are extremely excited about your continued employment with PMV Pharma!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17"/>
          <w:szCs w:val="17"/>
          <w:color w:val="44444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278765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440" w:top="595" w:right="579" w:bottom="1440" w:gutter="0" w:footer="0" w:header="0"/>
        </w:sectPr>
      </w:pPr>
    </w:p>
    <w:bookmarkStart w:id="157" w:name="page158"/>
    <w:bookmarkEnd w:id="157"/>
    <w:p>
      <w:pPr>
        <w:ind w:left="20" w:firstLine="738"/>
        <w:spacing w:after="0" w:line="246" w:lineRule="auto"/>
        <w:rPr>
          <w:sz w:val="20"/>
          <w:szCs w:val="20"/>
          <w:color w:val="auto"/>
        </w:rPr>
      </w:pPr>
      <w:r>
        <w:rPr>
          <w:rFonts w:ascii="Arial" w:cs="Arial" w:eastAsia="Arial" w:hAnsi="Arial"/>
          <w:sz w:val="18"/>
          <w:szCs w:val="18"/>
          <w:color w:val="444444"/>
        </w:rPr>
        <w:t>To indicate your acceptance of the Company's offer, please sign and date this letter in the space p</w:t>
      </w:r>
      <w:r>
        <w:rPr>
          <w:rFonts w:ascii="Arial" w:cs="Arial" w:eastAsia="Arial" w:hAnsi="Arial"/>
          <w:sz w:val="18"/>
          <w:szCs w:val="18"/>
          <w:color w:val="626264"/>
        </w:rPr>
        <w:t>ro</w:t>
      </w:r>
      <w:r>
        <w:rPr>
          <w:rFonts w:ascii="Arial" w:cs="Arial" w:eastAsia="Arial" w:hAnsi="Arial"/>
          <w:sz w:val="18"/>
          <w:szCs w:val="18"/>
          <w:color w:val="444444"/>
        </w:rPr>
        <w:t>v</w:t>
      </w:r>
      <w:r>
        <w:rPr>
          <w:rFonts w:ascii="Arial" w:cs="Arial" w:eastAsia="Arial" w:hAnsi="Arial"/>
          <w:sz w:val="18"/>
          <w:szCs w:val="18"/>
          <w:color w:val="626264"/>
        </w:rPr>
        <w:t>i</w:t>
      </w:r>
      <w:r>
        <w:rPr>
          <w:rFonts w:ascii="Arial" w:cs="Arial" w:eastAsia="Arial" w:hAnsi="Arial"/>
          <w:sz w:val="18"/>
          <w:szCs w:val="18"/>
          <w:color w:val="444444"/>
        </w:rPr>
        <w:t>ded below and return it to me. A duplicate original is enclosed for your records</w:t>
      </w:r>
      <w:r>
        <w:rPr>
          <w:rFonts w:ascii="Arial" w:cs="Arial" w:eastAsia="Arial" w:hAnsi="Arial"/>
          <w:sz w:val="18"/>
          <w:szCs w:val="18"/>
          <w:color w:val="6262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296545</wp:posOffset>
            </wp:positionV>
            <wp:extent cx="5452110" cy="31375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545211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444444"/>
        </w:rPr>
        <w:t>3</w:t>
      </w:r>
    </w:p>
    <w:p>
      <w:pPr>
        <w:sectPr>
          <w:pgSz w:w="11900" w:h="16838" w:orient="portrait"/>
          <w:cols w:equalWidth="0" w:num="1">
            <w:col w:w="10980"/>
          </w:cols>
          <w:pgMar w:left="540" w:top="652" w:right="379" w:bottom="1440" w:gutter="0" w:footer="0" w:header="0"/>
        </w:sectPr>
      </w:pPr>
    </w:p>
    <w:bookmarkStart w:id="158" w:name="page159"/>
    <w:bookmarkEnd w:id="158"/>
    <w:p>
      <w:pPr>
        <w:ind w:left="9120"/>
        <w:spacing w:after="0"/>
        <w:rPr>
          <w:sz w:val="20"/>
          <w:szCs w:val="20"/>
          <w:color w:val="auto"/>
        </w:rPr>
      </w:pPr>
      <w:r>
        <w:rPr>
          <w:rFonts w:ascii="Arial" w:cs="Arial" w:eastAsia="Arial" w:hAnsi="Arial"/>
          <w:sz w:val="18"/>
          <w:szCs w:val="18"/>
          <w:b w:val="1"/>
          <w:bCs w:val="1"/>
          <w:color w:val="010101"/>
        </w:rPr>
        <w:t>Exhibit 10.14</w:t>
      </w:r>
    </w:p>
    <w:p>
      <w:pPr>
        <w:spacing w:after="0" w:line="3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010101"/>
        </w:rPr>
        <w:t>Change in Control and Severance Policy Amended and</w:t>
      </w:r>
    </w:p>
    <w:p>
      <w:pPr>
        <w:spacing w:after="0" w:line="1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010101"/>
        </w:rPr>
        <w:t>Restated Participation Agreement</w:t>
      </w:r>
    </w:p>
    <w:p>
      <w:pPr>
        <w:spacing w:after="0" w:line="136" w:lineRule="exact"/>
        <w:rPr>
          <w:sz w:val="20"/>
          <w:szCs w:val="20"/>
          <w:color w:val="auto"/>
        </w:rPr>
      </w:pPr>
    </w:p>
    <w:p>
      <w:pPr>
        <w:ind w:left="20" w:firstLine="817"/>
        <w:spacing w:after="0" w:line="301" w:lineRule="auto"/>
        <w:rPr>
          <w:sz w:val="20"/>
          <w:szCs w:val="20"/>
          <w:color w:val="auto"/>
        </w:rPr>
      </w:pPr>
      <w:r>
        <w:rPr>
          <w:rFonts w:ascii="Arial" w:cs="Arial" w:eastAsia="Arial" w:hAnsi="Arial"/>
          <w:sz w:val="17"/>
          <w:szCs w:val="17"/>
          <w:color w:val="010101"/>
        </w:rPr>
        <w:t xml:space="preserve">This Amended and Restated Participation Agreement </w:t>
      </w:r>
      <w:r>
        <w:rPr>
          <w:rFonts w:ascii="Arial" w:cs="Arial" w:eastAsia="Arial" w:hAnsi="Arial"/>
          <w:sz w:val="17"/>
          <w:szCs w:val="17"/>
          <w:b w:val="1"/>
          <w:bCs w:val="1"/>
          <w:color w:val="010101"/>
        </w:rPr>
        <w:t>("Agreement")</w:t>
      </w:r>
      <w:r>
        <w:rPr>
          <w:rFonts w:ascii="Arial" w:cs="Arial" w:eastAsia="Arial" w:hAnsi="Arial"/>
          <w:sz w:val="17"/>
          <w:szCs w:val="17"/>
          <w:color w:val="010101"/>
        </w:rPr>
        <w:t xml:space="preserve"> is made and entered into by and between Deepika Jalota on the one hand, and PMV Pharmaceuticals, Inc. (the </w:t>
      </w:r>
      <w:r>
        <w:rPr>
          <w:rFonts w:ascii="Arial" w:cs="Arial" w:eastAsia="Arial" w:hAnsi="Arial"/>
          <w:sz w:val="17"/>
          <w:szCs w:val="17"/>
          <w:b w:val="1"/>
          <w:bCs w:val="1"/>
          <w:color w:val="010101"/>
        </w:rPr>
        <w:t>"Company")</w:t>
      </w:r>
      <w:r>
        <w:rPr>
          <w:rFonts w:ascii="Arial" w:cs="Arial" w:eastAsia="Arial" w:hAnsi="Arial"/>
          <w:sz w:val="17"/>
          <w:szCs w:val="17"/>
          <w:color w:val="010101"/>
        </w:rPr>
        <w:t xml:space="preserve"> onthe other.</w:t>
      </w:r>
    </w:p>
    <w:p>
      <w:pPr>
        <w:spacing w:after="0" w:line="134" w:lineRule="exact"/>
        <w:rPr>
          <w:sz w:val="20"/>
          <w:szCs w:val="20"/>
          <w:color w:val="auto"/>
        </w:rPr>
      </w:pPr>
    </w:p>
    <w:p>
      <w:pPr>
        <w:jc w:val="both"/>
        <w:ind w:right="20" w:firstLine="824"/>
        <w:spacing w:after="0" w:line="238" w:lineRule="auto"/>
        <w:rPr>
          <w:sz w:val="20"/>
          <w:szCs w:val="20"/>
          <w:color w:val="auto"/>
        </w:rPr>
      </w:pPr>
      <w:r>
        <w:rPr>
          <w:rFonts w:ascii="Arial" w:cs="Arial" w:eastAsia="Arial" w:hAnsi="Arial"/>
          <w:sz w:val="17"/>
          <w:szCs w:val="17"/>
          <w:color w:val="010101"/>
        </w:rPr>
        <w:t>In connection with your recent promotion to be the Company's Chief Regulatory and Quality Officer, you are entitled to receive an updated level of severance payments and benefits upon a Qualified Termination, subject to the terms and conditions of the Policy, as set forth herein.</w:t>
      </w:r>
    </w:p>
    <w:p>
      <w:pPr>
        <w:spacing w:after="0" w:line="127" w:lineRule="exact"/>
        <w:rPr>
          <w:sz w:val="20"/>
          <w:szCs w:val="20"/>
          <w:color w:val="auto"/>
        </w:rPr>
      </w:pPr>
    </w:p>
    <w:p>
      <w:pPr>
        <w:jc w:val="both"/>
        <w:ind w:left="20" w:right="40" w:firstLine="809"/>
        <w:spacing w:after="0" w:line="267" w:lineRule="auto"/>
        <w:rPr>
          <w:sz w:val="20"/>
          <w:szCs w:val="20"/>
          <w:color w:val="auto"/>
        </w:rPr>
      </w:pPr>
      <w:r>
        <w:rPr>
          <w:rFonts w:ascii="Arial" w:cs="Arial" w:eastAsia="Arial" w:hAnsi="Arial"/>
          <w:sz w:val="17"/>
          <w:szCs w:val="17"/>
          <w:b w:val="1"/>
          <w:bCs w:val="1"/>
          <w:i w:val="1"/>
          <w:iCs w:val="1"/>
          <w:color w:val="010101"/>
        </w:rPr>
        <w:t xml:space="preserve">CIC Qualified Termination. </w:t>
      </w:r>
      <w:r>
        <w:rPr>
          <w:rFonts w:ascii="Arial" w:cs="Arial" w:eastAsia="Arial" w:hAnsi="Arial"/>
          <w:sz w:val="17"/>
          <w:szCs w:val="17"/>
          <w:color w:val="010101"/>
        </w:rPr>
        <w:t>Upon your CIC Qualified Termination, you will be entitled to the following benefits, subject to the terms</w:t>
      </w:r>
      <w:r>
        <w:rPr>
          <w:rFonts w:ascii="Arial" w:cs="Arial" w:eastAsia="Arial" w:hAnsi="Arial"/>
          <w:sz w:val="17"/>
          <w:szCs w:val="17"/>
          <w:b w:val="1"/>
          <w:bCs w:val="1"/>
          <w:i w:val="1"/>
          <w:iCs w:val="1"/>
          <w:color w:val="010101"/>
        </w:rPr>
        <w:t xml:space="preserve"> </w:t>
      </w:r>
      <w:r>
        <w:rPr>
          <w:rFonts w:ascii="Arial" w:cs="Arial" w:eastAsia="Arial" w:hAnsi="Arial"/>
          <w:sz w:val="17"/>
          <w:szCs w:val="17"/>
          <w:color w:val="010101"/>
        </w:rPr>
        <w:t>and conditions of the Policy:</w:t>
      </w:r>
    </w:p>
    <w:p>
      <w:pPr>
        <w:spacing w:after="0" w:line="189" w:lineRule="exact"/>
        <w:rPr>
          <w:sz w:val="20"/>
          <w:szCs w:val="20"/>
          <w:color w:val="auto"/>
        </w:rPr>
      </w:pPr>
    </w:p>
    <w:p>
      <w:pPr>
        <w:ind w:left="1720" w:hanging="440"/>
        <w:spacing w:after="0"/>
        <w:tabs>
          <w:tab w:leader="none" w:pos="1720" w:val="left"/>
        </w:tabs>
        <w:numPr>
          <w:ilvl w:val="0"/>
          <w:numId w:val="78"/>
        </w:numPr>
        <w:rPr>
          <w:rFonts w:ascii="Arial" w:cs="Arial" w:eastAsia="Arial" w:hAnsi="Arial"/>
          <w:sz w:val="18"/>
          <w:szCs w:val="18"/>
          <w:color w:val="010101"/>
        </w:rPr>
      </w:pPr>
      <w:r>
        <w:rPr>
          <w:rFonts w:ascii="Arial" w:cs="Arial" w:eastAsia="Arial" w:hAnsi="Arial"/>
          <w:sz w:val="18"/>
          <w:szCs w:val="18"/>
          <w:b w:val="1"/>
          <w:bCs w:val="1"/>
          <w:color w:val="010101"/>
        </w:rPr>
        <w:t xml:space="preserve">Equity Vesting: </w:t>
      </w:r>
      <w:r>
        <w:rPr>
          <w:rFonts w:ascii="Arial" w:cs="Arial" w:eastAsia="Arial" w:hAnsi="Arial"/>
          <w:sz w:val="17"/>
          <w:szCs w:val="17"/>
          <w:color w:val="010101"/>
        </w:rPr>
        <w:t>100% of the then-unvested shares subject to each of your</w:t>
      </w:r>
    </w:p>
    <w:p>
      <w:pPr>
        <w:spacing w:after="0" w:line="66" w:lineRule="exact"/>
        <w:rPr>
          <w:rFonts w:ascii="Arial" w:cs="Arial" w:eastAsia="Arial" w:hAnsi="Arial"/>
          <w:sz w:val="18"/>
          <w:szCs w:val="18"/>
          <w:color w:val="010101"/>
        </w:rPr>
      </w:pPr>
    </w:p>
    <w:p>
      <w:pPr>
        <w:ind w:left="1720" w:right="260"/>
        <w:spacing w:after="0" w:line="233" w:lineRule="auto"/>
        <w:rPr>
          <w:rFonts w:ascii="Arial" w:cs="Arial" w:eastAsia="Arial" w:hAnsi="Arial"/>
          <w:sz w:val="18"/>
          <w:szCs w:val="18"/>
          <w:color w:val="010101"/>
        </w:rPr>
      </w:pPr>
      <w:r>
        <w:rPr>
          <w:rFonts w:ascii="Arial" w:cs="Arial" w:eastAsia="Arial" w:hAnsi="Arial"/>
          <w:sz w:val="17"/>
          <w:szCs w:val="17"/>
          <w:color w:val="010101"/>
        </w:rPr>
        <w:t>then-outstanding equity awards will immediately vest and, in the case of options and stock appreciation rights, will become exercisable (for avoidance of doubt, no more than100% of the shares subject to the outstanding portion of an equity award may vest and become exercisable under this provision). In the case of equity awards with performance-based vesting, unless otherwise determined by the Company and set forth in your equity award agreement, all performance goals and other vesting criteria will be deemed achieved at 100% of target levels.</w:t>
      </w:r>
    </w:p>
    <w:p>
      <w:pPr>
        <w:spacing w:after="0" w:line="1" w:lineRule="exact"/>
        <w:rPr>
          <w:rFonts w:ascii="Arial" w:cs="Arial" w:eastAsia="Arial" w:hAnsi="Arial"/>
          <w:sz w:val="18"/>
          <w:szCs w:val="18"/>
          <w:color w:val="010101"/>
        </w:rPr>
      </w:pPr>
    </w:p>
    <w:p>
      <w:pPr>
        <w:ind w:left="1720" w:right="720" w:hanging="427"/>
        <w:spacing w:after="0" w:line="226" w:lineRule="auto"/>
        <w:tabs>
          <w:tab w:leader="none" w:pos="1720" w:val="left"/>
        </w:tabs>
        <w:numPr>
          <w:ilvl w:val="1"/>
          <w:numId w:val="78"/>
        </w:numPr>
        <w:rPr>
          <w:rFonts w:ascii="Arial" w:cs="Arial" w:eastAsia="Arial" w:hAnsi="Arial"/>
          <w:sz w:val="18"/>
          <w:szCs w:val="18"/>
          <w:color w:val="010101"/>
        </w:rPr>
      </w:pPr>
      <w:r>
        <w:rPr>
          <w:rFonts w:ascii="Arial" w:cs="Arial" w:eastAsia="Arial" w:hAnsi="Arial"/>
          <w:sz w:val="18"/>
          <w:szCs w:val="18"/>
          <w:b w:val="1"/>
          <w:bCs w:val="1"/>
          <w:color w:val="010101"/>
        </w:rPr>
        <w:t xml:space="preserve">Salary Severance: </w:t>
      </w:r>
      <w:r>
        <w:rPr>
          <w:rFonts w:ascii="Arial" w:cs="Arial" w:eastAsia="Arial" w:hAnsi="Arial"/>
          <w:sz w:val="17"/>
          <w:szCs w:val="17"/>
          <w:color w:val="010101"/>
        </w:rPr>
        <w:t>12 months of your Base Salary, payable in a lump sum on the 61st day following your CIC</w:t>
      </w:r>
      <w:r>
        <w:rPr>
          <w:rFonts w:ascii="Arial" w:cs="Arial" w:eastAsia="Arial" w:hAnsi="Arial"/>
          <w:sz w:val="18"/>
          <w:szCs w:val="18"/>
          <w:b w:val="1"/>
          <w:bCs w:val="1"/>
          <w:color w:val="010101"/>
        </w:rPr>
        <w:t xml:space="preserve"> </w:t>
      </w:r>
      <w:r>
        <w:rPr>
          <w:rFonts w:ascii="Arial" w:cs="Arial" w:eastAsia="Arial" w:hAnsi="Arial"/>
          <w:sz w:val="17"/>
          <w:szCs w:val="17"/>
          <w:color w:val="010101"/>
        </w:rPr>
        <w:t>Qualified Termination.</w:t>
      </w:r>
    </w:p>
    <w:p>
      <w:pPr>
        <w:spacing w:after="0" w:line="1" w:lineRule="exact"/>
        <w:rPr>
          <w:rFonts w:ascii="Arial" w:cs="Arial" w:eastAsia="Arial" w:hAnsi="Arial"/>
          <w:sz w:val="18"/>
          <w:szCs w:val="18"/>
          <w:color w:val="010101"/>
        </w:rPr>
      </w:pPr>
    </w:p>
    <w:p>
      <w:pPr>
        <w:ind w:left="1720" w:right="1360" w:hanging="427"/>
        <w:spacing w:after="0" w:line="226" w:lineRule="auto"/>
        <w:tabs>
          <w:tab w:leader="none" w:pos="1720" w:val="left"/>
        </w:tabs>
        <w:numPr>
          <w:ilvl w:val="1"/>
          <w:numId w:val="78"/>
        </w:numPr>
        <w:rPr>
          <w:rFonts w:ascii="Arial" w:cs="Arial" w:eastAsia="Arial" w:hAnsi="Arial"/>
          <w:sz w:val="18"/>
          <w:szCs w:val="18"/>
          <w:color w:val="010101"/>
        </w:rPr>
      </w:pPr>
      <w:r>
        <w:rPr>
          <w:rFonts w:ascii="Arial" w:cs="Arial" w:eastAsia="Arial" w:hAnsi="Arial"/>
          <w:sz w:val="18"/>
          <w:szCs w:val="18"/>
          <w:b w:val="1"/>
          <w:bCs w:val="1"/>
          <w:color w:val="010101"/>
        </w:rPr>
        <w:t xml:space="preserve">Bonus Severance: </w:t>
      </w:r>
      <w:r>
        <w:rPr>
          <w:rFonts w:ascii="Arial" w:cs="Arial" w:eastAsia="Arial" w:hAnsi="Arial"/>
          <w:sz w:val="17"/>
          <w:szCs w:val="17"/>
          <w:color w:val="010101"/>
        </w:rPr>
        <w:t>100% of your target bonus for the performance year in which your CIC Qualified</w:t>
      </w:r>
      <w:r>
        <w:rPr>
          <w:rFonts w:ascii="Arial" w:cs="Arial" w:eastAsia="Arial" w:hAnsi="Arial"/>
          <w:sz w:val="18"/>
          <w:szCs w:val="18"/>
          <w:b w:val="1"/>
          <w:bCs w:val="1"/>
          <w:color w:val="010101"/>
        </w:rPr>
        <w:t xml:space="preserve"> </w:t>
      </w:r>
      <w:r>
        <w:rPr>
          <w:rFonts w:ascii="Arial" w:cs="Arial" w:eastAsia="Arial" w:hAnsi="Arial"/>
          <w:sz w:val="17"/>
          <w:szCs w:val="17"/>
          <w:color w:val="010101"/>
        </w:rPr>
        <w:t>Termination occurs, payable in a lump sum on the 61st day following your CIC Qualified Termination.</w:t>
      </w:r>
    </w:p>
    <w:p>
      <w:pPr>
        <w:spacing w:after="0" w:line="1" w:lineRule="exact"/>
        <w:rPr>
          <w:rFonts w:ascii="Arial" w:cs="Arial" w:eastAsia="Arial" w:hAnsi="Arial"/>
          <w:sz w:val="18"/>
          <w:szCs w:val="18"/>
          <w:color w:val="010101"/>
        </w:rPr>
      </w:pPr>
    </w:p>
    <w:p>
      <w:pPr>
        <w:ind w:left="1720" w:right="880" w:hanging="427"/>
        <w:spacing w:after="0" w:line="232" w:lineRule="auto"/>
        <w:tabs>
          <w:tab w:leader="none" w:pos="1720" w:val="left"/>
        </w:tabs>
        <w:numPr>
          <w:ilvl w:val="1"/>
          <w:numId w:val="78"/>
        </w:numPr>
        <w:rPr>
          <w:rFonts w:ascii="Arial" w:cs="Arial" w:eastAsia="Arial" w:hAnsi="Arial"/>
          <w:sz w:val="18"/>
          <w:szCs w:val="18"/>
          <w:color w:val="010101"/>
        </w:rPr>
      </w:pPr>
      <w:r>
        <w:rPr>
          <w:rFonts w:ascii="Arial" w:cs="Arial" w:eastAsia="Arial" w:hAnsi="Arial"/>
          <w:sz w:val="18"/>
          <w:szCs w:val="18"/>
          <w:b w:val="1"/>
          <w:bCs w:val="1"/>
          <w:color w:val="010101"/>
        </w:rPr>
        <w:t xml:space="preserve">COBRA Coverage: </w:t>
      </w:r>
      <w:r>
        <w:rPr>
          <w:rFonts w:ascii="Arial" w:cs="Arial" w:eastAsia="Arial" w:hAnsi="Arial"/>
          <w:sz w:val="17"/>
          <w:szCs w:val="17"/>
          <w:color w:val="010101"/>
        </w:rPr>
        <w:t>Payment or reimbursement of the COBRA Coverage or COBRA Benefit, as applicable,</w:t>
      </w:r>
      <w:r>
        <w:rPr>
          <w:rFonts w:ascii="Arial" w:cs="Arial" w:eastAsia="Arial" w:hAnsi="Arial"/>
          <w:sz w:val="18"/>
          <w:szCs w:val="18"/>
          <w:b w:val="1"/>
          <w:bCs w:val="1"/>
          <w:color w:val="010101"/>
        </w:rPr>
        <w:t xml:space="preserve"> </w:t>
      </w:r>
      <w:r>
        <w:rPr>
          <w:rFonts w:ascii="Arial" w:cs="Arial" w:eastAsia="Arial" w:hAnsi="Arial"/>
          <w:sz w:val="17"/>
          <w:szCs w:val="17"/>
          <w:color w:val="010101"/>
        </w:rPr>
        <w:t>for up to 12 months following your CIC Qualified Termination.</w:t>
      </w:r>
    </w:p>
    <w:p>
      <w:pPr>
        <w:spacing w:after="0" w:line="128" w:lineRule="exact"/>
        <w:rPr>
          <w:sz w:val="20"/>
          <w:szCs w:val="20"/>
          <w:color w:val="auto"/>
        </w:rPr>
      </w:pPr>
    </w:p>
    <w:p>
      <w:pPr>
        <w:ind w:left="20" w:right="560" w:hanging="5"/>
        <w:spacing w:after="0" w:line="267" w:lineRule="auto"/>
        <w:rPr>
          <w:sz w:val="20"/>
          <w:szCs w:val="20"/>
          <w:color w:val="auto"/>
        </w:rPr>
      </w:pPr>
      <w:r>
        <w:rPr>
          <w:rFonts w:ascii="Arial" w:cs="Arial" w:eastAsia="Arial" w:hAnsi="Arial"/>
          <w:sz w:val="17"/>
          <w:szCs w:val="17"/>
          <w:b w:val="1"/>
          <w:bCs w:val="1"/>
          <w:i w:val="1"/>
          <w:iCs w:val="1"/>
          <w:color w:val="010101"/>
        </w:rPr>
        <w:t xml:space="preserve">Non-CIC Qualified Termination. </w:t>
      </w:r>
      <w:r>
        <w:rPr>
          <w:rFonts w:ascii="Arial" w:cs="Arial" w:eastAsia="Arial" w:hAnsi="Arial"/>
          <w:sz w:val="17"/>
          <w:szCs w:val="17"/>
          <w:color w:val="010101"/>
        </w:rPr>
        <w:t>Upon your Non-CIC Qualified Termination, you will be entitled to the following benefits, subject to the</w:t>
      </w:r>
      <w:r>
        <w:rPr>
          <w:rFonts w:ascii="Arial" w:cs="Arial" w:eastAsia="Arial" w:hAnsi="Arial"/>
          <w:sz w:val="17"/>
          <w:szCs w:val="17"/>
          <w:b w:val="1"/>
          <w:bCs w:val="1"/>
          <w:i w:val="1"/>
          <w:iCs w:val="1"/>
          <w:color w:val="010101"/>
        </w:rPr>
        <w:t xml:space="preserve"> </w:t>
      </w:r>
      <w:r>
        <w:rPr>
          <w:rFonts w:ascii="Arial" w:cs="Arial" w:eastAsia="Arial" w:hAnsi="Arial"/>
          <w:sz w:val="17"/>
          <w:szCs w:val="17"/>
          <w:color w:val="010101"/>
        </w:rPr>
        <w:t>terms and conditions of the Policy:</w:t>
      </w:r>
    </w:p>
    <w:p>
      <w:pPr>
        <w:spacing w:after="0" w:line="189" w:lineRule="exact"/>
        <w:rPr>
          <w:sz w:val="20"/>
          <w:szCs w:val="20"/>
          <w:color w:val="auto"/>
        </w:rPr>
      </w:pPr>
    </w:p>
    <w:p>
      <w:pPr>
        <w:ind w:left="1720" w:right="460" w:hanging="427"/>
        <w:spacing w:after="0" w:line="234" w:lineRule="auto"/>
        <w:tabs>
          <w:tab w:leader="none" w:pos="1720" w:val="left"/>
        </w:tabs>
        <w:numPr>
          <w:ilvl w:val="1"/>
          <w:numId w:val="79"/>
        </w:numPr>
        <w:rPr>
          <w:rFonts w:ascii="Arial" w:cs="Arial" w:eastAsia="Arial" w:hAnsi="Arial"/>
          <w:sz w:val="18"/>
          <w:szCs w:val="18"/>
          <w:color w:val="010101"/>
        </w:rPr>
      </w:pPr>
      <w:r>
        <w:rPr>
          <w:rFonts w:ascii="Arial" w:cs="Arial" w:eastAsia="Arial" w:hAnsi="Arial"/>
          <w:sz w:val="18"/>
          <w:szCs w:val="18"/>
          <w:b w:val="1"/>
          <w:bCs w:val="1"/>
          <w:color w:val="010101"/>
        </w:rPr>
        <w:t xml:space="preserve">Equity Vesting: </w:t>
      </w:r>
      <w:r>
        <w:rPr>
          <w:rFonts w:ascii="Arial" w:cs="Arial" w:eastAsia="Arial" w:hAnsi="Arial"/>
          <w:sz w:val="17"/>
          <w:szCs w:val="17"/>
          <w:color w:val="010101"/>
        </w:rPr>
        <w:t>A number of then-unvested shares subject to each of your then outstanding equity awards</w:t>
      </w:r>
      <w:r>
        <w:rPr>
          <w:rFonts w:ascii="Arial" w:cs="Arial" w:eastAsia="Arial" w:hAnsi="Arial"/>
          <w:sz w:val="18"/>
          <w:szCs w:val="18"/>
          <w:b w:val="1"/>
          <w:bCs w:val="1"/>
          <w:color w:val="010101"/>
        </w:rPr>
        <w:t xml:space="preserve"> </w:t>
      </w:r>
      <w:r>
        <w:rPr>
          <w:rFonts w:ascii="Arial" w:cs="Arial" w:eastAsia="Arial" w:hAnsi="Arial"/>
          <w:sz w:val="17"/>
          <w:szCs w:val="17"/>
          <w:color w:val="010101"/>
        </w:rPr>
        <w:t>(excluding equity awards with performance-based vesting and excluding any equity awards granted on or after the IPO Date) equal tothe number of such shares otherwise scheduled to vest during the 6 month period following the date of your Non-CIC Qualified Termination had you remained employed with the Company (or any of its subsidiaries) through such date will immediately vest and, in the case of options and stock appreciation rights, will become exercisable.</w:t>
      </w:r>
    </w:p>
    <w:p>
      <w:pPr>
        <w:spacing w:after="0" w:line="3" w:lineRule="exact"/>
        <w:rPr>
          <w:rFonts w:ascii="Arial" w:cs="Arial" w:eastAsia="Arial" w:hAnsi="Arial"/>
          <w:sz w:val="18"/>
          <w:szCs w:val="18"/>
          <w:color w:val="010101"/>
        </w:rPr>
      </w:pPr>
    </w:p>
    <w:p>
      <w:pPr>
        <w:ind w:left="1720" w:right="440" w:hanging="427"/>
        <w:spacing w:after="0" w:line="226" w:lineRule="auto"/>
        <w:tabs>
          <w:tab w:leader="none" w:pos="1720" w:val="left"/>
        </w:tabs>
        <w:numPr>
          <w:ilvl w:val="1"/>
          <w:numId w:val="79"/>
        </w:numPr>
        <w:rPr>
          <w:rFonts w:ascii="Arial" w:cs="Arial" w:eastAsia="Arial" w:hAnsi="Arial"/>
          <w:sz w:val="18"/>
          <w:szCs w:val="18"/>
          <w:color w:val="010101"/>
        </w:rPr>
      </w:pPr>
      <w:r>
        <w:rPr>
          <w:rFonts w:ascii="Arial" w:cs="Arial" w:eastAsia="Arial" w:hAnsi="Arial"/>
          <w:sz w:val="18"/>
          <w:szCs w:val="18"/>
          <w:b w:val="1"/>
          <w:bCs w:val="1"/>
          <w:color w:val="010101"/>
        </w:rPr>
        <w:t xml:space="preserve">Salary Severance: </w:t>
      </w:r>
      <w:r>
        <w:rPr>
          <w:rFonts w:ascii="Arial" w:cs="Arial" w:eastAsia="Arial" w:hAnsi="Arial"/>
          <w:sz w:val="17"/>
          <w:szCs w:val="17"/>
          <w:color w:val="010101"/>
        </w:rPr>
        <w:t>6 months of your Base Salary, payable in a lump sum on the 61st day following your Non-CIC</w:t>
      </w:r>
      <w:r>
        <w:rPr>
          <w:rFonts w:ascii="Arial" w:cs="Arial" w:eastAsia="Arial" w:hAnsi="Arial"/>
          <w:sz w:val="18"/>
          <w:szCs w:val="18"/>
          <w:b w:val="1"/>
          <w:bCs w:val="1"/>
          <w:color w:val="010101"/>
        </w:rPr>
        <w:t xml:space="preserve"> </w:t>
      </w:r>
      <w:r>
        <w:rPr>
          <w:rFonts w:ascii="Arial" w:cs="Arial" w:eastAsia="Arial" w:hAnsi="Arial"/>
          <w:sz w:val="17"/>
          <w:szCs w:val="17"/>
          <w:color w:val="010101"/>
        </w:rPr>
        <w:t>Qualified Termination.</w:t>
      </w:r>
    </w:p>
    <w:p>
      <w:pPr>
        <w:spacing w:after="0" w:line="1" w:lineRule="exact"/>
        <w:rPr>
          <w:rFonts w:ascii="Arial" w:cs="Arial" w:eastAsia="Arial" w:hAnsi="Arial"/>
          <w:sz w:val="18"/>
          <w:szCs w:val="18"/>
          <w:color w:val="010101"/>
        </w:rPr>
      </w:pPr>
    </w:p>
    <w:p>
      <w:pPr>
        <w:ind w:left="1720" w:hanging="440"/>
        <w:spacing w:after="0"/>
        <w:tabs>
          <w:tab w:leader="none" w:pos="1720" w:val="left"/>
        </w:tabs>
        <w:numPr>
          <w:ilvl w:val="0"/>
          <w:numId w:val="79"/>
        </w:numPr>
        <w:rPr>
          <w:rFonts w:ascii="Arial" w:cs="Arial" w:eastAsia="Arial" w:hAnsi="Arial"/>
          <w:sz w:val="18"/>
          <w:szCs w:val="18"/>
          <w:color w:val="010101"/>
        </w:rPr>
      </w:pPr>
      <w:r>
        <w:rPr>
          <w:rFonts w:ascii="Arial" w:cs="Arial" w:eastAsia="Arial" w:hAnsi="Arial"/>
          <w:sz w:val="18"/>
          <w:szCs w:val="18"/>
          <w:b w:val="1"/>
          <w:bCs w:val="1"/>
          <w:color w:val="010101"/>
        </w:rPr>
        <w:t xml:space="preserve">Bonus Severance: </w:t>
      </w:r>
      <w:r>
        <w:rPr>
          <w:rFonts w:ascii="Arial" w:cs="Arial" w:eastAsia="Arial" w:hAnsi="Arial"/>
          <w:sz w:val="17"/>
          <w:szCs w:val="17"/>
          <w:color w:val="010101"/>
        </w:rPr>
        <w:t>None.</w:t>
      </w:r>
    </w:p>
    <w:p>
      <w:pPr>
        <w:spacing w:after="0" w:line="14" w:lineRule="exact"/>
        <w:rPr>
          <w:rFonts w:ascii="Arial" w:cs="Arial" w:eastAsia="Arial" w:hAnsi="Arial"/>
          <w:sz w:val="18"/>
          <w:szCs w:val="18"/>
          <w:color w:val="010101"/>
        </w:rPr>
      </w:pPr>
    </w:p>
    <w:p>
      <w:pPr>
        <w:ind w:left="1720" w:right="780" w:hanging="427"/>
        <w:spacing w:after="0" w:line="251" w:lineRule="auto"/>
        <w:tabs>
          <w:tab w:leader="none" w:pos="1720" w:val="left"/>
        </w:tabs>
        <w:numPr>
          <w:ilvl w:val="1"/>
          <w:numId w:val="79"/>
        </w:numPr>
        <w:rPr>
          <w:rFonts w:ascii="Arial" w:cs="Arial" w:eastAsia="Arial" w:hAnsi="Arial"/>
          <w:sz w:val="18"/>
          <w:szCs w:val="18"/>
          <w:color w:val="010101"/>
        </w:rPr>
      </w:pPr>
      <w:r>
        <w:rPr>
          <w:rFonts w:ascii="Arial" w:cs="Arial" w:eastAsia="Arial" w:hAnsi="Arial"/>
          <w:sz w:val="18"/>
          <w:szCs w:val="18"/>
          <w:b w:val="1"/>
          <w:bCs w:val="1"/>
          <w:color w:val="010101"/>
        </w:rPr>
        <w:t xml:space="preserve">COBRA Coverage: </w:t>
      </w:r>
      <w:r>
        <w:rPr>
          <w:rFonts w:ascii="Arial" w:cs="Arial" w:eastAsia="Arial" w:hAnsi="Arial"/>
          <w:sz w:val="17"/>
          <w:szCs w:val="17"/>
          <w:color w:val="010101"/>
        </w:rPr>
        <w:t>Payment or reimbursement of the COBRA Coverage or COBRA Benefit, as applicable, for</w:t>
      </w:r>
      <w:r>
        <w:rPr>
          <w:rFonts w:ascii="Arial" w:cs="Arial" w:eastAsia="Arial" w:hAnsi="Arial"/>
          <w:sz w:val="18"/>
          <w:szCs w:val="18"/>
          <w:b w:val="1"/>
          <w:bCs w:val="1"/>
          <w:color w:val="010101"/>
        </w:rPr>
        <w:t xml:space="preserve"> </w:t>
      </w:r>
      <w:r>
        <w:rPr>
          <w:rFonts w:ascii="Arial" w:cs="Arial" w:eastAsia="Arial" w:hAnsi="Arial"/>
          <w:sz w:val="17"/>
          <w:szCs w:val="17"/>
          <w:color w:val="010101"/>
        </w:rPr>
        <w:t>up to 9 months following your Non-CIC Qualified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464185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560" w:top="391" w:right="459" w:bottom="1440" w:gutter="0" w:footer="0" w:header="0"/>
        </w:sectPr>
      </w:pPr>
    </w:p>
    <w:bookmarkStart w:id="159" w:name="page160"/>
    <w:bookmarkEnd w:id="159"/>
    <w:p>
      <w:pPr>
        <w:ind w:right="40" w:firstLine="827"/>
        <w:spacing w:after="0" w:line="258" w:lineRule="auto"/>
        <w:rPr>
          <w:sz w:val="20"/>
          <w:szCs w:val="20"/>
          <w:color w:val="auto"/>
        </w:rPr>
      </w:pPr>
      <w:r>
        <w:rPr>
          <w:rFonts w:ascii="Arial" w:cs="Arial" w:eastAsia="Arial" w:hAnsi="Arial"/>
          <w:sz w:val="16"/>
          <w:szCs w:val="16"/>
          <w:b w:val="1"/>
          <w:bCs w:val="1"/>
          <w:color w:val="010101"/>
        </w:rPr>
        <w:t xml:space="preserve">"IPO Date" </w:t>
      </w:r>
      <w:r>
        <w:rPr>
          <w:rFonts w:ascii="Arial" w:cs="Arial" w:eastAsia="Arial" w:hAnsi="Arial"/>
          <w:sz w:val="17"/>
          <w:szCs w:val="17"/>
          <w:color w:val="010101"/>
        </w:rPr>
        <w:t>means the effective date of the first registration statement that is filed by the Company and declared effective pursuant to</w:t>
      </w:r>
      <w:r>
        <w:rPr>
          <w:rFonts w:ascii="Arial" w:cs="Arial" w:eastAsia="Arial" w:hAnsi="Arial"/>
          <w:sz w:val="16"/>
          <w:szCs w:val="16"/>
          <w:b w:val="1"/>
          <w:bCs w:val="1"/>
          <w:color w:val="010101"/>
        </w:rPr>
        <w:t xml:space="preserve"> </w:t>
      </w:r>
      <w:r>
        <w:rPr>
          <w:rFonts w:ascii="Arial" w:cs="Arial" w:eastAsia="Arial" w:hAnsi="Arial"/>
          <w:sz w:val="17"/>
          <w:szCs w:val="17"/>
          <w:color w:val="010101"/>
        </w:rPr>
        <w:t>Section 12(b) of the Exchange Act of 1934, with respect to the Company's common stock.</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10101"/>
        </w:rPr>
        <w:t>Other Provisions</w:t>
      </w:r>
    </w:p>
    <w:p>
      <w:pPr>
        <w:spacing w:after="0" w:line="233" w:lineRule="exact"/>
        <w:rPr>
          <w:sz w:val="20"/>
          <w:szCs w:val="20"/>
          <w:color w:val="auto"/>
        </w:rPr>
      </w:pPr>
    </w:p>
    <w:p>
      <w:pPr>
        <w:jc w:val="both"/>
        <w:ind w:left="20" w:firstLine="827"/>
        <w:spacing w:after="0" w:line="236" w:lineRule="auto"/>
        <w:rPr>
          <w:sz w:val="20"/>
          <w:szCs w:val="20"/>
          <w:color w:val="auto"/>
        </w:rPr>
      </w:pPr>
      <w:r>
        <w:rPr>
          <w:rFonts w:ascii="Arial" w:cs="Arial" w:eastAsia="Arial" w:hAnsi="Arial"/>
          <w:sz w:val="17"/>
          <w:szCs w:val="17"/>
          <w:color w:val="010101"/>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of control provisions of any offer letter, employment agreement, or equity award agreement entered into between you and the Company and/or any of its subsidiaries.</w:t>
      </w:r>
    </w:p>
    <w:p>
      <w:pPr>
        <w:spacing w:after="0" w:line="149" w:lineRule="exact"/>
        <w:rPr>
          <w:sz w:val="20"/>
          <w:szCs w:val="20"/>
          <w:color w:val="auto"/>
        </w:rPr>
      </w:pPr>
    </w:p>
    <w:p>
      <w:pPr>
        <w:ind w:left="20" w:right="20" w:firstLine="814"/>
        <w:spacing w:after="0" w:line="243" w:lineRule="auto"/>
        <w:rPr>
          <w:sz w:val="20"/>
          <w:szCs w:val="20"/>
          <w:color w:val="auto"/>
        </w:rPr>
      </w:pPr>
      <w:r>
        <w:rPr>
          <w:rFonts w:ascii="Arial" w:cs="Arial" w:eastAsia="Arial" w:hAnsi="Arial"/>
          <w:sz w:val="17"/>
          <w:szCs w:val="17"/>
          <w:color w:val="010101"/>
        </w:rPr>
        <w:t>This Agreement may be executed in counterparts, each of which will be deemed an original, but all of which together will constitute one and the same instrument.</w:t>
      </w:r>
    </w:p>
    <w:p>
      <w:pPr>
        <w:spacing w:after="0" w:line="144" w:lineRule="exact"/>
        <w:rPr>
          <w:sz w:val="20"/>
          <w:szCs w:val="20"/>
          <w:color w:val="auto"/>
        </w:rPr>
      </w:pPr>
    </w:p>
    <w:p>
      <w:pPr>
        <w:ind w:left="20" w:right="20" w:firstLine="827"/>
        <w:spacing w:after="0" w:line="243" w:lineRule="auto"/>
        <w:rPr>
          <w:sz w:val="20"/>
          <w:szCs w:val="20"/>
          <w:color w:val="auto"/>
        </w:rPr>
      </w:pPr>
      <w:r>
        <w:rPr>
          <w:rFonts w:ascii="Arial" w:cs="Arial" w:eastAsia="Arial" w:hAnsi="Arial"/>
          <w:sz w:val="17"/>
          <w:szCs w:val="17"/>
          <w:color w:val="010101"/>
        </w:rPr>
        <w:t>By signing below, each of the parties signifies his, her, or its acceptance of the terms of this Agreement, in the case of the Company by its duly authorized officer, effective as of the last date set forth below.</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010101"/>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469265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560" w:top="662" w:right="459" w:bottom="1440" w:gutter="0" w:footer="0" w:header="0"/>
        </w:sectPr>
      </w:pPr>
    </w:p>
    <w:bookmarkStart w:id="160" w:name="page161"/>
    <w:bookmarkEnd w:id="160"/>
    <w:p>
      <w:pPr>
        <w:ind w:firstLine="832"/>
        <w:spacing w:after="0" w:line="243" w:lineRule="auto"/>
        <w:rPr>
          <w:sz w:val="20"/>
          <w:szCs w:val="20"/>
          <w:color w:val="auto"/>
        </w:rPr>
      </w:pPr>
      <w:r>
        <w:rPr>
          <w:rFonts w:ascii="Arial" w:cs="Arial" w:eastAsia="Arial" w:hAnsi="Arial"/>
          <w:sz w:val="17"/>
          <w:szCs w:val="17"/>
          <w:color w:val="030303"/>
        </w:rPr>
        <w:t>By signing below, each of the parties signifies his, her, or its acceptance of the terms of this Agreement, in the case of the Company by its duly authorized officer, effective as of the last date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300990</wp:posOffset>
            </wp:positionV>
            <wp:extent cx="5391785" cy="1371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539178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740"/>
        <w:spacing w:after="0"/>
        <w:rPr>
          <w:sz w:val="20"/>
          <w:szCs w:val="20"/>
          <w:color w:val="auto"/>
        </w:rPr>
      </w:pPr>
      <w:r>
        <w:rPr>
          <w:rFonts w:ascii="Arial" w:cs="Arial" w:eastAsia="Arial" w:hAnsi="Arial"/>
          <w:sz w:val="16"/>
          <w:szCs w:val="16"/>
          <w:i w:val="1"/>
          <w:iCs w:val="1"/>
          <w:color w:val="030303"/>
        </w:rPr>
        <w:t>[Signature Page of the A&amp;R Participation Agreement (Jalota)]</w:t>
      </w:r>
    </w:p>
    <w:p>
      <w:pPr>
        <w:sectPr>
          <w:pgSz w:w="11900" w:h="16838" w:orient="portrait"/>
          <w:cols w:equalWidth="0" w:num="1">
            <w:col w:w="10860"/>
          </w:cols>
          <w:pgMar w:left="580" w:top="633" w:right="459" w:bottom="1440" w:gutter="0" w:footer="0" w:header="0"/>
        </w:sectPr>
      </w:pPr>
    </w:p>
    <w:bookmarkStart w:id="161" w:name="page162"/>
    <w:bookmarkEnd w:id="161"/>
    <w:p>
      <w:pPr>
        <w:ind w:left="1384"/>
        <w:spacing w:after="0"/>
        <w:rPr>
          <w:sz w:val="20"/>
          <w:szCs w:val="20"/>
          <w:color w:val="auto"/>
        </w:rPr>
      </w:pPr>
      <w:r>
        <w:rPr>
          <w:rFonts w:ascii="Arial" w:cs="Arial" w:eastAsia="Arial" w:hAnsi="Arial"/>
          <w:sz w:val="20"/>
          <w:szCs w:val="20"/>
          <w:b w:val="1"/>
          <w:bCs w:val="1"/>
          <w:color w:val="auto"/>
        </w:rPr>
        <w:t>Exhibit 10.17</w:t>
      </w:r>
    </w:p>
    <w:p>
      <w:pPr>
        <w:spacing w:after="0" w:line="345"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PMV PHARMACEUTICALS, INC.</w:t>
      </w:r>
    </w:p>
    <w:p>
      <w:pPr>
        <w:spacing w:after="0" w:line="307"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AMENDED &amp; RESTATED SAB CONSULTING AGREEMENT</w:t>
      </w:r>
    </w:p>
    <w:p>
      <w:pPr>
        <w:spacing w:after="0" w:line="301" w:lineRule="exact"/>
        <w:rPr>
          <w:sz w:val="20"/>
          <w:szCs w:val="20"/>
          <w:color w:val="auto"/>
        </w:rPr>
      </w:pPr>
    </w:p>
    <w:p>
      <w:pPr>
        <w:jc w:val="both"/>
        <w:ind w:left="4" w:right="20"/>
        <w:spacing w:after="0" w:line="249"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HIS</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ONSULTING</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by and between</w:t>
      </w:r>
      <w:r>
        <w:rPr>
          <w:rFonts w:ascii="Arial" w:cs="Arial" w:eastAsia="Arial" w:hAnsi="Arial"/>
          <w:sz w:val="22"/>
          <w:szCs w:val="22"/>
          <w:b w:val="1"/>
          <w:bCs w:val="1"/>
          <w:color w:val="auto"/>
        </w:rPr>
        <w:t xml:space="preserve"> PMV P</w:t>
      </w:r>
      <w:r>
        <w:rPr>
          <w:rFonts w:ascii="Arial" w:cs="Arial" w:eastAsia="Arial" w:hAnsi="Arial"/>
          <w:sz w:val="17"/>
          <w:szCs w:val="17"/>
          <w:b w:val="1"/>
          <w:bCs w:val="1"/>
          <w:color w:val="auto"/>
        </w:rPr>
        <w:t>HARMACEUTICALS</w:t>
      </w: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INC</w:t>
      </w:r>
      <w:r>
        <w:rPr>
          <w:rFonts w:ascii="Arial" w:cs="Arial" w:eastAsia="Arial" w:hAnsi="Arial"/>
          <w:sz w:val="21"/>
          <w:szCs w:val="21"/>
          <w:b w:val="1"/>
          <w:bCs w:val="1"/>
          <w:color w:val="auto"/>
        </w:rPr>
        <w:t>.,</w:t>
      </w:r>
      <w:r>
        <w:rPr>
          <w:rFonts w:ascii="Arial" w:cs="Arial" w:eastAsia="Arial" w:hAnsi="Arial"/>
          <w:sz w:val="17"/>
          <w:szCs w:val="17"/>
          <w:b w:val="1"/>
          <w:bCs w:val="1"/>
          <w:color w:val="auto"/>
        </w:rPr>
        <w:t xml:space="preserve"> </w:t>
      </w:r>
      <w:r>
        <w:rPr>
          <w:rFonts w:ascii="Arial" w:cs="Arial" w:eastAsia="Arial" w:hAnsi="Arial"/>
          <w:sz w:val="21"/>
          <w:szCs w:val="21"/>
          <w:color w:val="auto"/>
        </w:rPr>
        <w:t>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w:t>
      </w:r>
      <w:r>
        <w:rPr>
          <w:rFonts w:ascii="Arial" w:cs="Arial" w:eastAsia="Arial" w:hAnsi="Arial"/>
          <w:sz w:val="17"/>
          <w:szCs w:val="17"/>
          <w:b w:val="1"/>
          <w:bCs w:val="1"/>
          <w:color w:val="auto"/>
        </w:rPr>
        <w:t xml:space="preserve"> </w:t>
      </w:r>
      <w:r>
        <w:rPr>
          <w:rFonts w:ascii="Arial" w:cs="Arial" w:eastAsia="Arial" w:hAnsi="Arial"/>
          <w:sz w:val="21"/>
          <w:szCs w:val="21"/>
          <w:b w:val="1"/>
          <w:bCs w:val="1"/>
          <w:color w:val="auto"/>
        </w:rPr>
        <w:t>Richard Heyman, Ph.D.</w:t>
      </w:r>
      <w:r>
        <w:rPr>
          <w:rFonts w:ascii="Arial" w:cs="Arial" w:eastAsia="Arial" w:hAnsi="Arial"/>
          <w:sz w:val="21"/>
          <w:szCs w:val="21"/>
          <w:color w:val="auto"/>
        </w:rPr>
        <w:t>, an individual (“</w:t>
      </w:r>
      <w:r>
        <w:rPr>
          <w:rFonts w:ascii="Arial" w:cs="Arial" w:eastAsia="Arial" w:hAnsi="Arial"/>
          <w:sz w:val="21"/>
          <w:szCs w:val="21"/>
          <w:u w:val="single" w:color="auto"/>
          <w:color w:val="auto"/>
        </w:rPr>
        <w:t>Consultant”</w:t>
      </w:r>
      <w:r>
        <w:rPr>
          <w:rFonts w:ascii="Arial" w:cs="Arial" w:eastAsia="Arial" w:hAnsi="Arial"/>
          <w:sz w:val="21"/>
          <w:szCs w:val="21"/>
          <w:color w:val="auto"/>
        </w:rPr>
        <w:t>), effective as of</w:t>
      </w:r>
      <w:r>
        <w:rPr>
          <w:rFonts w:ascii="Arial" w:cs="Arial" w:eastAsia="Arial" w:hAnsi="Arial"/>
          <w:sz w:val="17"/>
          <w:szCs w:val="17"/>
          <w:b w:val="1"/>
          <w:bCs w:val="1"/>
          <w:color w:val="auto"/>
        </w:rPr>
        <w:t xml:space="preserve"> </w:t>
      </w:r>
      <w:r>
        <w:rPr>
          <w:rFonts w:ascii="Arial" w:cs="Arial" w:eastAsia="Arial" w:hAnsi="Arial"/>
          <w:sz w:val="21"/>
          <w:szCs w:val="21"/>
          <w:color w:val="auto"/>
        </w:rPr>
        <w:t>May 15, 2021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ECITALS</w:t>
      </w:r>
    </w:p>
    <w:p>
      <w:pPr>
        <w:spacing w:after="0" w:line="206" w:lineRule="exact"/>
        <w:rPr>
          <w:sz w:val="20"/>
          <w:szCs w:val="20"/>
          <w:color w:val="auto"/>
        </w:rPr>
      </w:pPr>
    </w:p>
    <w:p>
      <w:pPr>
        <w:jc w:val="both"/>
        <w:ind w:left="4" w:firstLine="818"/>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7"/>
          <w:szCs w:val="17"/>
          <w:b w:val="1"/>
          <w:bCs w:val="1"/>
          <w:color w:val="auto"/>
        </w:rPr>
        <w:t>HEREAS</w:t>
      </w:r>
      <w:r>
        <w:rPr>
          <w:rFonts w:ascii="Arial" w:cs="Arial" w:eastAsia="Arial" w:hAnsi="Arial"/>
          <w:sz w:val="22"/>
          <w:szCs w:val="22"/>
          <w:color w:val="auto"/>
        </w:rPr>
        <w:t>, Consultant and the Company have previously entered into an SAB Consulting Agreement (the “</w:t>
      </w:r>
      <w:r>
        <w:rPr>
          <w:rFonts w:ascii="Arial" w:cs="Arial" w:eastAsia="Arial" w:hAnsi="Arial"/>
          <w:sz w:val="22"/>
          <w:szCs w:val="22"/>
          <w:u w:val="single" w:color="auto"/>
          <w:color w:val="auto"/>
        </w:rPr>
        <w:t>Prior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pursuant to which the Company has appointed, and Consultant has agreed to serve, on the Company’s Scientific Advisory Board (the “</w:t>
      </w:r>
      <w:r>
        <w:rPr>
          <w:rFonts w:ascii="Arial" w:cs="Arial" w:eastAsia="Arial" w:hAnsi="Arial"/>
          <w:sz w:val="22"/>
          <w:szCs w:val="22"/>
          <w:u w:val="single" w:color="auto"/>
          <w:color w:val="auto"/>
        </w:rPr>
        <w:t>SAB</w:t>
      </w:r>
      <w:r>
        <w:rPr>
          <w:rFonts w:ascii="Arial" w:cs="Arial" w:eastAsia="Arial" w:hAnsi="Arial"/>
          <w:sz w:val="22"/>
          <w:szCs w:val="22"/>
          <w:color w:val="auto"/>
        </w:rPr>
        <w:t>”); and</w:t>
      </w:r>
    </w:p>
    <w:p>
      <w:pPr>
        <w:spacing w:after="0" w:line="177" w:lineRule="exact"/>
        <w:rPr>
          <w:sz w:val="20"/>
          <w:szCs w:val="20"/>
          <w:color w:val="auto"/>
        </w:rPr>
      </w:pPr>
    </w:p>
    <w:p>
      <w:pPr>
        <w:jc w:val="both"/>
        <w:ind w:left="4" w:firstLine="818"/>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7"/>
          <w:szCs w:val="17"/>
          <w:b w:val="1"/>
          <w:bCs w:val="1"/>
          <w:color w:val="auto"/>
        </w:rPr>
        <w:t>HEREAS</w:t>
      </w:r>
      <w:r>
        <w:rPr>
          <w:rFonts w:ascii="Arial" w:cs="Arial" w:eastAsia="Arial" w:hAnsi="Arial"/>
          <w:sz w:val="22"/>
          <w:szCs w:val="22"/>
          <w:color w:val="auto"/>
        </w:rPr>
        <w:t>, PMV Pharma and Consultant desire to amend and restate the terms of the Prior Agreement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as set forth herein;</w:t>
      </w:r>
    </w:p>
    <w:p>
      <w:pPr>
        <w:spacing w:after="0" w:line="162" w:lineRule="exact"/>
        <w:rPr>
          <w:sz w:val="20"/>
          <w:szCs w:val="20"/>
          <w:color w:val="auto"/>
        </w:rPr>
      </w:pPr>
    </w:p>
    <w:p>
      <w:pPr>
        <w:ind w:left="824"/>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OW</w:t>
      </w:r>
      <w:r>
        <w:rPr>
          <w:rFonts w:ascii="Arial" w:cs="Arial" w:eastAsia="Arial" w:hAnsi="Arial"/>
          <w:sz w:val="19"/>
          <w:szCs w:val="19"/>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9"/>
          <w:szCs w:val="19"/>
          <w:color w:val="auto"/>
        </w:rPr>
        <w:t>, in consideration of the mutual obligations specified in this Agreement, the parties agree that the</w:t>
      </w:r>
    </w:p>
    <w:p>
      <w:pPr>
        <w:spacing w:after="0" w:line="49" w:lineRule="exact"/>
        <w:rPr>
          <w:sz w:val="20"/>
          <w:szCs w:val="20"/>
          <w:color w:val="auto"/>
        </w:rPr>
      </w:pPr>
    </w:p>
    <w:p>
      <w:pPr>
        <w:ind w:left="4"/>
        <w:spacing w:after="0"/>
        <w:rPr>
          <w:sz w:val="20"/>
          <w:szCs w:val="20"/>
          <w:color w:val="auto"/>
        </w:rPr>
      </w:pPr>
      <w:r>
        <w:rPr>
          <w:rFonts w:ascii="Arial" w:cs="Arial" w:eastAsia="Arial" w:hAnsi="Arial"/>
          <w:sz w:val="22"/>
          <w:szCs w:val="22"/>
          <w:color w:val="auto"/>
        </w:rPr>
        <w:t>Prior Agreement shall be amended and restated as follows:</w:t>
      </w:r>
    </w:p>
    <w:p>
      <w:pPr>
        <w:spacing w:after="0" w:line="182" w:lineRule="exact"/>
        <w:rPr>
          <w:sz w:val="20"/>
          <w:szCs w:val="20"/>
          <w:color w:val="auto"/>
        </w:rPr>
      </w:pPr>
    </w:p>
    <w:p>
      <w:pPr>
        <w:ind w:left="424" w:hanging="424"/>
        <w:spacing w:after="0" w:line="256" w:lineRule="auto"/>
        <w:tabs>
          <w:tab w:leader="none" w:pos="424"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ONSULTING</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ERVICES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NGAGEMENT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hereby retains Consultant, and Consultant hereby accepts such</w:t>
      </w:r>
      <w:r>
        <w:rPr>
          <w:rFonts w:ascii="Arial" w:cs="Arial" w:eastAsia="Arial" w:hAnsi="Arial"/>
          <w:sz w:val="22"/>
          <w:szCs w:val="22"/>
          <w:b w:val="1"/>
          <w:bCs w:val="1"/>
          <w:color w:val="auto"/>
        </w:rPr>
        <w:t xml:space="preserve"> </w:t>
      </w:r>
      <w:r>
        <w:rPr>
          <w:rFonts w:ascii="Arial" w:cs="Arial" w:eastAsia="Arial" w:hAnsi="Arial"/>
          <w:sz w:val="22"/>
          <w:szCs w:val="22"/>
          <w:color w:val="auto"/>
        </w:rPr>
        <w:t>retention, to perform consulting services for the Company as set forth herein.</w:t>
      </w:r>
    </w:p>
    <w:p>
      <w:pPr>
        <w:spacing w:after="0" w:line="162" w:lineRule="exact"/>
        <w:rPr>
          <w:rFonts w:ascii="Arial" w:cs="Arial" w:eastAsia="Arial" w:hAnsi="Arial"/>
          <w:sz w:val="22"/>
          <w:szCs w:val="22"/>
          <w:b w:val="1"/>
          <w:bCs w:val="1"/>
          <w:color w:val="auto"/>
        </w:rPr>
      </w:pPr>
    </w:p>
    <w:p>
      <w:pPr>
        <w:ind w:left="424"/>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1.1.  S</w:t>
      </w:r>
      <w:r>
        <w:rPr>
          <w:rFonts w:ascii="Arial" w:cs="Arial" w:eastAsia="Arial" w:hAnsi="Arial"/>
          <w:sz w:val="17"/>
          <w:szCs w:val="17"/>
          <w:b w:val="1"/>
          <w:bCs w:val="1"/>
          <w:color w:val="auto"/>
        </w:rPr>
        <w:t>ERVICES</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shall provide services described in Exhibit 1 (“</w:t>
      </w:r>
      <w:r>
        <w:rPr>
          <w:rFonts w:ascii="Arial" w:cs="Arial" w:eastAsia="Arial" w:hAnsi="Arial"/>
          <w:sz w:val="22"/>
          <w:szCs w:val="22"/>
          <w:u w:val="single" w:color="auto"/>
          <w:color w:val="auto"/>
        </w:rPr>
        <w:t>Services</w:t>
      </w:r>
      <w:r>
        <w:rPr>
          <w:rFonts w:ascii="Arial" w:cs="Arial" w:eastAsia="Arial" w:hAnsi="Arial"/>
          <w:sz w:val="22"/>
          <w:szCs w:val="22"/>
          <w:color w:val="auto"/>
        </w:rPr>
        <w:t>”) for the Company.</w:t>
      </w:r>
    </w:p>
    <w:p>
      <w:pPr>
        <w:spacing w:after="0" w:line="206" w:lineRule="exact"/>
        <w:rPr>
          <w:rFonts w:ascii="Arial" w:cs="Arial" w:eastAsia="Arial" w:hAnsi="Arial"/>
          <w:sz w:val="22"/>
          <w:szCs w:val="22"/>
          <w:b w:val="1"/>
          <w:bCs w:val="1"/>
          <w:color w:val="auto"/>
        </w:rPr>
      </w:pPr>
    </w:p>
    <w:p>
      <w:pPr>
        <w:ind w:left="424"/>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1.2.  C</w:t>
      </w:r>
      <w:r>
        <w:rPr>
          <w:rFonts w:ascii="Arial" w:cs="Arial" w:eastAsia="Arial" w:hAnsi="Arial"/>
          <w:sz w:val="17"/>
          <w:szCs w:val="17"/>
          <w:b w:val="1"/>
          <w:bCs w:val="1"/>
          <w:color w:val="auto"/>
        </w:rPr>
        <w:t>OMPENSATION</w:t>
      </w:r>
      <w:r>
        <w:rPr>
          <w:rFonts w:ascii="Arial" w:cs="Arial" w:eastAsia="Arial" w:hAnsi="Arial"/>
          <w:sz w:val="22"/>
          <w:szCs w:val="22"/>
          <w:color w:val="auto"/>
        </w:rPr>
        <w:t>. Company agrees to pay Consultant the compensation set forth in Exhibit 1.</w:t>
      </w:r>
    </w:p>
    <w:p>
      <w:pPr>
        <w:spacing w:after="0" w:line="206" w:lineRule="exact"/>
        <w:rPr>
          <w:sz w:val="20"/>
          <w:szCs w:val="20"/>
          <w:color w:val="auto"/>
        </w:rPr>
      </w:pPr>
    </w:p>
    <w:p>
      <w:pPr>
        <w:ind w:left="924" w:hanging="499"/>
        <w:spacing w:after="0" w:line="334" w:lineRule="auto"/>
        <w:rPr>
          <w:sz w:val="20"/>
          <w:szCs w:val="20"/>
          <w:color w:val="auto"/>
        </w:rPr>
      </w:pPr>
      <w:r>
        <w:rPr>
          <w:rFonts w:ascii="Arial" w:cs="Arial" w:eastAsia="Arial" w:hAnsi="Arial"/>
          <w:sz w:val="19"/>
          <w:szCs w:val="19"/>
          <w:b w:val="1"/>
          <w:bCs w:val="1"/>
          <w:color w:val="auto"/>
        </w:rPr>
        <w:t>1.3. T</w:t>
      </w:r>
      <w:r>
        <w:rPr>
          <w:rFonts w:ascii="Arial" w:cs="Arial" w:eastAsia="Arial" w:hAnsi="Arial"/>
          <w:sz w:val="15"/>
          <w:szCs w:val="15"/>
          <w:b w:val="1"/>
          <w:bCs w:val="1"/>
          <w:color w:val="auto"/>
        </w:rPr>
        <w:t>ERM AND</w:t>
      </w:r>
      <w:r>
        <w:rPr>
          <w:rFonts w:ascii="Arial" w:cs="Arial" w:eastAsia="Arial" w:hAnsi="Arial"/>
          <w:sz w:val="19"/>
          <w:szCs w:val="19"/>
          <w:b w:val="1"/>
          <w:bCs w:val="1"/>
          <w:color w:val="auto"/>
        </w:rPr>
        <w:t xml:space="preserve"> T</w:t>
      </w:r>
      <w:r>
        <w:rPr>
          <w:rFonts w:ascii="Arial" w:cs="Arial" w:eastAsia="Arial" w:hAnsi="Arial"/>
          <w:sz w:val="15"/>
          <w:szCs w:val="15"/>
          <w:b w:val="1"/>
          <w:bCs w:val="1"/>
          <w:color w:val="auto"/>
        </w:rPr>
        <w:t>IME</w:t>
      </w:r>
      <w:r>
        <w:rPr>
          <w:rFonts w:ascii="Arial" w:cs="Arial" w:eastAsia="Arial" w:hAnsi="Arial"/>
          <w:sz w:val="19"/>
          <w:szCs w:val="19"/>
          <w:b w:val="1"/>
          <w:bCs w:val="1"/>
          <w:color w:val="auto"/>
        </w:rPr>
        <w:t xml:space="preserve"> C</w:t>
      </w:r>
      <w:r>
        <w:rPr>
          <w:rFonts w:ascii="Arial" w:cs="Arial" w:eastAsia="Arial" w:hAnsi="Arial"/>
          <w:sz w:val="15"/>
          <w:szCs w:val="15"/>
          <w:b w:val="1"/>
          <w:bCs w:val="1"/>
          <w:color w:val="auto"/>
        </w:rPr>
        <w:t>OMMITMENT</w:t>
      </w:r>
      <w:r>
        <w:rPr>
          <w:rFonts w:ascii="Arial" w:cs="Arial" w:eastAsia="Arial" w:hAnsi="Arial"/>
          <w:sz w:val="19"/>
          <w:szCs w:val="19"/>
          <w:color w:val="auto"/>
        </w:rPr>
        <w:t>. This Agreement will commence on the Effective Date and will continue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for a three (3) year term, unless terminated earlier by either party according to section 1.6 below.</w:t>
      </w:r>
    </w:p>
    <w:p>
      <w:pPr>
        <w:spacing w:after="0" w:line="94" w:lineRule="exact"/>
        <w:rPr>
          <w:sz w:val="20"/>
          <w:szCs w:val="20"/>
          <w:color w:val="auto"/>
        </w:rPr>
      </w:pPr>
    </w:p>
    <w:p>
      <w:pPr>
        <w:ind w:left="424"/>
        <w:spacing w:after="0"/>
        <w:rPr>
          <w:sz w:val="20"/>
          <w:szCs w:val="20"/>
          <w:color w:val="auto"/>
        </w:rPr>
      </w:pPr>
      <w:r>
        <w:rPr>
          <w:rFonts w:ascii="Arial" w:cs="Arial" w:eastAsia="Arial" w:hAnsi="Arial"/>
          <w:sz w:val="22"/>
          <w:szCs w:val="22"/>
          <w:b w:val="1"/>
          <w:bCs w:val="1"/>
          <w:color w:val="auto"/>
        </w:rPr>
        <w:t>1.4.  P</w:t>
      </w:r>
      <w:r>
        <w:rPr>
          <w:rFonts w:ascii="Arial" w:cs="Arial" w:eastAsia="Arial" w:hAnsi="Arial"/>
          <w:sz w:val="17"/>
          <w:szCs w:val="17"/>
          <w:b w:val="1"/>
          <w:bCs w:val="1"/>
          <w:color w:val="auto"/>
        </w:rPr>
        <w:t>AYMENT</w:t>
      </w:r>
      <w:r>
        <w:rPr>
          <w:rFonts w:ascii="Arial" w:cs="Arial" w:eastAsia="Arial" w:hAnsi="Arial"/>
          <w:sz w:val="22"/>
          <w:szCs w:val="22"/>
          <w:b w:val="1"/>
          <w:bCs w:val="1"/>
          <w:color w:val="auto"/>
        </w:rPr>
        <w:t xml:space="preserve"> T</w:t>
      </w:r>
      <w:r>
        <w:rPr>
          <w:rFonts w:ascii="Arial" w:cs="Arial" w:eastAsia="Arial" w:hAnsi="Arial"/>
          <w:sz w:val="17"/>
          <w:szCs w:val="17"/>
          <w:b w:val="1"/>
          <w:bCs w:val="1"/>
          <w:color w:val="auto"/>
        </w:rPr>
        <w:t>ERMS AND</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XPENSE</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EIMBURSEMENT</w:t>
      </w:r>
      <w:r>
        <w:rPr>
          <w:rFonts w:ascii="Arial" w:cs="Arial" w:eastAsia="Arial" w:hAnsi="Arial"/>
          <w:sz w:val="22"/>
          <w:szCs w:val="22"/>
          <w:color w:val="auto"/>
        </w:rPr>
        <w:t>:</w:t>
      </w:r>
    </w:p>
    <w:p>
      <w:pPr>
        <w:spacing w:after="0" w:line="206" w:lineRule="exact"/>
        <w:rPr>
          <w:sz w:val="20"/>
          <w:szCs w:val="20"/>
          <w:color w:val="auto"/>
        </w:rPr>
      </w:pPr>
    </w:p>
    <w:p>
      <w:pPr>
        <w:ind w:left="844"/>
        <w:spacing w:after="0"/>
        <w:rPr>
          <w:sz w:val="20"/>
          <w:szCs w:val="20"/>
          <w:color w:val="auto"/>
        </w:rPr>
      </w:pPr>
      <w:r>
        <w:rPr>
          <w:rFonts w:ascii="Arial" w:cs="Arial" w:eastAsia="Arial" w:hAnsi="Arial"/>
          <w:sz w:val="19"/>
          <w:szCs w:val="19"/>
          <w:b w:val="1"/>
          <w:bCs w:val="1"/>
          <w:color w:val="auto"/>
        </w:rPr>
        <w:t>1.4.1. P</w:t>
      </w:r>
      <w:r>
        <w:rPr>
          <w:rFonts w:ascii="Arial" w:cs="Arial" w:eastAsia="Arial" w:hAnsi="Arial"/>
          <w:sz w:val="15"/>
          <w:szCs w:val="15"/>
          <w:b w:val="1"/>
          <w:bCs w:val="1"/>
          <w:color w:val="auto"/>
        </w:rPr>
        <w:t>AYMENT</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pay Consultant on a quarterly basis, effect on the first day of each calendar quarter.</w:t>
      </w:r>
    </w:p>
    <w:p>
      <w:pPr>
        <w:spacing w:after="0" w:line="241" w:lineRule="exact"/>
        <w:rPr>
          <w:sz w:val="20"/>
          <w:szCs w:val="20"/>
          <w:color w:val="auto"/>
        </w:rPr>
      </w:pPr>
    </w:p>
    <w:p>
      <w:pPr>
        <w:jc w:val="both"/>
        <w:ind w:left="1424" w:hanging="579"/>
        <w:spacing w:after="0" w:line="249" w:lineRule="auto"/>
        <w:rPr>
          <w:sz w:val="20"/>
          <w:szCs w:val="20"/>
          <w:color w:val="auto"/>
        </w:rPr>
      </w:pPr>
      <w:r>
        <w:rPr>
          <w:rFonts w:ascii="Arial" w:cs="Arial" w:eastAsia="Arial" w:hAnsi="Arial"/>
          <w:sz w:val="21"/>
          <w:szCs w:val="21"/>
          <w:b w:val="1"/>
          <w:bCs w:val="1"/>
          <w:color w:val="auto"/>
        </w:rPr>
        <w:t>1.4.2. E</w:t>
      </w:r>
      <w:r>
        <w:rPr>
          <w:rFonts w:ascii="Arial" w:cs="Arial" w:eastAsia="Arial" w:hAnsi="Arial"/>
          <w:sz w:val="16"/>
          <w:szCs w:val="16"/>
          <w:b w:val="1"/>
          <w:bCs w:val="1"/>
          <w:color w:val="auto"/>
        </w:rPr>
        <w:t>XPENSES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shall reimburse Consultant for expenses actually incurred by Consultant in</w:t>
      </w:r>
      <w:r>
        <w:rPr>
          <w:rFonts w:ascii="Arial" w:cs="Arial" w:eastAsia="Arial" w:hAnsi="Arial"/>
          <w:sz w:val="21"/>
          <w:szCs w:val="21"/>
          <w:b w:val="1"/>
          <w:bCs w:val="1"/>
          <w:color w:val="auto"/>
        </w:rPr>
        <w:t xml:space="preserve"> </w:t>
      </w:r>
      <w:r>
        <w:rPr>
          <w:rFonts w:ascii="Arial" w:cs="Arial" w:eastAsia="Arial" w:hAnsi="Arial"/>
          <w:sz w:val="21"/>
          <w:szCs w:val="21"/>
          <w:color w:val="auto"/>
        </w:rPr>
        <w:t>performing the Services, including but not limited to travel and accommodation expenses, so long as such expenses are reasonable and necessary as determined by the Company and, where such policies exist, comply with the Company’s expense policies. Consultant shall maintain adequate books and records relating to any expenses to be reimbursed. Consultant shall submit in a timely manner original receipts along with invoices and summarize expenses in a form acceptable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481965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4"/>
          </w:cols>
          <w:pgMar w:left="436" w:top="118" w:right="499" w:bottom="1440" w:gutter="0" w:footer="0" w:header="0"/>
        </w:sectPr>
      </w:pPr>
    </w:p>
    <w:bookmarkStart w:id="162" w:name="page163"/>
    <w:bookmarkEnd w:id="162"/>
    <w:p>
      <w:pPr>
        <w:jc w:val="both"/>
        <w:ind w:left="960" w:hanging="499"/>
        <w:spacing w:after="0" w:line="247" w:lineRule="auto"/>
        <w:rPr>
          <w:sz w:val="20"/>
          <w:szCs w:val="20"/>
          <w:color w:val="auto"/>
        </w:rPr>
      </w:pPr>
      <w:r>
        <w:rPr>
          <w:rFonts w:ascii="Arial" w:cs="Arial" w:eastAsia="Arial" w:hAnsi="Arial"/>
          <w:sz w:val="21"/>
          <w:szCs w:val="21"/>
          <w:b w:val="1"/>
          <w:bCs w:val="1"/>
          <w:color w:val="auto"/>
        </w:rPr>
        <w:t>1.5. I</w:t>
      </w:r>
      <w:r>
        <w:rPr>
          <w:rFonts w:ascii="Arial" w:cs="Arial" w:eastAsia="Arial" w:hAnsi="Arial"/>
          <w:sz w:val="16"/>
          <w:szCs w:val="16"/>
          <w:b w:val="1"/>
          <w:bCs w:val="1"/>
          <w:color w:val="auto"/>
        </w:rPr>
        <w:t>NDEPENDENT</w:t>
      </w:r>
      <w:r>
        <w:rPr>
          <w:rFonts w:ascii="Arial" w:cs="Arial" w:eastAsia="Arial" w:hAnsi="Arial"/>
          <w:sz w:val="21"/>
          <w:szCs w:val="21"/>
          <w:b w:val="1"/>
          <w:bCs w:val="1"/>
          <w:color w:val="auto"/>
        </w:rPr>
        <w:t xml:space="preserve"> C</w:t>
      </w:r>
      <w:r>
        <w:rPr>
          <w:rFonts w:ascii="Arial" w:cs="Arial" w:eastAsia="Arial" w:hAnsi="Arial"/>
          <w:sz w:val="16"/>
          <w:szCs w:val="16"/>
          <w:b w:val="1"/>
          <w:bCs w:val="1"/>
          <w:color w:val="auto"/>
        </w:rPr>
        <w:t>ONTRACTOR</w:t>
      </w:r>
      <w:r>
        <w:rPr>
          <w:rFonts w:ascii="Arial" w:cs="Arial" w:eastAsia="Arial" w:hAnsi="Arial"/>
          <w:sz w:val="21"/>
          <w:szCs w:val="21"/>
          <w:b w:val="1"/>
          <w:bCs w:val="1"/>
          <w:color w:val="auto"/>
        </w:rPr>
        <w:t xml:space="preserve"> S</w:t>
      </w:r>
      <w:r>
        <w:rPr>
          <w:rFonts w:ascii="Arial" w:cs="Arial" w:eastAsia="Arial" w:hAnsi="Arial"/>
          <w:sz w:val="16"/>
          <w:szCs w:val="16"/>
          <w:b w:val="1"/>
          <w:bCs w:val="1"/>
          <w:color w:val="auto"/>
        </w:rPr>
        <w:t>TATUS</w:t>
      </w:r>
      <w:r>
        <w:rPr>
          <w:rFonts w:ascii="Arial" w:cs="Arial" w:eastAsia="Arial" w:hAnsi="Arial"/>
          <w:sz w:val="21"/>
          <w:szCs w:val="21"/>
          <w:color w:val="auto"/>
        </w:rPr>
        <w:t>. It is understood and agreed that Consultant is an independent contractor, is</w:t>
      </w:r>
      <w:r>
        <w:rPr>
          <w:rFonts w:ascii="Arial" w:cs="Arial" w:eastAsia="Arial" w:hAnsi="Arial"/>
          <w:sz w:val="21"/>
          <w:szCs w:val="21"/>
          <w:b w:val="1"/>
          <w:bCs w:val="1"/>
          <w:color w:val="auto"/>
        </w:rPr>
        <w:t xml:space="preserve"> </w:t>
      </w:r>
      <w:r>
        <w:rPr>
          <w:rFonts w:ascii="Arial" w:cs="Arial" w:eastAsia="Arial" w:hAnsi="Arial"/>
          <w:sz w:val="21"/>
          <w:szCs w:val="21"/>
          <w:color w:val="auto"/>
        </w:rPr>
        <w:t>not an agent or employee of the Company, and is not authorized to act on behalf of the Company. Consultant agrees not to hold himself or herself out as, or give any person any reason to believe that he or she is an employee, agent, joint venturer or partner of the Company. Consultant will not be eligible for any employee benefits, nor will the Company make deductions from any amounts payable to Consultant for taxes or insurance. All payroll and employment taxes, insurance, and benefits shall be the sole responsibility of Consultant. Consultant retains the right to provide services for others during the term of this Agreement and is not required to devote his or her services exclusively for the Company.</w:t>
      </w:r>
    </w:p>
    <w:p>
      <w:pPr>
        <w:spacing w:after="0" w:line="172" w:lineRule="exact"/>
        <w:rPr>
          <w:sz w:val="20"/>
          <w:szCs w:val="20"/>
          <w:color w:val="auto"/>
        </w:rPr>
      </w:pPr>
    </w:p>
    <w:p>
      <w:pPr>
        <w:jc w:val="both"/>
        <w:ind w:left="960" w:hanging="499"/>
        <w:spacing w:after="0" w:line="275" w:lineRule="auto"/>
        <w:rPr>
          <w:sz w:val="20"/>
          <w:szCs w:val="20"/>
          <w:color w:val="auto"/>
        </w:rPr>
      </w:pPr>
      <w:r>
        <w:rPr>
          <w:rFonts w:ascii="Arial" w:cs="Arial" w:eastAsia="Arial" w:hAnsi="Arial"/>
          <w:sz w:val="19"/>
          <w:szCs w:val="19"/>
          <w:b w:val="1"/>
          <w:bCs w:val="1"/>
          <w:color w:val="auto"/>
        </w:rPr>
        <w:t>1.6. T</w:t>
      </w:r>
      <w:r>
        <w:rPr>
          <w:rFonts w:ascii="Arial" w:cs="Arial" w:eastAsia="Arial" w:hAnsi="Arial"/>
          <w:sz w:val="15"/>
          <w:szCs w:val="15"/>
          <w:b w:val="1"/>
          <w:bCs w:val="1"/>
          <w:color w:val="auto"/>
        </w:rPr>
        <w: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Consultant may terminate this Agreement at any time by giving ten (10)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days’ written notice. Company may terminate this Agreement immediately upon written notice and without prior notice if Consultant refuses to or is unable to perform the Services or is in breach of any material provision of this Agreement. In the event of such termination, Consultant shall cease work immediately after receiving such notice of termination, unless otherwise agreed to in writing with the Company. At the time of termination of this Agreement for any reason, Consultant shall return to the Company all Confidential Information, Service Product, and other materials belonging to the Company, and shall notify the Company of any compensation earned and expenses incurred up to the termination date, which compensation and expenses shall be paid by the Company within 30 days of the Company’s receipt of Consultant’s invoice for same.</w:t>
      </w:r>
    </w:p>
    <w:p>
      <w:pPr>
        <w:spacing w:after="0" w:line="150" w:lineRule="exact"/>
        <w:rPr>
          <w:sz w:val="20"/>
          <w:szCs w:val="20"/>
          <w:color w:val="auto"/>
        </w:rPr>
      </w:pPr>
    </w:p>
    <w:p>
      <w:pPr>
        <w:ind w:left="460" w:right="20" w:hanging="424"/>
        <w:spacing w:after="0" w:line="256" w:lineRule="auto"/>
        <w:tabs>
          <w:tab w:leader="none" w:pos="4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ONFIDENTIALITY AND</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SSIGNMENT OF</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NVENTIONS</w:t>
      </w:r>
      <w:r>
        <w:rPr>
          <w:rFonts w:ascii="Arial" w:cs="Arial" w:eastAsia="Arial" w:hAnsi="Arial"/>
          <w:sz w:val="22"/>
          <w:szCs w:val="22"/>
          <w:color w:val="auto"/>
        </w:rPr>
        <w:t>. As a condition of this Agreement, Consultant agrees to all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Section 1, Exhibit 2 (Confidentiality) and Section 2, Exhibit 2 (Assignment of Inventions).</w:t>
      </w:r>
    </w:p>
    <w:p>
      <w:pPr>
        <w:spacing w:after="0" w:line="162" w:lineRule="exact"/>
        <w:rPr>
          <w:rFonts w:ascii="Arial" w:cs="Arial" w:eastAsia="Arial" w:hAnsi="Arial"/>
          <w:sz w:val="22"/>
          <w:szCs w:val="22"/>
          <w:b w:val="1"/>
          <w:bCs w:val="1"/>
          <w:color w:val="auto"/>
        </w:rPr>
      </w:pPr>
    </w:p>
    <w:p>
      <w:pPr>
        <w:ind w:left="460" w:right="20" w:hanging="424"/>
        <w:spacing w:after="0" w:line="334" w:lineRule="auto"/>
        <w:tabs>
          <w:tab w:leader="none" w:pos="46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S</w:t>
      </w:r>
      <w:r>
        <w:rPr>
          <w:rFonts w:ascii="Arial" w:cs="Arial" w:eastAsia="Arial" w:hAnsi="Arial"/>
          <w:sz w:val="15"/>
          <w:szCs w:val="15"/>
          <w:b w:val="1"/>
          <w:bCs w:val="1"/>
          <w:color w:val="auto"/>
        </w:rPr>
        <w:t>URVIVING</w:t>
      </w:r>
      <w:r>
        <w:rPr>
          <w:rFonts w:ascii="Arial" w:cs="Arial" w:eastAsia="Arial" w:hAnsi="Arial"/>
          <w:sz w:val="19"/>
          <w:szCs w:val="19"/>
          <w:b w:val="1"/>
          <w:bCs w:val="1"/>
          <w:color w:val="auto"/>
        </w:rPr>
        <w:t xml:space="preserve"> S</w:t>
      </w:r>
      <w:r>
        <w:rPr>
          <w:rFonts w:ascii="Arial" w:cs="Arial" w:eastAsia="Arial" w:hAnsi="Arial"/>
          <w:sz w:val="15"/>
          <w:szCs w:val="15"/>
          <w:b w:val="1"/>
          <w:bCs w:val="1"/>
          <w:color w:val="auto"/>
        </w:rPr>
        <w:t>ECTIONS</w:t>
      </w:r>
      <w:r>
        <w:rPr>
          <w:rFonts w:ascii="Arial" w:cs="Arial" w:eastAsia="Arial" w:hAnsi="Arial"/>
          <w:sz w:val="19"/>
          <w:szCs w:val="19"/>
          <w:color w:val="auto"/>
        </w:rPr>
        <w:t>. Sections 1 (Confidentiality) and 2 (Ownership of Inventions) of Exhibit 2 of the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survive any termination of this Agreement for the period of five (5) years from the execution of this Agreement.</w:t>
      </w:r>
    </w:p>
    <w:p>
      <w:pPr>
        <w:spacing w:after="0" w:line="93" w:lineRule="exact"/>
        <w:rPr>
          <w:rFonts w:ascii="Arial" w:cs="Arial" w:eastAsia="Arial" w:hAnsi="Arial"/>
          <w:sz w:val="19"/>
          <w:szCs w:val="19"/>
          <w:b w:val="1"/>
          <w:bCs w:val="1"/>
          <w:color w:val="auto"/>
        </w:rPr>
      </w:pPr>
    </w:p>
    <w:p>
      <w:pPr>
        <w:jc w:val="both"/>
        <w:ind w:left="460" w:hanging="424"/>
        <w:spacing w:after="0" w:line="251" w:lineRule="auto"/>
        <w:tabs>
          <w:tab w:leader="none" w:pos="460"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A</w:t>
      </w:r>
      <w:r>
        <w:rPr>
          <w:rFonts w:ascii="Arial" w:cs="Arial" w:eastAsia="Arial" w:hAnsi="Arial"/>
          <w:sz w:val="16"/>
          <w:szCs w:val="16"/>
          <w:b w:val="1"/>
          <w:bCs w:val="1"/>
          <w:color w:val="auto"/>
        </w:rPr>
        <w:t>SSIGNMENT</w:t>
      </w:r>
      <w:r>
        <w:rPr>
          <w:rFonts w:ascii="Arial" w:cs="Arial" w:eastAsia="Arial" w:hAnsi="Arial"/>
          <w:sz w:val="21"/>
          <w:szCs w:val="21"/>
          <w:b w:val="1"/>
          <w:bCs w:val="1"/>
          <w:color w:val="auto"/>
        </w:rPr>
        <w:t>; B</w:t>
      </w:r>
      <w:r>
        <w:rPr>
          <w:rFonts w:ascii="Arial" w:cs="Arial" w:eastAsia="Arial" w:hAnsi="Arial"/>
          <w:sz w:val="16"/>
          <w:szCs w:val="16"/>
          <w:b w:val="1"/>
          <w:bCs w:val="1"/>
          <w:color w:val="auto"/>
        </w:rPr>
        <w:t>ENEFIT</w:t>
      </w:r>
      <w:r>
        <w:rPr>
          <w:rFonts w:ascii="Arial" w:cs="Arial" w:eastAsia="Arial" w:hAnsi="Arial"/>
          <w:sz w:val="21"/>
          <w:szCs w:val="21"/>
          <w:color w:val="auto"/>
        </w:rPr>
        <w:t>. This Agreement is for the personal services of Consultant and may not be assigned by him or</w:t>
      </w:r>
      <w:r>
        <w:rPr>
          <w:rFonts w:ascii="Arial" w:cs="Arial" w:eastAsia="Arial" w:hAnsi="Arial"/>
          <w:sz w:val="21"/>
          <w:szCs w:val="21"/>
          <w:b w:val="1"/>
          <w:bCs w:val="1"/>
          <w:color w:val="auto"/>
        </w:rPr>
        <w:t xml:space="preserve"> </w:t>
      </w:r>
      <w:r>
        <w:rPr>
          <w:rFonts w:ascii="Arial" w:cs="Arial" w:eastAsia="Arial" w:hAnsi="Arial"/>
          <w:sz w:val="21"/>
          <w:szCs w:val="21"/>
          <w:color w:val="auto"/>
        </w:rPr>
        <w:t>her, nor shall it be assignable by operation of law, without the prior written consent of the Company. This Agreement may not be assigned by the Company, nor shall it be assignable by operation of law, without the prior written consent of Consultant. The parties’ rights and obligations under this Agreement will bind and inure to the benefit of their respective successors, heirs, executors, and administrators and permitted assigns.</w:t>
      </w:r>
    </w:p>
    <w:p>
      <w:pPr>
        <w:spacing w:after="0" w:line="168" w:lineRule="exact"/>
        <w:rPr>
          <w:rFonts w:ascii="Arial" w:cs="Arial" w:eastAsia="Arial" w:hAnsi="Arial"/>
          <w:sz w:val="21"/>
          <w:szCs w:val="21"/>
          <w:b w:val="1"/>
          <w:bCs w:val="1"/>
          <w:color w:val="auto"/>
        </w:rPr>
      </w:pPr>
    </w:p>
    <w:p>
      <w:pPr>
        <w:jc w:val="both"/>
        <w:ind w:left="460" w:hanging="424"/>
        <w:spacing w:after="0" w:line="239" w:lineRule="auto"/>
        <w:tabs>
          <w:tab w:leader="none" w:pos="4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7"/>
          <w:szCs w:val="17"/>
          <w:b w:val="1"/>
          <w:bCs w:val="1"/>
          <w:color w:val="auto"/>
        </w:rPr>
        <w:t>OVERNING</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AW</w:t>
      </w:r>
      <w:r>
        <w:rPr>
          <w:rFonts w:ascii="Arial" w:cs="Arial" w:eastAsia="Arial" w:hAnsi="Arial"/>
          <w:sz w:val="22"/>
          <w:szCs w:val="22"/>
          <w:b w:val="1"/>
          <w:bCs w:val="1"/>
          <w:color w:val="auto"/>
        </w:rPr>
        <w:t>; S</w:t>
      </w:r>
      <w:r>
        <w:rPr>
          <w:rFonts w:ascii="Arial" w:cs="Arial" w:eastAsia="Arial" w:hAnsi="Arial"/>
          <w:sz w:val="17"/>
          <w:szCs w:val="17"/>
          <w:b w:val="1"/>
          <w:bCs w:val="1"/>
          <w:color w:val="auto"/>
        </w:rPr>
        <w:t>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according to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New Jersey without regard to its conflict of laws rules. If any provision of this Agreement is found by a court of competent jurisdiction to be unenforceable, that provision shall be severed and the remainder of this Agreement shall continue in full force and effect.</w:t>
      </w:r>
    </w:p>
    <w:p>
      <w:pPr>
        <w:spacing w:after="0" w:line="180" w:lineRule="exact"/>
        <w:rPr>
          <w:rFonts w:ascii="Arial" w:cs="Arial" w:eastAsia="Arial" w:hAnsi="Arial"/>
          <w:sz w:val="22"/>
          <w:szCs w:val="22"/>
          <w:b w:val="1"/>
          <w:bCs w:val="1"/>
          <w:color w:val="auto"/>
        </w:rPr>
      </w:pPr>
    </w:p>
    <w:p>
      <w:pPr>
        <w:jc w:val="both"/>
        <w:ind w:left="460" w:hanging="424"/>
        <w:spacing w:after="0" w:line="243" w:lineRule="auto"/>
        <w:tabs>
          <w:tab w:leader="none" w:pos="4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OMPLETE</w:t>
      </w:r>
      <w:r>
        <w:rPr>
          <w:rFonts w:ascii="Arial" w:cs="Arial" w:eastAsia="Arial" w:hAnsi="Arial"/>
          <w:sz w:val="22"/>
          <w:szCs w:val="22"/>
          <w:b w:val="1"/>
          <w:bCs w:val="1"/>
          <w:color w:val="auto"/>
        </w:rPr>
        <w:t xml:space="preserve"> U</w:t>
      </w:r>
      <w:r>
        <w:rPr>
          <w:rFonts w:ascii="Arial" w:cs="Arial" w:eastAsia="Arial" w:hAnsi="Arial"/>
          <w:sz w:val="17"/>
          <w:szCs w:val="17"/>
          <w:b w:val="1"/>
          <w:bCs w:val="1"/>
          <w:color w:val="auto"/>
        </w:rPr>
        <w:t>NDERSTANDING</w:t>
      </w:r>
      <w:r>
        <w:rPr>
          <w:rFonts w:ascii="Arial" w:cs="Arial" w:eastAsia="Arial" w:hAnsi="Arial"/>
          <w:sz w:val="22"/>
          <w:szCs w:val="22"/>
          <w:b w:val="1"/>
          <w:bCs w:val="1"/>
          <w:color w:val="auto"/>
        </w:rPr>
        <w:t>; M</w:t>
      </w:r>
      <w:r>
        <w:rPr>
          <w:rFonts w:ascii="Arial" w:cs="Arial" w:eastAsia="Arial" w:hAnsi="Arial"/>
          <w:sz w:val="17"/>
          <w:szCs w:val="17"/>
          <w:b w:val="1"/>
          <w:bCs w:val="1"/>
          <w:color w:val="auto"/>
        </w:rPr>
        <w:t>ODIFICATION</w:t>
      </w:r>
      <w:r>
        <w:rPr>
          <w:rFonts w:ascii="Arial" w:cs="Arial" w:eastAsia="Arial" w:hAnsi="Arial"/>
          <w:sz w:val="22"/>
          <w:szCs w:val="22"/>
          <w:color w:val="auto"/>
        </w:rPr>
        <w:t>. This Agreement, together with any Exhibits attached hereto, constitutes</w:t>
      </w:r>
      <w:r>
        <w:rPr>
          <w:rFonts w:ascii="Arial" w:cs="Arial" w:eastAsia="Arial" w:hAnsi="Arial"/>
          <w:sz w:val="22"/>
          <w:szCs w:val="22"/>
          <w:b w:val="1"/>
          <w:bCs w:val="1"/>
          <w:color w:val="auto"/>
        </w:rPr>
        <w:t xml:space="preserve"> </w:t>
      </w:r>
      <w:r>
        <w:rPr>
          <w:rFonts w:ascii="Arial" w:cs="Arial" w:eastAsia="Arial" w:hAnsi="Arial"/>
          <w:sz w:val="22"/>
          <w:szCs w:val="22"/>
          <w:color w:val="auto"/>
        </w:rPr>
        <w:t>the final, exclusive and complete understanding and agreement of the Company and Consultant with respect to the subject matter hereof. Any waiver,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285750</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855" w:right="499" w:bottom="1440" w:gutter="0" w:footer="0" w:header="0"/>
        </w:sectPr>
      </w:pPr>
    </w:p>
    <w:bookmarkStart w:id="163" w:name="page164"/>
    <w:bookmarkEnd w:id="163"/>
    <w:p>
      <w:pPr>
        <w:ind w:left="460" w:right="580"/>
        <w:spacing w:after="0" w:line="250" w:lineRule="auto"/>
        <w:rPr>
          <w:sz w:val="20"/>
          <w:szCs w:val="20"/>
          <w:color w:val="auto"/>
        </w:rPr>
      </w:pPr>
      <w:r>
        <w:rPr>
          <w:rFonts w:ascii="Arial" w:cs="Arial" w:eastAsia="Arial" w:hAnsi="Arial"/>
          <w:sz w:val="22"/>
          <w:szCs w:val="22"/>
          <w:color w:val="auto"/>
        </w:rPr>
        <w:t>modification or amendment of any provision of this Agreement shall be effective only if in writing and signed by Consultant and a Company officer.</w:t>
      </w:r>
    </w:p>
    <w:p>
      <w:pPr>
        <w:spacing w:after="0" w:line="169" w:lineRule="exact"/>
        <w:rPr>
          <w:sz w:val="20"/>
          <w:szCs w:val="20"/>
          <w:color w:val="auto"/>
        </w:rPr>
      </w:pPr>
    </w:p>
    <w:p>
      <w:pPr>
        <w:jc w:val="both"/>
        <w:ind w:left="460" w:hanging="424"/>
        <w:spacing w:after="0" w:line="246" w:lineRule="auto"/>
        <w:tabs>
          <w:tab w:leader="none" w:pos="460"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L</w:t>
      </w:r>
      <w:r>
        <w:rPr>
          <w:rFonts w:ascii="Arial" w:cs="Arial" w:eastAsia="Arial" w:hAnsi="Arial"/>
          <w:sz w:val="18"/>
          <w:szCs w:val="18"/>
          <w:b w:val="1"/>
          <w:bCs w:val="1"/>
          <w:color w:val="auto"/>
        </w:rPr>
        <w:t>IABILITY</w:t>
      </w:r>
      <w:r>
        <w:rPr>
          <w:rFonts w:ascii="Arial" w:cs="Arial" w:eastAsia="Arial" w:hAnsi="Arial"/>
          <w:sz w:val="21"/>
          <w:szCs w:val="21"/>
          <w:color w:val="auto"/>
        </w:rPr>
        <w:t>. Consultant represents that he or she is experienced and qualified to perform the Services hereunder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use his or her best efforts to provide the Services with the highest level of skill and professionalism. Except for the foregoing, Consultant makes no warranties with regard to the Services and none shall be implied. In no event shall Consultant be liable for special or consequential damages, either in contract or tort, whether or not the possibility of such damages has been disclosed to Consultant in advance or could have been reasonably foreseen by Consultant. In the event this limitation of damages is held unenforceable, the parties agree that because of the difficulty in foreseeing possible damages, Consultant’s liability to the Company shall not exceed the amount of any payments made by the Company to Consultant under this Agreement, any such liability for payment to be construed as liquidated damages and not as a penalty.</w:t>
      </w:r>
    </w:p>
    <w:p>
      <w:pPr>
        <w:spacing w:after="0" w:line="202" w:lineRule="exact"/>
        <w:rPr>
          <w:rFonts w:ascii="Arial" w:cs="Arial" w:eastAsia="Arial" w:hAnsi="Arial"/>
          <w:sz w:val="21"/>
          <w:szCs w:val="21"/>
          <w:b w:val="1"/>
          <w:bCs w:val="1"/>
          <w:color w:val="auto"/>
        </w:rPr>
      </w:pPr>
    </w:p>
    <w:p>
      <w:pPr>
        <w:jc w:val="both"/>
        <w:ind w:left="460" w:hanging="424"/>
        <w:spacing w:after="0" w:line="275" w:lineRule="auto"/>
        <w:tabs>
          <w:tab w:leader="none" w:pos="46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OTICES</w:t>
      </w:r>
      <w:r>
        <w:rPr>
          <w:rFonts w:ascii="Arial" w:cs="Arial" w:eastAsia="Arial" w:hAnsi="Arial"/>
          <w:sz w:val="19"/>
          <w:szCs w:val="19"/>
          <w:b w:val="1"/>
          <w:bCs w:val="1"/>
          <w:color w:val="auto"/>
        </w:rPr>
        <w:t xml:space="preserve">. </w:t>
      </w:r>
      <w:r>
        <w:rPr>
          <w:rFonts w:ascii="Arial" w:cs="Arial" w:eastAsia="Arial" w:hAnsi="Arial"/>
          <w:sz w:val="19"/>
          <w:szCs w:val="19"/>
          <w:color w:val="auto"/>
        </w:rPr>
        <w:t>Any notices required or permitted hereunder shall be given to the appropriate party at the address specified</w:t>
      </w:r>
      <w:r>
        <w:rPr>
          <w:rFonts w:ascii="Arial" w:cs="Arial" w:eastAsia="Arial" w:hAnsi="Arial"/>
          <w:sz w:val="19"/>
          <w:szCs w:val="19"/>
          <w:b w:val="1"/>
          <w:bCs w:val="1"/>
          <w:color w:val="auto"/>
        </w:rPr>
        <w:t xml:space="preserve"> </w:t>
      </w:r>
      <w:r>
        <w:rPr>
          <w:rFonts w:ascii="Arial" w:cs="Arial" w:eastAsia="Arial" w:hAnsi="Arial"/>
          <w:sz w:val="19"/>
          <w:szCs w:val="19"/>
          <w:color w:val="auto"/>
        </w:rPr>
        <w:t>below or at such other address as the party shall specify in writing. Such notice shall be deemed given upon personal delivery to the appropriate address or sent by certified or registered mail, three days after the date of mailing.</w:t>
      </w:r>
    </w:p>
    <w:p>
      <w:pPr>
        <w:ind w:left="460"/>
        <w:spacing w:after="0" w:line="232" w:lineRule="auto"/>
        <w:rPr>
          <w:sz w:val="20"/>
          <w:szCs w:val="20"/>
          <w:color w:val="auto"/>
        </w:rPr>
      </w:pPr>
      <w:r>
        <w:rPr>
          <w:rFonts w:ascii="Arial" w:cs="Arial" w:eastAsia="Arial" w:hAnsi="Arial"/>
          <w:sz w:val="22"/>
          <w:szCs w:val="22"/>
          <w:color w:val="auto"/>
        </w:rPr>
        <w:t>If to the Company:If to the Consultant: David Mack, Ph.D.Richard Heyman, Ph.D.</w:t>
      </w:r>
    </w:p>
    <w:p>
      <w:pPr>
        <w:ind w:left="880" w:right="2080"/>
        <w:spacing w:after="0"/>
        <w:rPr>
          <w:sz w:val="20"/>
          <w:szCs w:val="20"/>
          <w:color w:val="auto"/>
        </w:rPr>
      </w:pPr>
      <w:r>
        <w:rPr>
          <w:rFonts w:ascii="Arial" w:cs="Arial" w:eastAsia="Arial" w:hAnsi="Arial"/>
          <w:sz w:val="22"/>
          <w:szCs w:val="22"/>
          <w:color w:val="auto"/>
        </w:rPr>
        <w:t>President and CEO 264 Torrey Pines Terrace PMV Pharmaceuticals,</w:t>
      </w:r>
    </w:p>
    <w:p>
      <w:pPr>
        <w:sectPr>
          <w:pgSz w:w="11900" w:h="16838" w:orient="portrait"/>
          <w:cols w:equalWidth="0" w:num="1">
            <w:col w:w="11000"/>
          </w:cols>
          <w:pgMar w:left="400" w:top="861" w:right="499" w:bottom="1440" w:gutter="0" w:footer="0" w:header="0"/>
        </w:sectPr>
      </w:pPr>
    </w:p>
    <w:p>
      <w:pPr>
        <w:spacing w:after="0" w:line="246" w:lineRule="exact"/>
        <w:rPr>
          <w:sz w:val="20"/>
          <w:szCs w:val="20"/>
          <w:color w:val="auto"/>
        </w:rPr>
      </w:pPr>
    </w:p>
    <w:p>
      <w:pPr>
        <w:ind w:left="880"/>
        <w:spacing w:after="0"/>
        <w:tabs>
          <w:tab w:leader="none" w:pos="5400" w:val="left"/>
        </w:tabs>
        <w:rPr>
          <w:sz w:val="20"/>
          <w:szCs w:val="20"/>
          <w:color w:val="auto"/>
        </w:rPr>
      </w:pPr>
      <w:r>
        <w:rPr>
          <w:rFonts w:ascii="Arial" w:cs="Arial" w:eastAsia="Arial" w:hAnsi="Arial"/>
          <w:sz w:val="19"/>
          <w:szCs w:val="19"/>
          <w:color w:val="auto"/>
        </w:rPr>
        <w:t>Inc.</w:t>
      </w:r>
      <w:r>
        <w:rPr>
          <w:sz w:val="20"/>
          <w:szCs w:val="20"/>
          <w:color w:val="auto"/>
        </w:rPr>
        <w:tab/>
      </w:r>
      <w:r>
        <w:rPr>
          <w:rFonts w:ascii="Arial" w:cs="Arial" w:eastAsia="Arial" w:hAnsi="Arial"/>
          <w:sz w:val="19"/>
          <w:szCs w:val="19"/>
          <w:color w:val="auto"/>
        </w:rPr>
        <w:t>Del Mar, CA 92014 8</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Clark Drive</w:t>
      </w:r>
    </w:p>
    <w:p>
      <w:pPr>
        <w:ind w:left="880"/>
        <w:spacing w:after="0"/>
        <w:rPr>
          <w:sz w:val="20"/>
          <w:szCs w:val="20"/>
          <w:color w:val="auto"/>
        </w:rPr>
      </w:pPr>
      <w:r>
        <w:rPr>
          <w:rFonts w:ascii="Arial" w:cs="Arial" w:eastAsia="Arial" w:hAnsi="Arial"/>
          <w:sz w:val="22"/>
          <w:szCs w:val="22"/>
          <w:color w:val="auto"/>
        </w:rPr>
        <w:t>Cranbury, NJ 08512</w:t>
      </w:r>
    </w:p>
    <w:p>
      <w:pPr>
        <w:sectPr>
          <w:pgSz w:w="11900" w:h="16838" w:orient="portrait"/>
          <w:cols w:equalWidth="0" w:num="1">
            <w:col w:w="11000"/>
          </w:cols>
          <w:pgMar w:left="400" w:top="861" w:right="499" w:bottom="1440" w:gutter="0" w:footer="0" w:header="0"/>
          <w:type w:val="continuous"/>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i w:val="1"/>
          <w:iCs w:val="1"/>
          <w:color w:val="auto"/>
        </w:rPr>
        <w:t>[remainder of page intentionally left blank]</w:t>
      </w:r>
    </w:p>
    <w:p>
      <w:pPr>
        <w:sectPr>
          <w:pgSz w:w="11900" w:h="16838" w:orient="portrait"/>
          <w:cols w:equalWidth="0" w:num="1">
            <w:col w:w="11000"/>
          </w:cols>
          <w:pgMar w:left="400" w:top="861" w:right="49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322580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861" w:right="499" w:bottom="1440" w:gutter="0" w:footer="0" w:header="0"/>
          <w:type w:val="continuous"/>
        </w:sectPr>
      </w:pPr>
    </w:p>
    <w:bookmarkStart w:id="164" w:name="page165"/>
    <w:bookmarkEnd w:id="164"/>
    <w:p>
      <w:pPr>
        <w:ind w:left="800"/>
        <w:spacing w:after="0"/>
        <w:rPr>
          <w:sz w:val="20"/>
          <w:szCs w:val="20"/>
          <w:color w:val="auto"/>
        </w:rPr>
      </w:pPr>
      <w:r>
        <w:rPr>
          <w:rFonts w:ascii="Arial" w:cs="Arial" w:eastAsia="Arial" w:hAnsi="Arial"/>
          <w:sz w:val="16"/>
          <w:szCs w:val="16"/>
          <w:b w:val="1"/>
          <w:bCs w:val="1"/>
          <w:color w:val="444444"/>
        </w:rPr>
        <w:t xml:space="preserve">In Witness Whereof, </w:t>
      </w:r>
      <w:r>
        <w:rPr>
          <w:rFonts w:ascii="Arial" w:cs="Arial" w:eastAsia="Arial" w:hAnsi="Arial"/>
          <w:sz w:val="19"/>
          <w:szCs w:val="19"/>
          <w:color w:val="444444"/>
        </w:rPr>
        <w:t>the parties hereto have executed this Agreement as of the Effective</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444444"/>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171450</wp:posOffset>
            </wp:positionV>
            <wp:extent cx="5092065" cy="13290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509206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8"/>
          <w:szCs w:val="18"/>
          <w:color w:val="44444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336550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479"/>
          </w:cols>
          <w:pgMar w:left="980" w:top="869" w:right="1440" w:bottom="1440" w:gutter="0" w:footer="0" w:header="0"/>
        </w:sectPr>
      </w:pPr>
    </w:p>
    <w:bookmarkStart w:id="165" w:name="page166"/>
    <w:bookmarkEnd w:id="165"/>
    <w:p>
      <w:pPr>
        <w:jc w:val="center"/>
        <w:ind w:right="-39"/>
        <w:spacing w:after="0"/>
        <w:rPr>
          <w:sz w:val="20"/>
          <w:szCs w:val="20"/>
          <w:color w:val="auto"/>
        </w:rPr>
      </w:pPr>
      <w:r>
        <w:rPr>
          <w:rFonts w:ascii="Arial" w:cs="Arial" w:eastAsia="Arial" w:hAnsi="Arial"/>
          <w:sz w:val="29"/>
          <w:szCs w:val="29"/>
          <w:b w:val="1"/>
          <w:bCs w:val="1"/>
          <w:color w:val="auto"/>
        </w:rPr>
        <w:t>PMV Pharma, Inc. SAB Consulting Agreement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hanging="424"/>
        <w:spacing w:after="0" w:line="256" w:lineRule="auto"/>
        <w:tabs>
          <w:tab w:leader="none" w:pos="4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7"/>
          <w:szCs w:val="17"/>
          <w:b w:val="1"/>
          <w:bCs w:val="1"/>
          <w:color w:val="auto"/>
        </w:rPr>
        <w:t>ERVICES</w:t>
      </w:r>
      <w:r>
        <w:rPr>
          <w:rFonts w:ascii="Arial" w:cs="Arial" w:eastAsia="Arial" w:hAnsi="Arial"/>
          <w:sz w:val="22"/>
          <w:szCs w:val="22"/>
          <w:color w:val="auto"/>
        </w:rPr>
        <w:t>: Advise and consult with the Company as a member of its Scientific Advisory Board (SAB) and as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matters as may be mutually agreed by the Company and Consultant.</w:t>
      </w:r>
    </w:p>
    <w:p>
      <w:pPr>
        <w:spacing w:after="0" w:line="162" w:lineRule="exact"/>
        <w:rPr>
          <w:rFonts w:ascii="Arial" w:cs="Arial" w:eastAsia="Arial" w:hAnsi="Arial"/>
          <w:sz w:val="22"/>
          <w:szCs w:val="22"/>
          <w:b w:val="1"/>
          <w:bCs w:val="1"/>
          <w:color w:val="auto"/>
        </w:rPr>
      </w:pPr>
    </w:p>
    <w:p>
      <w:pPr>
        <w:ind w:left="460" w:hanging="424"/>
        <w:spacing w:after="0"/>
        <w:tabs>
          <w:tab w:leader="none" w:pos="4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OMPENSATION</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960" w:hanging="500"/>
        <w:spacing w:after="0" w:line="334"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u w:val="single" w:color="auto"/>
          <w:color w:val="auto"/>
        </w:rPr>
        <w:t>Cash</w:t>
      </w:r>
      <w:r>
        <w:rPr>
          <w:rFonts w:ascii="Arial" w:cs="Arial" w:eastAsia="Arial" w:hAnsi="Arial"/>
          <w:sz w:val="19"/>
          <w:szCs w:val="19"/>
          <w:color w:val="auto"/>
        </w:rPr>
        <w:t>. Consultant will be paid $15,000 per year in quarterly installments at the beginning of each quarter,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increased cash compensation commencing with the next succeeding calendar quarter following the Effective Date.</w:t>
      </w:r>
    </w:p>
    <w:p>
      <w:pPr>
        <w:spacing w:after="0" w:line="93" w:lineRule="exact"/>
        <w:rPr>
          <w:rFonts w:ascii="Arial" w:cs="Arial" w:eastAsia="Arial" w:hAnsi="Arial"/>
          <w:sz w:val="22"/>
          <w:szCs w:val="22"/>
          <w:b w:val="1"/>
          <w:bCs w:val="1"/>
          <w:color w:val="auto"/>
        </w:rPr>
      </w:pPr>
    </w:p>
    <w:p>
      <w:pPr>
        <w:ind w:left="960" w:right="40" w:hanging="500"/>
        <w:spacing w:after="0" w:line="300"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2.2. </w:t>
      </w:r>
      <w:r>
        <w:rPr>
          <w:rFonts w:ascii="Arial" w:cs="Arial" w:eastAsia="Arial" w:hAnsi="Arial"/>
          <w:sz w:val="19"/>
          <w:szCs w:val="19"/>
          <w:b w:val="1"/>
          <w:bCs w:val="1"/>
          <w:u w:val="single" w:color="auto"/>
          <w:color w:val="auto"/>
        </w:rPr>
        <w:t>Equity</w:t>
      </w:r>
      <w:r>
        <w:rPr>
          <w:rFonts w:ascii="Arial" w:cs="Arial" w:eastAsia="Arial" w:hAnsi="Arial"/>
          <w:sz w:val="19"/>
          <w:szCs w:val="19"/>
          <w:color w:val="auto"/>
        </w:rPr>
        <w:t>. Consultant will receive an option grant of 5,781 shares of Company stock at the prevailing option price as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the Board of Directors (and subject to the other terms and conditions of the Company’s Equity Incentive Plan), vesting in equal amounts monthly over 36 months beginning from the Effective Date.</w:t>
      </w:r>
    </w:p>
    <w:p>
      <w:pPr>
        <w:spacing w:after="0" w:line="152" w:lineRule="exact"/>
        <w:rPr>
          <w:rFonts w:ascii="Arial" w:cs="Arial" w:eastAsia="Arial" w:hAnsi="Arial"/>
          <w:sz w:val="22"/>
          <w:szCs w:val="22"/>
          <w:b w:val="1"/>
          <w:bCs w:val="1"/>
          <w:color w:val="auto"/>
        </w:rPr>
      </w:pPr>
    </w:p>
    <w:p>
      <w:pPr>
        <w:jc w:val="both"/>
        <w:ind w:left="460" w:hanging="424"/>
        <w:spacing w:after="0" w:line="254" w:lineRule="auto"/>
        <w:tabs>
          <w:tab w:leader="none" w:pos="46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E</w:t>
      </w:r>
      <w:r>
        <w:rPr>
          <w:rFonts w:ascii="Arial" w:cs="Arial" w:eastAsia="Arial" w:hAnsi="Arial"/>
          <w:sz w:val="16"/>
          <w:szCs w:val="16"/>
          <w:b w:val="1"/>
          <w:bCs w:val="1"/>
          <w:color w:val="auto"/>
        </w:rPr>
        <w:t>XPENSES</w:t>
      </w:r>
      <w:r>
        <w:rPr>
          <w:rFonts w:ascii="Arial" w:cs="Arial" w:eastAsia="Arial" w:hAnsi="Arial"/>
          <w:sz w:val="21"/>
          <w:szCs w:val="21"/>
          <w:b w:val="1"/>
          <w:bCs w:val="1"/>
          <w:color w:val="auto"/>
        </w:rPr>
        <w:t xml:space="preserve">: </w:t>
      </w:r>
      <w:r>
        <w:rPr>
          <w:rFonts w:ascii="Arial" w:cs="Arial" w:eastAsia="Arial" w:hAnsi="Arial"/>
          <w:sz w:val="21"/>
          <w:szCs w:val="21"/>
          <w:color w:val="auto"/>
        </w:rPr>
        <w:t>Consultant shall be reimbursed for reasonable expenses incurred in performance of Consultants’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these expenses shall be invoiced on a monthly basis and are approved by the Company. Domestic air travel, if approved by the Company, shall be reimbursed at business or comparable rate; international air travel, if approved by the Company, shall be reimbursed at business or comparable rate.</w:t>
      </w:r>
    </w:p>
    <w:p>
      <w:pPr>
        <w:spacing w:after="0" w:line="165" w:lineRule="exact"/>
        <w:rPr>
          <w:rFonts w:ascii="Arial" w:cs="Arial" w:eastAsia="Arial" w:hAnsi="Arial"/>
          <w:sz w:val="21"/>
          <w:szCs w:val="21"/>
          <w:b w:val="1"/>
          <w:bCs w:val="1"/>
          <w:color w:val="auto"/>
        </w:rPr>
      </w:pPr>
    </w:p>
    <w:p>
      <w:pPr>
        <w:jc w:val="both"/>
        <w:ind w:left="460" w:right="20" w:hanging="424"/>
        <w:spacing w:after="0" w:line="243" w:lineRule="auto"/>
        <w:tabs>
          <w:tab w:leader="none" w:pos="4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IME</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OMMITMENT</w:t>
      </w:r>
      <w:r>
        <w:rPr>
          <w:rFonts w:ascii="Arial" w:cs="Arial" w:eastAsia="Arial" w:hAnsi="Arial"/>
          <w:sz w:val="22"/>
          <w:szCs w:val="22"/>
          <w:color w:val="auto"/>
        </w:rPr>
        <w:t>: Consultant shall provide consulting services to the Company at Company’s reasonable request;</w:t>
      </w:r>
      <w:r>
        <w:rPr>
          <w:rFonts w:ascii="Arial" w:cs="Arial" w:eastAsia="Arial" w:hAnsi="Arial"/>
          <w:sz w:val="22"/>
          <w:szCs w:val="22"/>
          <w:b w:val="1"/>
          <w:bCs w:val="1"/>
          <w:color w:val="auto"/>
        </w:rPr>
        <w:t xml:space="preserve"> </w:t>
      </w:r>
      <w:r>
        <w:rPr>
          <w:rFonts w:ascii="Arial" w:cs="Arial" w:eastAsia="Arial" w:hAnsi="Arial"/>
          <w:sz w:val="22"/>
          <w:szCs w:val="22"/>
          <w:color w:val="auto"/>
        </w:rPr>
        <w:t>(not to exceed 5 days per year during the term of the Agreement without prior consent of the Company) for the term of the agreement, or as agreed between Consultant and Company.</w:t>
      </w:r>
    </w:p>
    <w:p>
      <w:pPr>
        <w:spacing w:after="0" w:line="176" w:lineRule="exact"/>
        <w:rPr>
          <w:rFonts w:ascii="Arial" w:cs="Arial" w:eastAsia="Arial" w:hAnsi="Arial"/>
          <w:sz w:val="22"/>
          <w:szCs w:val="22"/>
          <w:b w:val="1"/>
          <w:bCs w:val="1"/>
          <w:color w:val="auto"/>
        </w:rPr>
      </w:pPr>
    </w:p>
    <w:p>
      <w:pPr>
        <w:ind w:left="460" w:hanging="424"/>
        <w:spacing w:after="0"/>
        <w:tabs>
          <w:tab w:leader="none" w:pos="4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ONTACT</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ERSON</w:t>
      </w:r>
      <w:r>
        <w:rPr>
          <w:rFonts w:ascii="Arial" w:cs="Arial" w:eastAsia="Arial" w:hAnsi="Arial"/>
          <w:sz w:val="22"/>
          <w:szCs w:val="22"/>
          <w:color w:val="auto"/>
        </w:rPr>
        <w:t>: David Mack, CEO (</w:t>
      </w:r>
      <w:r>
        <w:rPr>
          <w:rFonts w:ascii="Arial" w:cs="Arial" w:eastAsia="Arial" w:hAnsi="Arial"/>
          <w:sz w:val="22"/>
          <w:szCs w:val="22"/>
          <w:u w:val="single" w:color="auto"/>
          <w:color w:val="0000FF"/>
        </w:rPr>
        <w:t>dmack@pmvpharma.com</w:t>
      </w:r>
      <w:r>
        <w:rPr>
          <w:rFonts w:ascii="Arial" w:cs="Arial" w:eastAsia="Arial" w:hAnsi="Arial"/>
          <w:sz w:val="22"/>
          <w:szCs w:val="22"/>
          <w:color w:val="auto"/>
        </w:rPr>
        <w:t>; 650-224-8240)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285750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837" w:right="499" w:bottom="1440" w:gutter="0" w:footer="0" w:header="0"/>
        </w:sectPr>
      </w:pPr>
    </w:p>
    <w:bookmarkStart w:id="166" w:name="page167"/>
    <w:bookmarkEnd w:id="166"/>
    <w:p>
      <w:pPr>
        <w:jc w:val="center"/>
        <w:ind w:right="-39"/>
        <w:spacing w:after="0"/>
        <w:rPr>
          <w:sz w:val="20"/>
          <w:szCs w:val="20"/>
          <w:color w:val="auto"/>
        </w:rPr>
      </w:pPr>
      <w:r>
        <w:rPr>
          <w:rFonts w:ascii="Arial" w:cs="Arial" w:eastAsia="Arial" w:hAnsi="Arial"/>
          <w:sz w:val="29"/>
          <w:szCs w:val="29"/>
          <w:b w:val="1"/>
          <w:bCs w:val="1"/>
          <w:color w:val="auto"/>
        </w:rPr>
        <w:t>PMV Pharma Consulting Agreement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Exhibit 2</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Confidentiality and Assignment of Invention</w:t>
      </w:r>
    </w:p>
    <w:p>
      <w:pPr>
        <w:spacing w:after="0" w:line="206" w:lineRule="exact"/>
        <w:rPr>
          <w:sz w:val="20"/>
          <w:szCs w:val="20"/>
          <w:color w:val="auto"/>
        </w:rPr>
      </w:pPr>
    </w:p>
    <w:p>
      <w:pPr>
        <w:ind w:left="460" w:hanging="424"/>
        <w:spacing w:after="0"/>
        <w:tabs>
          <w:tab w:leader="none" w:pos="460"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Confidential Information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960" w:hanging="500"/>
        <w:spacing w:after="0" w:line="244" w:lineRule="auto"/>
        <w:rPr>
          <w:rFonts w:ascii="Arial" w:cs="Arial" w:eastAsia="Arial" w:hAnsi="Arial"/>
          <w:sz w:val="22"/>
          <w:szCs w:val="22"/>
          <w:color w:val="auto"/>
        </w:rPr>
      </w:pPr>
      <w:r>
        <w:rPr>
          <w:rFonts w:ascii="Arial" w:cs="Arial" w:eastAsia="Arial" w:hAnsi="Arial"/>
          <w:sz w:val="21"/>
          <w:szCs w:val="21"/>
          <w:color w:val="auto"/>
        </w:rPr>
        <w:t>1.1. Subject to the limitations set forth in Paragraph 1.2, all information disclosed by Company to Consultant or generated by Consultant in the course of performing the Services shall be “Confidential Information.” In particular, Confidential Information shall include, but not be limited to, information relating to any compound, chemical, peptide, protein, complex, conjugate, assay, biological material, virus, extract, media, vector, gene sequence, cell, cell component, cell line, formulation or sample; any procedure, discovery, invention, formula, data, result, process, idea or technique; any trade secret, trade dress, copyright, patent or other intellectual property right, or any registration or application therefore, or materials relating thereto; and any information relating to any of the foregoing or to any research, development (including pre-clinical and clinical development), manufacturing, engineering, marketing, servicing, sales, financing, legal or other business activities or to any present or future products, prices, plans, forecasts, suppliers, clients, customers, employees, consultants or investors; whether in oral, written, graphic or electronic form.</w:t>
      </w:r>
    </w:p>
    <w:p>
      <w:pPr>
        <w:spacing w:after="0" w:line="188" w:lineRule="exact"/>
        <w:rPr>
          <w:rFonts w:ascii="Arial" w:cs="Arial" w:eastAsia="Arial" w:hAnsi="Arial"/>
          <w:sz w:val="22"/>
          <w:szCs w:val="22"/>
          <w:color w:val="auto"/>
        </w:rPr>
      </w:pPr>
    </w:p>
    <w:p>
      <w:pPr>
        <w:ind w:left="960" w:hanging="500"/>
        <w:spacing w:after="0" w:line="249" w:lineRule="auto"/>
        <w:rPr>
          <w:rFonts w:ascii="Arial" w:cs="Arial" w:eastAsia="Arial" w:hAnsi="Arial"/>
          <w:sz w:val="22"/>
          <w:szCs w:val="22"/>
          <w:color w:val="auto"/>
        </w:rPr>
      </w:pPr>
      <w:r>
        <w:rPr>
          <w:rFonts w:ascii="Arial" w:cs="Arial" w:eastAsia="Arial" w:hAnsi="Arial"/>
          <w:sz w:val="21"/>
          <w:szCs w:val="21"/>
          <w:color w:val="auto"/>
        </w:rPr>
        <w:t>1.2. The term “Confidential Information” shall not include information which Consultant can demonstrate by competent written proof: (a) is now, or hereafter becomes, through no act or failure to act on the part of Consultant, generally known or available in the public domain; (b) is known by Consultant at the time of receiving such information as evidenced by his/her records or other reasonable proof; or (c) is hereafter furnished to Consultant by a third party, as a matter of right and without restriction on disclosure.</w:t>
      </w:r>
    </w:p>
    <w:p>
      <w:pPr>
        <w:spacing w:after="0" w:line="178" w:lineRule="exact"/>
        <w:rPr>
          <w:rFonts w:ascii="Arial" w:cs="Arial" w:eastAsia="Arial" w:hAnsi="Arial"/>
          <w:sz w:val="22"/>
          <w:szCs w:val="22"/>
          <w:color w:val="auto"/>
        </w:rPr>
      </w:pPr>
    </w:p>
    <w:p>
      <w:pPr>
        <w:ind w:left="960" w:hanging="500"/>
        <w:spacing w:after="0" w:line="273" w:lineRule="auto"/>
        <w:rPr>
          <w:rFonts w:ascii="Arial" w:cs="Arial" w:eastAsia="Arial" w:hAnsi="Arial"/>
          <w:sz w:val="22"/>
          <w:szCs w:val="22"/>
          <w:color w:val="auto"/>
        </w:rPr>
      </w:pPr>
      <w:r>
        <w:rPr>
          <w:rFonts w:ascii="Arial" w:cs="Arial" w:eastAsia="Arial" w:hAnsi="Arial"/>
          <w:sz w:val="19"/>
          <w:szCs w:val="19"/>
          <w:color w:val="auto"/>
        </w:rPr>
        <w:t>1.3. Consultant shall maintain all Confidential Information received from Company in trust and confidence and shall not disclose without the prior written permission of the Company any such Confidential Information to any third party or use any such Confidential Information for any unauthorized purpose. In particular and without limitation, Consultant shall not use any Confidential Information to support any patent application or related filing. Consultant may use such Confidential Information only to the extent required to perform the Services. Consultant shall not use Confidential Information for any purpose or in any manner, which would constitute a violation of any laws or regulations, including without limitation the export control laws of the United States. Nothing in this Agreement shall be construed to grant Consultant any rights or licenses (a) under Company’s trade secrets, trademarks, inventions, copyrights, patents or other intellectual property rights, or (b) to retain, distribute or commercialize any Confidential Information belonging to Company, in either case, except as necessary to perform the Services.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285750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837" w:right="499" w:bottom="1440" w:gutter="0" w:footer="0" w:header="0"/>
        </w:sectPr>
      </w:pPr>
    </w:p>
    <w:bookmarkStart w:id="167" w:name="page168"/>
    <w:bookmarkEnd w:id="167"/>
    <w:p>
      <w:pPr>
        <w:jc w:val="both"/>
        <w:ind w:left="960" w:hanging="499"/>
        <w:spacing w:after="0" w:line="251" w:lineRule="auto"/>
        <w:tabs>
          <w:tab w:leader="none" w:pos="9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b w:val="1"/>
          <w:bCs w:val="1"/>
          <w:color w:val="auto"/>
        </w:rPr>
        <w:t>Other Employer Information</w:t>
      </w:r>
      <w:r>
        <w:rPr>
          <w:rFonts w:ascii="Arial" w:cs="Arial" w:eastAsia="Arial" w:hAnsi="Arial"/>
          <w:sz w:val="21"/>
          <w:szCs w:val="21"/>
          <w:color w:val="auto"/>
        </w:rPr>
        <w:t>. Consultant agrees that he or she will not, during his or her engagement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improperly use or disclose any proprietary information or trade secrets of his or her former or concurrent employers, companies or clients, if any, and that he or she will not bring onto the premises of the Company any unpublished documents or any property belonging to his or her former or concurrent employers, companies or clients unless consented to in writing by said employers, companies or clients.</w:t>
      </w:r>
    </w:p>
    <w:p>
      <w:pPr>
        <w:spacing w:after="0" w:line="168" w:lineRule="exact"/>
        <w:rPr>
          <w:sz w:val="20"/>
          <w:szCs w:val="20"/>
          <w:color w:val="auto"/>
        </w:rPr>
      </w:pPr>
    </w:p>
    <w:p>
      <w:pPr>
        <w:jc w:val="both"/>
        <w:ind w:left="960" w:hanging="499"/>
        <w:spacing w:after="0" w:line="247" w:lineRule="auto"/>
        <w:tabs>
          <w:tab w:leader="none" w:pos="9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1"/>
          <w:szCs w:val="21"/>
          <w:b w:val="1"/>
          <w:bCs w:val="1"/>
          <w:color w:val="auto"/>
        </w:rPr>
        <w:t>Third Party Information</w:t>
      </w:r>
      <w:r>
        <w:rPr>
          <w:rFonts w:ascii="Arial" w:cs="Arial" w:eastAsia="Arial" w:hAnsi="Arial"/>
          <w:sz w:val="21"/>
          <w:szCs w:val="21"/>
          <w:color w:val="auto"/>
        </w:rPr>
        <w:t>. Consultant recognizes that the Company has received and in the future will receive from</w:t>
      </w:r>
      <w:r>
        <w:rPr>
          <w:rFonts w:ascii="Arial" w:cs="Arial" w:eastAsia="Arial" w:hAnsi="Arial"/>
          <w:sz w:val="21"/>
          <w:szCs w:val="21"/>
          <w:b w:val="1"/>
          <w:bCs w:val="1"/>
          <w:color w:val="auto"/>
        </w:rPr>
        <w:t xml:space="preserve"> </w:t>
      </w:r>
      <w:r>
        <w:rPr>
          <w:rFonts w:ascii="Arial" w:cs="Arial" w:eastAsia="Arial" w:hAnsi="Arial"/>
          <w:sz w:val="21"/>
          <w:szCs w:val="21"/>
          <w:color w:val="auto"/>
        </w:rPr>
        <w:t>third parties their confidential or proprietary information subject to a duty on the Company’s part to maintain the confidentiality of such information and, in some cases, to use it only for certain limited purposes. Consultant agrees that he or she owes the Company and such third parties, both during the term of his or her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78" w:lineRule="exact"/>
        <w:rPr>
          <w:sz w:val="20"/>
          <w:szCs w:val="20"/>
          <w:color w:val="auto"/>
        </w:rPr>
      </w:pPr>
    </w:p>
    <w:p>
      <w:pPr>
        <w:jc w:val="both"/>
        <w:ind w:left="960" w:hanging="499"/>
        <w:spacing w:after="0" w:line="249" w:lineRule="auto"/>
        <w:tabs>
          <w:tab w:leader="none" w:pos="9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1"/>
          <w:szCs w:val="21"/>
          <w:color w:val="auto"/>
        </w:rPr>
        <w:t>Consultant acknowledges that his or her breach of this Agreement may cause the Company irreparable damage for which recovery of damages would be inadequate, and that the Company shall therefore be entitled to seek timely injunctive relief under this Agreement, as well as such further relief as may be granted by a court of competent jurisdiction in connection with any breach or enforcement of the Company’s obligations hereunder o the unauthorized use or release of any such Confidential Information.</w:t>
      </w:r>
    </w:p>
    <w:p>
      <w:pPr>
        <w:spacing w:after="0" w:line="172" w:lineRule="exact"/>
        <w:rPr>
          <w:sz w:val="20"/>
          <w:szCs w:val="20"/>
          <w:color w:val="auto"/>
        </w:rPr>
      </w:pPr>
    </w:p>
    <w:p>
      <w:pPr>
        <w:ind w:left="460" w:hanging="424"/>
        <w:spacing w:after="0"/>
        <w:tabs>
          <w:tab w:leader="none" w:pos="46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Assignment of Inventions.</w:t>
      </w:r>
    </w:p>
    <w:p>
      <w:pPr>
        <w:spacing w:after="0" w:line="206" w:lineRule="exact"/>
        <w:rPr>
          <w:rFonts w:ascii="Arial" w:cs="Arial" w:eastAsia="Arial" w:hAnsi="Arial"/>
          <w:sz w:val="22"/>
          <w:szCs w:val="22"/>
          <w:color w:val="auto"/>
        </w:rPr>
      </w:pPr>
    </w:p>
    <w:p>
      <w:pPr>
        <w:ind w:left="960" w:hanging="500"/>
        <w:spacing w:after="0" w:line="280" w:lineRule="auto"/>
        <w:rPr>
          <w:rFonts w:ascii="Arial" w:cs="Arial" w:eastAsia="Arial" w:hAnsi="Arial"/>
          <w:sz w:val="22"/>
          <w:szCs w:val="22"/>
          <w:color w:val="auto"/>
        </w:rPr>
      </w:pPr>
      <w:r>
        <w:rPr>
          <w:rFonts w:ascii="Arial" w:cs="Arial" w:eastAsia="Arial" w:hAnsi="Arial"/>
          <w:sz w:val="19"/>
          <w:szCs w:val="19"/>
          <w:color w:val="auto"/>
        </w:rPr>
        <w:t xml:space="preserve">2.1. </w:t>
      </w:r>
      <w:r>
        <w:rPr>
          <w:rFonts w:ascii="Arial" w:cs="Arial" w:eastAsia="Arial" w:hAnsi="Arial"/>
          <w:sz w:val="19"/>
          <w:szCs w:val="19"/>
          <w:b w:val="1"/>
          <w:bCs w:val="1"/>
          <w:color w:val="auto"/>
        </w:rPr>
        <w:t>Disclosure of Inventions</w:t>
      </w:r>
      <w:r>
        <w:rPr>
          <w:rFonts w:ascii="Arial" w:cs="Arial" w:eastAsia="Arial" w:hAnsi="Arial"/>
          <w:sz w:val="19"/>
          <w:szCs w:val="19"/>
          <w:color w:val="auto"/>
        </w:rPr>
        <w:t>. Consultant shall promptly and fully disclose to the Company any and all ideas, improvements, inventions, know-how, techniques and works of authorship developed by Consultant during his or her performance of the Services for the Company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144" w:lineRule="exact"/>
        <w:rPr>
          <w:rFonts w:ascii="Arial" w:cs="Arial" w:eastAsia="Arial" w:hAnsi="Arial"/>
          <w:sz w:val="22"/>
          <w:szCs w:val="22"/>
          <w:color w:val="auto"/>
        </w:rPr>
      </w:pPr>
    </w:p>
    <w:p>
      <w:pPr>
        <w:ind w:left="960" w:hanging="500"/>
        <w:spacing w:after="0" w:line="251" w:lineRule="auto"/>
        <w:rPr>
          <w:rFonts w:ascii="Arial" w:cs="Arial" w:eastAsia="Arial" w:hAnsi="Arial"/>
          <w:sz w:val="22"/>
          <w:szCs w:val="22"/>
          <w:color w:val="auto"/>
        </w:rPr>
      </w:pPr>
      <w:r>
        <w:rPr>
          <w:rFonts w:ascii="Arial" w:cs="Arial" w:eastAsia="Arial" w:hAnsi="Arial"/>
          <w:sz w:val="21"/>
          <w:szCs w:val="21"/>
          <w:color w:val="auto"/>
        </w:rPr>
        <w:t xml:space="preserve">2.2. </w:t>
      </w:r>
      <w:r>
        <w:rPr>
          <w:rFonts w:ascii="Arial" w:cs="Arial" w:eastAsia="Arial" w:hAnsi="Arial"/>
          <w:sz w:val="21"/>
          <w:szCs w:val="21"/>
          <w:b w:val="1"/>
          <w:bCs w:val="1"/>
          <w:color w:val="auto"/>
        </w:rPr>
        <w:t>Inventions Assigned to the Company</w:t>
      </w:r>
      <w:r>
        <w:rPr>
          <w:rFonts w:ascii="Arial" w:cs="Arial" w:eastAsia="Arial" w:hAnsi="Arial"/>
          <w:sz w:val="21"/>
          <w:szCs w:val="21"/>
          <w:color w:val="auto"/>
        </w:rPr>
        <w:t>. Consultant agrees that any and all Service Product shall be the sole and exclusive property of the Company. Consultant hereby assigns to the Company all his or her right, title and interest in and to any and all Service Product. Consultant explicitly acknowledges and agrees that all works of authorship contained in the Service Product are “works for hire” under the copyright laws of the United States, and that the Company shall own the copyright in all such works of authorship.</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285750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855" w:right="499" w:bottom="1440" w:gutter="0" w:footer="0" w:header="0"/>
        </w:sectPr>
      </w:pPr>
    </w:p>
    <w:bookmarkStart w:id="168" w:name="page169"/>
    <w:bookmarkEnd w:id="168"/>
    <w:p>
      <w:pPr>
        <w:ind w:left="880" w:right="20"/>
        <w:spacing w:after="0" w:line="328" w:lineRule="auto"/>
        <w:rPr>
          <w:sz w:val="20"/>
          <w:szCs w:val="20"/>
          <w:color w:val="auto"/>
        </w:rPr>
      </w:pPr>
      <w:r>
        <w:rPr>
          <w:rFonts w:ascii="Arial" w:cs="Arial" w:eastAsia="Arial" w:hAnsi="Arial"/>
          <w:sz w:val="19"/>
          <w:szCs w:val="19"/>
          <w:color w:val="auto"/>
        </w:rPr>
        <w:t>Consultant further agrees that the Company is and shall be vested with all rights, title and interests, including patent, copyright, trade secret and trademark rights, in all of Consultant’s Service Product under this Agreement.</w:t>
      </w:r>
    </w:p>
    <w:p>
      <w:pPr>
        <w:spacing w:after="0" w:line="99" w:lineRule="exact"/>
        <w:rPr>
          <w:sz w:val="20"/>
          <w:szCs w:val="20"/>
          <w:color w:val="auto"/>
        </w:rPr>
      </w:pPr>
    </w:p>
    <w:p>
      <w:pPr>
        <w:jc w:val="both"/>
        <w:ind w:left="880" w:hanging="499"/>
        <w:spacing w:after="0" w:line="234" w:lineRule="auto"/>
        <w:tabs>
          <w:tab w:leader="none" w:pos="8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b w:val="1"/>
          <w:bCs w:val="1"/>
          <w:color w:val="auto"/>
        </w:rPr>
        <w:t>Obtaining Intellectual Property Protection</w:t>
      </w:r>
      <w:r>
        <w:rPr>
          <w:rFonts w:ascii="Arial" w:cs="Arial" w:eastAsia="Arial" w:hAnsi="Arial"/>
          <w:sz w:val="22"/>
          <w:szCs w:val="22"/>
          <w:color w:val="auto"/>
        </w:rPr>
        <w:t>. Consultant agrees to assist the Company in every proper way to</w:t>
      </w:r>
      <w:r>
        <w:rPr>
          <w:rFonts w:ascii="Arial" w:cs="Arial" w:eastAsia="Arial" w:hAnsi="Arial"/>
          <w:sz w:val="22"/>
          <w:szCs w:val="22"/>
          <w:b w:val="1"/>
          <w:bCs w:val="1"/>
          <w:color w:val="auto"/>
        </w:rPr>
        <w:t xml:space="preserve"> </w:t>
      </w:r>
      <w:r>
        <w:rPr>
          <w:rFonts w:ascii="Arial" w:cs="Arial" w:eastAsia="Arial" w:hAnsi="Arial"/>
          <w:sz w:val="22"/>
          <w:szCs w:val="22"/>
          <w:color w:val="auto"/>
        </w:rPr>
        <w:t>obtain and enforce United States and foreign proprietary rights relating to the Service Product in any and all countries. To that end, Consultant agrees to execute, verify and deliver such documents and perform such other acts (including appearing as a witness) as the Company may reasonably request for use in applying for, obtaining, perfecting, evidencing, sustaining and enforcing such proprietary rights and the assignment thereof. In addition, Consultant agrees to execute, verify and deliver assignments of such proprietary rights to the Company or its designee. Consultant’s obligation to assist the Company with respect to proprietary rights in any and all countries shall continue beyond the termination of his or her engagement, but the Company shall compensate Consultant at a reasonable rate after such termination for the time actually spent by Consultant at the Company’s request on such assistance.</w:t>
      </w:r>
    </w:p>
    <w:p>
      <w:pPr>
        <w:spacing w:after="0" w:line="186" w:lineRule="exact"/>
        <w:rPr>
          <w:sz w:val="20"/>
          <w:szCs w:val="20"/>
          <w:color w:val="auto"/>
        </w:rPr>
      </w:pPr>
    </w:p>
    <w:p>
      <w:pPr>
        <w:jc w:val="both"/>
        <w:ind w:left="880"/>
        <w:spacing w:after="0" w:line="246" w:lineRule="auto"/>
        <w:rPr>
          <w:sz w:val="20"/>
          <w:szCs w:val="20"/>
          <w:color w:val="auto"/>
        </w:rPr>
      </w:pPr>
      <w:r>
        <w:rPr>
          <w:rFonts w:ascii="Arial" w:cs="Arial" w:eastAsia="Arial" w:hAnsi="Arial"/>
          <w:sz w:val="21"/>
          <w:szCs w:val="21"/>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his or her agent and attorney in fact, to act for and in his or her behalf to execute, verify and file, with the same legal force and effect as if executed by him or her, any such documents and to do all other lawfully permitted acts to further the purposes of the preceding paragraph. Consultant hereby waives and quitclaims to the Company any and all claims of any nature whatsoever which Consultant now or may hereafter have for infringement of any proprietary rights assigned to the Company.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285750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861" w:right="499" w:bottom="1440" w:gutter="0" w:footer="0" w:header="0"/>
        </w:sectPr>
      </w:pPr>
    </w:p>
    <w:bookmarkStart w:id="169" w:name="page170"/>
    <w:bookmarkEnd w:id="169"/>
    <w:p>
      <w:pPr>
        <w:jc w:val="center"/>
        <w:ind w:right="260"/>
        <w:spacing w:after="0"/>
        <w:rPr>
          <w:sz w:val="20"/>
          <w:szCs w:val="20"/>
          <w:color w:val="auto"/>
        </w:rPr>
      </w:pPr>
      <w:r>
        <w:rPr>
          <w:rFonts w:ascii="Arial" w:cs="Arial" w:eastAsia="Arial" w:hAnsi="Arial"/>
          <w:sz w:val="21"/>
          <w:szCs w:val="21"/>
          <w:b w:val="1"/>
          <w:bCs w:val="1"/>
          <w:color w:val="2F2F2F"/>
        </w:rPr>
        <w:t>AMENDMENT TO SAB</w:t>
      </w:r>
    </w:p>
    <w:p>
      <w:pPr>
        <w:spacing w:after="0" w:line="28" w:lineRule="exact"/>
        <w:rPr>
          <w:sz w:val="20"/>
          <w:szCs w:val="20"/>
          <w:color w:val="auto"/>
        </w:rPr>
      </w:pPr>
    </w:p>
    <w:p>
      <w:pPr>
        <w:jc w:val="center"/>
        <w:ind w:right="260"/>
        <w:spacing w:after="0"/>
        <w:rPr>
          <w:sz w:val="20"/>
          <w:szCs w:val="20"/>
          <w:color w:val="auto"/>
        </w:rPr>
      </w:pPr>
      <w:r>
        <w:rPr>
          <w:rFonts w:ascii="Arial" w:cs="Arial" w:eastAsia="Arial" w:hAnsi="Arial"/>
          <w:sz w:val="21"/>
          <w:szCs w:val="21"/>
          <w:b w:val="1"/>
          <w:bCs w:val="1"/>
          <w:color w:val="2F2F2F"/>
        </w:rPr>
        <w:t>AGREEMENT</w:t>
      </w:r>
    </w:p>
    <w:p>
      <w:pPr>
        <w:spacing w:after="0" w:line="229" w:lineRule="exact"/>
        <w:rPr>
          <w:sz w:val="20"/>
          <w:szCs w:val="20"/>
          <w:color w:val="auto"/>
        </w:rPr>
      </w:pPr>
    </w:p>
    <w:p>
      <w:pPr>
        <w:ind w:right="460" w:firstLine="718"/>
        <w:spacing w:after="0" w:line="243" w:lineRule="auto"/>
        <w:rPr>
          <w:sz w:val="20"/>
          <w:szCs w:val="20"/>
          <w:color w:val="auto"/>
        </w:rPr>
      </w:pPr>
      <w:r>
        <w:rPr>
          <w:rFonts w:ascii="Arial" w:cs="Arial" w:eastAsia="Arial" w:hAnsi="Arial"/>
          <w:sz w:val="21"/>
          <w:szCs w:val="21"/>
          <w:color w:val="2F2F2F"/>
        </w:rPr>
        <w:t xml:space="preserve">This Amendment to the SAB Agreement (this </w:t>
      </w:r>
      <w:r>
        <w:rPr>
          <w:rFonts w:ascii="Arial" w:cs="Arial" w:eastAsia="Arial" w:hAnsi="Arial"/>
          <w:sz w:val="18"/>
          <w:szCs w:val="18"/>
          <w:b w:val="1"/>
          <w:bCs w:val="1"/>
          <w:color w:val="2F2F2F"/>
        </w:rPr>
        <w:t>"Amendment")</w:t>
      </w:r>
      <w:r>
        <w:rPr>
          <w:rFonts w:ascii="Arial" w:cs="Arial" w:eastAsia="Arial" w:hAnsi="Arial"/>
          <w:sz w:val="21"/>
          <w:szCs w:val="21"/>
          <w:color w:val="2F2F2F"/>
        </w:rPr>
        <w:t xml:space="preserve"> is hereby made and entered into as of July 16, 2021, by and between </w:t>
      </w:r>
      <w:r>
        <w:rPr>
          <w:rFonts w:ascii="Arial" w:cs="Arial" w:eastAsia="Arial" w:hAnsi="Arial"/>
          <w:sz w:val="18"/>
          <w:szCs w:val="18"/>
          <w:b w:val="1"/>
          <w:bCs w:val="1"/>
          <w:color w:val="2F2F2F"/>
        </w:rPr>
        <w:t>PMV Pharmaceuticals, Inc. ("PMV Pharma"</w:t>
      </w:r>
    </w:p>
    <w:p>
      <w:pPr>
        <w:spacing w:after="0" w:line="2" w:lineRule="exact"/>
        <w:rPr>
          <w:sz w:val="20"/>
          <w:szCs w:val="20"/>
          <w:color w:val="auto"/>
        </w:rPr>
      </w:pPr>
    </w:p>
    <w:p>
      <w:pPr>
        <w:ind w:left="120" w:hanging="114"/>
        <w:spacing w:after="0"/>
        <w:tabs>
          <w:tab w:leader="none" w:pos="120" w:val="left"/>
        </w:tabs>
        <w:numPr>
          <w:ilvl w:val="0"/>
          <w:numId w:val="86"/>
        </w:numPr>
        <w:rPr>
          <w:rFonts w:ascii="Arial" w:cs="Arial" w:eastAsia="Arial" w:hAnsi="Arial"/>
          <w:sz w:val="21"/>
          <w:szCs w:val="21"/>
          <w:color w:val="2F2F2F"/>
        </w:rPr>
      </w:pPr>
      <w:r>
        <w:rPr>
          <w:rFonts w:ascii="Arial" w:cs="Arial" w:eastAsia="Arial" w:hAnsi="Arial"/>
          <w:sz w:val="21"/>
          <w:szCs w:val="21"/>
          <w:color w:val="2F2F2F"/>
        </w:rPr>
        <w:t xml:space="preserve">and </w:t>
      </w:r>
      <w:r>
        <w:rPr>
          <w:rFonts w:ascii="Arial" w:cs="Arial" w:eastAsia="Arial" w:hAnsi="Arial"/>
          <w:sz w:val="18"/>
          <w:szCs w:val="18"/>
          <w:b w:val="1"/>
          <w:bCs w:val="1"/>
          <w:color w:val="2F2F2F"/>
        </w:rPr>
        <w:t>Richard Heyman, Ph.D. ("Heyman").</w:t>
      </w:r>
    </w:p>
    <w:p>
      <w:pPr>
        <w:spacing w:after="0" w:line="202" w:lineRule="exact"/>
        <w:rPr>
          <w:sz w:val="20"/>
          <w:szCs w:val="20"/>
          <w:color w:val="auto"/>
        </w:rPr>
      </w:pPr>
    </w:p>
    <w:p>
      <w:pPr>
        <w:ind w:left="3940"/>
        <w:spacing w:after="0"/>
        <w:rPr>
          <w:sz w:val="20"/>
          <w:szCs w:val="20"/>
          <w:color w:val="auto"/>
        </w:rPr>
      </w:pPr>
      <w:r>
        <w:rPr>
          <w:rFonts w:ascii="Arial" w:cs="Arial" w:eastAsia="Arial" w:hAnsi="Arial"/>
          <w:sz w:val="21"/>
          <w:szCs w:val="21"/>
          <w:b w:val="1"/>
          <w:bCs w:val="1"/>
          <w:color w:val="2F2F2F"/>
        </w:rPr>
        <w:t>RECITALS</w:t>
      </w:r>
    </w:p>
    <w:p>
      <w:pPr>
        <w:spacing w:after="0" w:line="245" w:lineRule="exact"/>
        <w:rPr>
          <w:sz w:val="20"/>
          <w:szCs w:val="20"/>
          <w:color w:val="auto"/>
        </w:rPr>
      </w:pPr>
    </w:p>
    <w:p>
      <w:pPr>
        <w:ind w:right="440" w:firstLine="721"/>
        <w:spacing w:after="0" w:line="275" w:lineRule="auto"/>
        <w:rPr>
          <w:sz w:val="20"/>
          <w:szCs w:val="20"/>
          <w:color w:val="auto"/>
        </w:rPr>
      </w:pPr>
      <w:r>
        <w:rPr>
          <w:rFonts w:ascii="Arial" w:cs="Arial" w:eastAsia="Arial" w:hAnsi="Arial"/>
          <w:sz w:val="21"/>
          <w:szCs w:val="21"/>
          <w:b w:val="1"/>
          <w:bCs w:val="1"/>
          <w:color w:val="2F2F2F"/>
        </w:rPr>
        <w:t xml:space="preserve">WHEREAS, </w:t>
      </w:r>
      <w:r>
        <w:rPr>
          <w:rFonts w:ascii="Arial" w:cs="Arial" w:eastAsia="Arial" w:hAnsi="Arial"/>
          <w:sz w:val="21"/>
          <w:szCs w:val="21"/>
          <w:color w:val="2F2F2F"/>
        </w:rPr>
        <w:t>PMV Pharma and Heyman, Chairman of PMV Pharma's Board of Directors, entered into the</w:t>
      </w:r>
      <w:r>
        <w:rPr>
          <w:rFonts w:ascii="Arial" w:cs="Arial" w:eastAsia="Arial" w:hAnsi="Arial"/>
          <w:sz w:val="21"/>
          <w:szCs w:val="21"/>
          <w:b w:val="1"/>
          <w:bCs w:val="1"/>
          <w:color w:val="2F2F2F"/>
        </w:rPr>
        <w:t xml:space="preserve"> </w:t>
      </w:r>
      <w:r>
        <w:rPr>
          <w:rFonts w:ascii="Arial" w:cs="Arial" w:eastAsia="Arial" w:hAnsi="Arial"/>
          <w:sz w:val="21"/>
          <w:szCs w:val="21"/>
          <w:color w:val="2F2F2F"/>
        </w:rPr>
        <w:t xml:space="preserve">Amended &amp; Restated SAB Consulting Agreement as of May 15, 2021 (the </w:t>
      </w:r>
      <w:r>
        <w:rPr>
          <w:rFonts w:ascii="Arial" w:cs="Arial" w:eastAsia="Arial" w:hAnsi="Arial"/>
          <w:sz w:val="18"/>
          <w:szCs w:val="18"/>
          <w:b w:val="1"/>
          <w:bCs w:val="1"/>
          <w:color w:val="2F2F2F"/>
        </w:rPr>
        <w:t>"SAB Agreement");</w:t>
      </w:r>
    </w:p>
    <w:p>
      <w:pPr>
        <w:spacing w:after="0" w:line="176" w:lineRule="exact"/>
        <w:rPr>
          <w:sz w:val="20"/>
          <w:szCs w:val="20"/>
          <w:color w:val="auto"/>
        </w:rPr>
      </w:pPr>
    </w:p>
    <w:p>
      <w:pPr>
        <w:ind w:right="480" w:firstLine="715"/>
        <w:spacing w:after="0" w:line="275" w:lineRule="auto"/>
        <w:rPr>
          <w:sz w:val="20"/>
          <w:szCs w:val="20"/>
          <w:color w:val="auto"/>
        </w:rPr>
      </w:pPr>
      <w:r>
        <w:rPr>
          <w:rFonts w:ascii="Arial" w:cs="Arial" w:eastAsia="Arial" w:hAnsi="Arial"/>
          <w:sz w:val="21"/>
          <w:szCs w:val="21"/>
          <w:b w:val="1"/>
          <w:bCs w:val="1"/>
          <w:color w:val="2F2F2F"/>
        </w:rPr>
        <w:t xml:space="preserve">WHEREAS, </w:t>
      </w:r>
      <w:r>
        <w:rPr>
          <w:rFonts w:ascii="Arial" w:cs="Arial" w:eastAsia="Arial" w:hAnsi="Arial"/>
          <w:sz w:val="21"/>
          <w:szCs w:val="21"/>
          <w:color w:val="2F2F2F"/>
        </w:rPr>
        <w:t>PMV Pharma and Heyman desire to amend certain of the terms of the SAB Agreement as set forth</w:t>
      </w:r>
      <w:r>
        <w:rPr>
          <w:rFonts w:ascii="Arial" w:cs="Arial" w:eastAsia="Arial" w:hAnsi="Arial"/>
          <w:sz w:val="21"/>
          <w:szCs w:val="21"/>
          <w:b w:val="1"/>
          <w:bCs w:val="1"/>
          <w:color w:val="2F2F2F"/>
        </w:rPr>
        <w:t xml:space="preserve"> </w:t>
      </w:r>
      <w:r>
        <w:rPr>
          <w:rFonts w:ascii="Arial" w:cs="Arial" w:eastAsia="Arial" w:hAnsi="Arial"/>
          <w:sz w:val="21"/>
          <w:szCs w:val="21"/>
          <w:color w:val="2F2F2F"/>
        </w:rPr>
        <w:t>herein; and</w:t>
      </w:r>
    </w:p>
    <w:p>
      <w:pPr>
        <w:spacing w:after="0" w:line="176" w:lineRule="exact"/>
        <w:rPr>
          <w:sz w:val="20"/>
          <w:szCs w:val="20"/>
          <w:color w:val="auto"/>
        </w:rPr>
      </w:pPr>
    </w:p>
    <w:p>
      <w:pPr>
        <w:ind w:right="460" w:firstLine="712"/>
        <w:spacing w:after="0" w:line="275" w:lineRule="auto"/>
        <w:rPr>
          <w:sz w:val="20"/>
          <w:szCs w:val="20"/>
          <w:color w:val="auto"/>
        </w:rPr>
      </w:pPr>
      <w:r>
        <w:rPr>
          <w:rFonts w:ascii="Arial" w:cs="Arial" w:eastAsia="Arial" w:hAnsi="Arial"/>
          <w:sz w:val="21"/>
          <w:szCs w:val="21"/>
          <w:b w:val="1"/>
          <w:bCs w:val="1"/>
          <w:color w:val="2F2F2F"/>
        </w:rPr>
        <w:t xml:space="preserve">NOW, THEREFORE, </w:t>
      </w:r>
      <w:r>
        <w:rPr>
          <w:rFonts w:ascii="Arial" w:cs="Arial" w:eastAsia="Arial" w:hAnsi="Arial"/>
          <w:sz w:val="21"/>
          <w:szCs w:val="21"/>
          <w:color w:val="2F2F2F"/>
        </w:rPr>
        <w:t>in consideration of the foregoing premises and the Parties mutual desire to continue the</w:t>
      </w:r>
      <w:r>
        <w:rPr>
          <w:rFonts w:ascii="Arial" w:cs="Arial" w:eastAsia="Arial" w:hAnsi="Arial"/>
          <w:sz w:val="21"/>
          <w:szCs w:val="21"/>
          <w:b w:val="1"/>
          <w:bCs w:val="1"/>
          <w:color w:val="2F2F2F"/>
        </w:rPr>
        <w:t xml:space="preserve"> </w:t>
      </w:r>
      <w:r>
        <w:rPr>
          <w:rFonts w:ascii="Arial" w:cs="Arial" w:eastAsia="Arial" w:hAnsi="Arial"/>
          <w:sz w:val="21"/>
          <w:szCs w:val="21"/>
          <w:color w:val="2F2F2F"/>
        </w:rPr>
        <w:t>discussions referenced in the SAB Agreement and herein, it is hereby agreed as follows:</w:t>
      </w:r>
    </w:p>
    <w:p>
      <w:pPr>
        <w:spacing w:after="0" w:line="173" w:lineRule="exact"/>
        <w:rPr>
          <w:sz w:val="20"/>
          <w:szCs w:val="20"/>
          <w:color w:val="auto"/>
        </w:rPr>
      </w:pPr>
    </w:p>
    <w:p>
      <w:pPr>
        <w:ind w:left="760" w:hanging="737"/>
        <w:spacing w:after="0"/>
        <w:tabs>
          <w:tab w:leader="none" w:pos="760" w:val="left"/>
        </w:tabs>
        <w:numPr>
          <w:ilvl w:val="1"/>
          <w:numId w:val="87"/>
        </w:numPr>
        <w:rPr>
          <w:rFonts w:ascii="Arial" w:cs="Arial" w:eastAsia="Arial" w:hAnsi="Arial"/>
          <w:sz w:val="21"/>
          <w:szCs w:val="21"/>
          <w:color w:val="2F2F2F"/>
        </w:rPr>
      </w:pPr>
      <w:r>
        <w:rPr>
          <w:rFonts w:ascii="Arial" w:cs="Arial" w:eastAsia="Arial" w:hAnsi="Arial"/>
          <w:sz w:val="21"/>
          <w:szCs w:val="21"/>
          <w:color w:val="2F2F2F"/>
        </w:rPr>
        <w:t>The SAB Agreement is hereby amended as follows:</w:t>
      </w:r>
    </w:p>
    <w:p>
      <w:pPr>
        <w:spacing w:after="0" w:line="217" w:lineRule="exact"/>
        <w:rPr>
          <w:rFonts w:ascii="Arial" w:cs="Arial" w:eastAsia="Arial" w:hAnsi="Arial"/>
          <w:sz w:val="21"/>
          <w:szCs w:val="21"/>
          <w:color w:val="2F2F2F"/>
        </w:rPr>
      </w:pPr>
    </w:p>
    <w:p>
      <w:pPr>
        <w:ind w:left="1180" w:right="840" w:hanging="388"/>
        <w:spacing w:after="0" w:line="264" w:lineRule="auto"/>
        <w:tabs>
          <w:tab w:leader="none" w:pos="1180" w:val="left"/>
        </w:tabs>
        <w:numPr>
          <w:ilvl w:val="2"/>
          <w:numId w:val="87"/>
        </w:numPr>
        <w:rPr>
          <w:rFonts w:ascii="Arial" w:cs="Arial" w:eastAsia="Arial" w:hAnsi="Arial"/>
          <w:sz w:val="21"/>
          <w:szCs w:val="21"/>
          <w:color w:val="2F2F2F"/>
        </w:rPr>
      </w:pPr>
      <w:r>
        <w:rPr>
          <w:rFonts w:ascii="Arial" w:cs="Arial" w:eastAsia="Arial" w:hAnsi="Arial"/>
          <w:sz w:val="19"/>
          <w:szCs w:val="19"/>
          <w:b w:val="1"/>
          <w:bCs w:val="1"/>
          <w:u w:val="single" w:color="auto"/>
          <w:color w:val="2F2F2F"/>
        </w:rPr>
        <w:t>Compensation:</w:t>
      </w:r>
      <w:r>
        <w:rPr>
          <w:rFonts w:ascii="Arial" w:cs="Arial" w:eastAsia="Arial" w:hAnsi="Arial"/>
          <w:sz w:val="19"/>
          <w:szCs w:val="19"/>
          <w:b w:val="1"/>
          <w:bCs w:val="1"/>
          <w:color w:val="2F2F2F"/>
        </w:rPr>
        <w:t xml:space="preserve"> </w:t>
      </w:r>
      <w:r>
        <w:rPr>
          <w:rFonts w:ascii="Arial" w:cs="Arial" w:eastAsia="Arial" w:hAnsi="Arial"/>
          <w:sz w:val="20"/>
          <w:szCs w:val="20"/>
          <w:color w:val="2F2F2F"/>
        </w:rPr>
        <w:t>Heyman shall, effective as of September 1, 2021, waive any further compensation for</w:t>
      </w:r>
      <w:r>
        <w:rPr>
          <w:rFonts w:ascii="Arial" w:cs="Arial" w:eastAsia="Arial" w:hAnsi="Arial"/>
          <w:sz w:val="19"/>
          <w:szCs w:val="19"/>
          <w:b w:val="1"/>
          <w:bCs w:val="1"/>
          <w:color w:val="2F2F2F"/>
        </w:rPr>
        <w:t xml:space="preserve"> </w:t>
      </w:r>
      <w:r>
        <w:rPr>
          <w:rFonts w:ascii="Arial" w:cs="Arial" w:eastAsia="Arial" w:hAnsi="Arial"/>
          <w:sz w:val="20"/>
          <w:szCs w:val="20"/>
          <w:color w:val="2F2F2F"/>
        </w:rPr>
        <w:t xml:space="preserve">his continued services on PMV Pharma's SAB, provided that Heyman shall retain all rights to any and all SAB compensation accrued </w:t>
      </w:r>
      <w:r>
        <w:rPr>
          <w:rFonts w:ascii="Arial" w:cs="Arial" w:eastAsia="Arial" w:hAnsi="Arial"/>
          <w:sz w:val="20"/>
          <w:szCs w:val="20"/>
          <w:color w:val="1C1A1A"/>
        </w:rPr>
        <w:t>on</w:t>
      </w:r>
      <w:r>
        <w:rPr>
          <w:rFonts w:ascii="Arial" w:cs="Arial" w:eastAsia="Arial" w:hAnsi="Arial"/>
          <w:sz w:val="20"/>
          <w:szCs w:val="20"/>
          <w:color w:val="2F2F2F"/>
        </w:rPr>
        <w:t xml:space="preserve"> or prior to that date.</w:t>
      </w:r>
    </w:p>
    <w:p>
      <w:pPr>
        <w:spacing w:after="0" w:line="200" w:lineRule="exact"/>
        <w:rPr>
          <w:rFonts w:ascii="Arial" w:cs="Arial" w:eastAsia="Arial" w:hAnsi="Arial"/>
          <w:sz w:val="21"/>
          <w:szCs w:val="21"/>
          <w:color w:val="2F2F2F"/>
        </w:rPr>
      </w:pPr>
    </w:p>
    <w:p>
      <w:pPr>
        <w:ind w:left="760" w:right="1140" w:hanging="751"/>
        <w:spacing w:after="0" w:line="292" w:lineRule="auto"/>
        <w:tabs>
          <w:tab w:leader="none" w:pos="760" w:val="left"/>
        </w:tabs>
        <w:numPr>
          <w:ilvl w:val="0"/>
          <w:numId w:val="88"/>
        </w:numPr>
        <w:rPr>
          <w:rFonts w:ascii="Arial" w:cs="Arial" w:eastAsia="Arial" w:hAnsi="Arial"/>
          <w:sz w:val="19"/>
          <w:szCs w:val="19"/>
          <w:color w:val="2F2F2F"/>
        </w:rPr>
      </w:pPr>
      <w:r>
        <w:rPr>
          <w:rFonts w:ascii="Arial" w:cs="Arial" w:eastAsia="Arial" w:hAnsi="Arial"/>
          <w:sz w:val="19"/>
          <w:szCs w:val="19"/>
          <w:color w:val="2F2F2F"/>
        </w:rPr>
        <w:t>Except as expressly provided in this Amendment, all other terms, conditions and provisions of the SAB Agreement shall continue in full force and effect as provided therein. Each capitalized term used and not defined herein shall have the respective meaning assigned to such term in the SAB Agreement.</w:t>
      </w:r>
    </w:p>
    <w:p>
      <w:pPr>
        <w:spacing w:after="0" w:line="191" w:lineRule="exact"/>
        <w:rPr>
          <w:sz w:val="20"/>
          <w:szCs w:val="20"/>
          <w:color w:val="auto"/>
        </w:rPr>
      </w:pPr>
    </w:p>
    <w:p>
      <w:pPr>
        <w:ind w:firstLine="751"/>
        <w:spacing w:after="0" w:line="275" w:lineRule="auto"/>
        <w:rPr>
          <w:sz w:val="20"/>
          <w:szCs w:val="20"/>
          <w:color w:val="auto"/>
        </w:rPr>
      </w:pPr>
      <w:r>
        <w:rPr>
          <w:rFonts w:ascii="Arial" w:cs="Arial" w:eastAsia="Arial" w:hAnsi="Arial"/>
          <w:sz w:val="21"/>
          <w:szCs w:val="21"/>
          <w:b w:val="1"/>
          <w:bCs w:val="1"/>
          <w:color w:val="2F2F2F"/>
        </w:rPr>
        <w:t xml:space="preserve">IN WITNESS WHEREOF, </w:t>
      </w:r>
      <w:r>
        <w:rPr>
          <w:rFonts w:ascii="Arial" w:cs="Arial" w:eastAsia="Arial" w:hAnsi="Arial"/>
          <w:sz w:val="21"/>
          <w:szCs w:val="21"/>
          <w:color w:val="2F2F2F"/>
        </w:rPr>
        <w:t>PMV Pharma and Heyman have entered into thisAmendment effective as of the date first</w:t>
      </w:r>
      <w:r>
        <w:rPr>
          <w:rFonts w:ascii="Arial" w:cs="Arial" w:eastAsia="Arial" w:hAnsi="Arial"/>
          <w:sz w:val="21"/>
          <w:szCs w:val="21"/>
          <w:b w:val="1"/>
          <w:bCs w:val="1"/>
          <w:color w:val="2F2F2F"/>
        </w:rPr>
        <w:t xml:space="preserve"> </w:t>
      </w:r>
      <w:r>
        <w:rPr>
          <w:rFonts w:ascii="Arial" w:cs="Arial" w:eastAsia="Arial" w:hAnsi="Arial"/>
          <w:sz w:val="21"/>
          <w:szCs w:val="21"/>
          <w:color w:val="2F2F2F"/>
        </w:rPr>
        <w:t>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229870</wp:posOffset>
            </wp:positionV>
            <wp:extent cx="4877435" cy="12084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4877435" cy="1208405"/>
                    </a:xfrm>
                    <a:prstGeom prst="rect">
                      <a:avLst/>
                    </a:prstGeom>
                    <a:noFill/>
                  </pic:spPr>
                </pic:pic>
              </a:graphicData>
            </a:graphic>
          </wp:anchor>
        </w:drawing>
      </w:r>
    </w:p>
    <w:p>
      <w:pPr>
        <w:sectPr>
          <w:pgSz w:w="11900" w:h="16838" w:orient="portrait"/>
          <w:cols w:equalWidth="0" w:num="1">
            <w:col w:w="10620"/>
          </w:cols>
          <w:pgMar w:left="440" w:top="858" w:right="8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1440" w:gutter="0" w:footer="0" w:header="0"/>
        </w:sectPr>
      </w:pPr>
    </w:p>
    <w:bookmarkStart w:id="171" w:name="page172"/>
    <w:bookmarkEnd w:id="171"/>
    <w:p>
      <w:pPr>
        <w:ind w:left="1520"/>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Registration Statements: (Form S-3 No. 333-260012) of PMV Pharmaceuticals, Inc., (Form S-8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333-249094) pertaining to the 2013 Equity Incentive Plan, 2020 Equity Incentive Plan and 2020 Employee Stock Purchase Plan of PMV Pharmaceuticals,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(Form S-8 No. 333-256346) pertaining to the 2020 Equity Incentive Plan and 2020 Employee Stock Purchase Plan of PMV Pharmaceuticals, Inc.,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S-8 No. 333-262308) pertaining to the 2020 Equity Incentive Plan of our reports dated March 1, 2022, with respect to the financial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PMV Pharmaceuticals, Inc. and the effectiveness of internal control over financial reporting of PMV Pharmaceuticals, Inc., included in this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10-K) for the year ended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2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Mack, certify that:</w:t>
      </w:r>
    </w:p>
    <w:p>
      <w:pPr>
        <w:spacing w:after="0" w:line="225"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PMV Pharmaceuticals, Inc.;</w:t>
      </w:r>
    </w:p>
    <w:p>
      <w:pPr>
        <w:spacing w:after="0" w:line="225" w:lineRule="exact"/>
        <w:rPr>
          <w:rFonts w:ascii="Arial" w:cs="Arial" w:eastAsia="Arial" w:hAnsi="Arial"/>
          <w:sz w:val="18"/>
          <w:szCs w:val="18"/>
          <w:color w:val="auto"/>
        </w:rPr>
      </w:pPr>
    </w:p>
    <w:p>
      <w:pPr>
        <w:jc w:val="both"/>
        <w:ind w:left="400" w:right="100" w:hanging="392"/>
        <w:spacing w:after="0" w:line="263" w:lineRule="auto"/>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9"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280" w:hanging="401"/>
        <w:spacing w:after="0" w:line="263"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120" w:hanging="401"/>
        <w:spacing w:after="0" w:line="277"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Date: March 1, 2022</w:t>
      </w:r>
    </w:p>
    <w:p>
      <w:pPr>
        <w:spacing w:after="0" w:line="13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PMV PHARMACEUTICALS, INC.</w:t>
      </w:r>
    </w:p>
    <w:p>
      <w:pPr>
        <w:spacing w:after="0" w:line="320"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ind w:left="60"/>
              <w:spacing w:after="0"/>
              <w:rPr>
                <w:sz w:val="20"/>
                <w:szCs w:val="20"/>
                <w:color w:val="auto"/>
              </w:rPr>
            </w:pPr>
            <w:r>
              <w:rPr>
                <w:rFonts w:ascii="Arial" w:cs="Arial" w:eastAsia="Arial" w:hAnsi="Arial"/>
                <w:sz w:val="18"/>
                <w:szCs w:val="18"/>
                <w:color w:val="auto"/>
              </w:rPr>
              <w:t>/s/ David H. Mack</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680" w:type="dxa"/>
            <w:vAlign w:val="bottom"/>
          </w:tcPr>
          <w:p>
            <w:pPr>
              <w:ind w:left="60"/>
              <w:spacing w:after="0"/>
              <w:rPr>
                <w:sz w:val="20"/>
                <w:szCs w:val="20"/>
                <w:color w:val="auto"/>
              </w:rPr>
            </w:pPr>
            <w:r>
              <w:rPr>
                <w:rFonts w:ascii="Arial" w:cs="Arial" w:eastAsia="Arial" w:hAnsi="Arial"/>
                <w:sz w:val="18"/>
                <w:szCs w:val="18"/>
                <w:color w:val="auto"/>
              </w:rPr>
              <w:t>David H. Mack, Ph.D.</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vMerge w:val="restart"/>
          </w:tcPr>
          <w:p>
            <w:pPr>
              <w:ind w:left="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3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1"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Winston Kung, certify that:</w:t>
      </w:r>
    </w:p>
    <w:p>
      <w:pPr>
        <w:spacing w:after="0" w:line="225" w:lineRule="exact"/>
        <w:rPr>
          <w:sz w:val="20"/>
          <w:szCs w:val="20"/>
          <w:color w:val="auto"/>
        </w:rPr>
      </w:pPr>
    </w:p>
    <w:p>
      <w:pPr>
        <w:ind w:left="40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PMV Pharmaceuticals, Inc.;</w:t>
      </w:r>
    </w:p>
    <w:p>
      <w:pPr>
        <w:spacing w:after="0" w:line="225" w:lineRule="exact"/>
        <w:rPr>
          <w:rFonts w:ascii="Arial" w:cs="Arial" w:eastAsia="Arial" w:hAnsi="Arial"/>
          <w:sz w:val="18"/>
          <w:szCs w:val="18"/>
          <w:color w:val="auto"/>
        </w:rPr>
      </w:pPr>
    </w:p>
    <w:p>
      <w:pPr>
        <w:jc w:val="both"/>
        <w:ind w:left="400" w:right="100" w:hanging="392"/>
        <w:spacing w:after="0" w:line="263" w:lineRule="auto"/>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9"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280" w:hanging="401"/>
        <w:spacing w:after="0" w:line="263"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120" w:hanging="401"/>
        <w:spacing w:after="0" w:line="277"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Date: March 1, 2022</w:t>
      </w:r>
    </w:p>
    <w:p>
      <w:pPr>
        <w:spacing w:after="0" w:line="13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PMV PHARMACEUTICALS, INC.</w:t>
      </w:r>
    </w:p>
    <w:p>
      <w:pPr>
        <w:spacing w:after="0" w:line="320"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ind w:left="60"/>
              <w:spacing w:after="0"/>
              <w:rPr>
                <w:sz w:val="20"/>
                <w:szCs w:val="20"/>
                <w:color w:val="auto"/>
              </w:rPr>
            </w:pPr>
            <w:r>
              <w:rPr>
                <w:rFonts w:ascii="Arial" w:cs="Arial" w:eastAsia="Arial" w:hAnsi="Arial"/>
                <w:sz w:val="18"/>
                <w:szCs w:val="18"/>
                <w:color w:val="auto"/>
              </w:rPr>
              <w:t>/s/ Winston Kung</w:t>
            </w:r>
          </w:p>
        </w:tc>
      </w:tr>
      <w:tr>
        <w:trPr>
          <w:trHeight w:val="27"/>
        </w:trPr>
        <w:tc>
          <w:tcPr>
            <w:tcW w:w="9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680" w:type="dxa"/>
            <w:vAlign w:val="bottom"/>
          </w:tcPr>
          <w:p>
            <w:pPr>
              <w:ind w:left="60"/>
              <w:spacing w:after="0"/>
              <w:rPr>
                <w:sz w:val="20"/>
                <w:szCs w:val="20"/>
                <w:color w:val="auto"/>
              </w:rPr>
            </w:pPr>
            <w:r>
              <w:rPr>
                <w:rFonts w:ascii="Arial" w:cs="Arial" w:eastAsia="Arial" w:hAnsi="Arial"/>
                <w:sz w:val="18"/>
                <w:szCs w:val="18"/>
                <w:color w:val="auto"/>
              </w:rPr>
              <w:t>Winston Kung</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3"/>
                <w:szCs w:val="23"/>
                <w:color w:val="auto"/>
              </w:rPr>
            </w:pPr>
          </w:p>
        </w:tc>
      </w:tr>
      <w:tr>
        <w:trPr>
          <w:trHeight w:val="283"/>
        </w:trPr>
        <w:tc>
          <w:tcPr>
            <w:tcW w:w="900" w:type="dxa"/>
            <w:vAlign w:val="bottom"/>
          </w:tcPr>
          <w:p>
            <w:pPr>
              <w:spacing w:after="0"/>
              <w:rPr>
                <w:sz w:val="24"/>
                <w:szCs w:val="24"/>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Chief Operating Officer and Chief Financial</w:t>
            </w:r>
          </w:p>
        </w:tc>
      </w:tr>
      <w:tr>
        <w:trPr>
          <w:trHeight w:val="216"/>
        </w:trPr>
        <w:tc>
          <w:tcPr>
            <w:tcW w:w="90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Officer</w:t>
            </w:r>
          </w:p>
        </w:tc>
      </w:tr>
      <w:tr>
        <w:trPr>
          <w:trHeight w:val="230"/>
        </w:trPr>
        <w:tc>
          <w:tcPr>
            <w:tcW w:w="900" w:type="dxa"/>
            <w:vAlign w:val="bottom"/>
          </w:tcPr>
          <w:p>
            <w:pPr>
              <w:spacing w:after="0"/>
              <w:rPr>
                <w:sz w:val="20"/>
                <w:szCs w:val="20"/>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989"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jc w:val="both"/>
        <w:ind w:firstLine="832"/>
        <w:spacing w:after="0" w:line="263" w:lineRule="auto"/>
        <w:rPr>
          <w:sz w:val="20"/>
          <w:szCs w:val="20"/>
          <w:color w:val="auto"/>
        </w:rPr>
      </w:pPr>
      <w:r>
        <w:rPr>
          <w:rFonts w:ascii="Arial" w:cs="Arial" w:eastAsia="Arial" w:hAnsi="Arial"/>
          <w:sz w:val="18"/>
          <w:szCs w:val="18"/>
          <w:color w:val="auto"/>
        </w:rPr>
        <w:t>In connection with the Annual Report of PMV Pharmaceuticals, Inc. (the “Company”) on Form 10-K for the year ended December 31, 2021 as filed with the Securities and Exchange Commission on the date hereof (the “Report”), I, David H. Mack, hereby certify, pursuant to 18 U.S.C. § 1350, as adopted pursuant to § 906 of the Sarbanes-Oxley Act of 2002, that:</w:t>
      </w:r>
    </w:p>
    <w:p>
      <w:pPr>
        <w:spacing w:after="0" w:line="400" w:lineRule="exact"/>
        <w:rPr>
          <w:sz w:val="20"/>
          <w:szCs w:val="20"/>
          <w:color w:val="auto"/>
        </w:rPr>
      </w:pPr>
    </w:p>
    <w:p>
      <w:pPr>
        <w:ind w:left="820" w:hanging="407"/>
        <w:spacing w:after="0"/>
        <w:tabs>
          <w:tab w:leader="none" w:pos="8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820" w:hanging="407"/>
        <w:spacing w:after="0" w:line="277" w:lineRule="auto"/>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Date: March 1, 2022</w:t>
      </w:r>
    </w:p>
    <w:p>
      <w:pPr>
        <w:spacing w:after="0" w:line="1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PMV PHARMACEUTICALS, INC.</w:t>
      </w:r>
    </w:p>
    <w:p>
      <w:pPr>
        <w:spacing w:after="0" w:line="320"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60"/>
              <w:spacing w:after="0"/>
              <w:rPr>
                <w:sz w:val="20"/>
                <w:szCs w:val="20"/>
                <w:color w:val="auto"/>
              </w:rPr>
            </w:pPr>
            <w:r>
              <w:rPr>
                <w:rFonts w:ascii="Arial" w:cs="Arial" w:eastAsia="Arial" w:hAnsi="Arial"/>
                <w:sz w:val="18"/>
                <w:szCs w:val="18"/>
                <w:color w:val="auto"/>
              </w:rPr>
              <w:t>/s/ David H. Mack</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60"/>
              <w:spacing w:after="0"/>
              <w:rPr>
                <w:sz w:val="20"/>
                <w:szCs w:val="20"/>
                <w:color w:val="auto"/>
              </w:rPr>
            </w:pPr>
            <w:r>
              <w:rPr>
                <w:rFonts w:ascii="Arial" w:cs="Arial" w:eastAsia="Arial" w:hAnsi="Arial"/>
                <w:sz w:val="18"/>
                <w:szCs w:val="18"/>
                <w:color w:val="auto"/>
              </w:rPr>
              <w:t>David H. Mack, Ph.D.</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vMerge w:val="restart"/>
          </w:tcPr>
          <w:p>
            <w:pPr>
              <w:ind w:left="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3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jc w:val="both"/>
        <w:ind w:firstLine="832"/>
        <w:spacing w:after="0" w:line="263" w:lineRule="auto"/>
        <w:rPr>
          <w:sz w:val="20"/>
          <w:szCs w:val="20"/>
          <w:color w:val="auto"/>
        </w:rPr>
      </w:pPr>
      <w:r>
        <w:rPr>
          <w:rFonts w:ascii="Arial" w:cs="Arial" w:eastAsia="Arial" w:hAnsi="Arial"/>
          <w:sz w:val="18"/>
          <w:szCs w:val="18"/>
          <w:color w:val="auto"/>
        </w:rPr>
        <w:t>In connection with the Annual Report of PMV Pharmaceuticals, Inc. (the “Company”) on Form 10-K for the year ended December 31, 2021 as filed with the Securities and Exchange Commission on the date hereof (the “Report”), I, Winston Kung, hereby certify, pursuant to 18 U.S.C. § 1350, as adopted pursuant to § 906 of the Sarbanes-Oxley Act of 2002, that:</w:t>
      </w:r>
    </w:p>
    <w:p>
      <w:pPr>
        <w:spacing w:after="0" w:line="184" w:lineRule="exact"/>
        <w:rPr>
          <w:sz w:val="20"/>
          <w:szCs w:val="20"/>
          <w:color w:val="auto"/>
        </w:rPr>
      </w:pPr>
    </w:p>
    <w:p>
      <w:pPr>
        <w:ind w:left="820" w:hanging="407"/>
        <w:spacing w:after="0"/>
        <w:tabs>
          <w:tab w:leader="none" w:pos="8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820" w:hanging="407"/>
        <w:spacing w:after="0" w:line="277" w:lineRule="auto"/>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Date: March 1, 2022</w:t>
      </w:r>
    </w:p>
    <w:p>
      <w:pPr>
        <w:spacing w:after="0" w:line="1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PMV PHARMACEUTICALS, INC.</w:t>
      </w:r>
    </w:p>
    <w:p>
      <w:pPr>
        <w:spacing w:after="0" w:line="320"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60"/>
              <w:spacing w:after="0"/>
              <w:rPr>
                <w:sz w:val="20"/>
                <w:szCs w:val="20"/>
                <w:color w:val="auto"/>
              </w:rPr>
            </w:pPr>
            <w:r>
              <w:rPr>
                <w:rFonts w:ascii="Arial" w:cs="Arial" w:eastAsia="Arial" w:hAnsi="Arial"/>
                <w:sz w:val="18"/>
                <w:szCs w:val="18"/>
                <w:color w:val="auto"/>
              </w:rPr>
              <w:t>/s/ Winston Kung</w:t>
            </w:r>
          </w:p>
        </w:tc>
      </w:tr>
      <w:tr>
        <w:trPr>
          <w:trHeight w:val="27"/>
        </w:trPr>
        <w:tc>
          <w:tcPr>
            <w:tcW w:w="9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60"/>
              <w:spacing w:after="0"/>
              <w:rPr>
                <w:sz w:val="20"/>
                <w:szCs w:val="20"/>
                <w:color w:val="auto"/>
              </w:rPr>
            </w:pPr>
            <w:r>
              <w:rPr>
                <w:rFonts w:ascii="Arial" w:cs="Arial" w:eastAsia="Arial" w:hAnsi="Arial"/>
                <w:sz w:val="18"/>
                <w:szCs w:val="18"/>
                <w:color w:val="auto"/>
              </w:rPr>
              <w:t>Winston Kung</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3"/>
                <w:szCs w:val="23"/>
                <w:color w:val="auto"/>
              </w:rPr>
            </w:pPr>
          </w:p>
        </w:tc>
      </w:tr>
      <w:tr>
        <w:trPr>
          <w:trHeight w:val="364"/>
        </w:trPr>
        <w:tc>
          <w:tcPr>
            <w:tcW w:w="920" w:type="dxa"/>
            <w:vAlign w:val="bottom"/>
          </w:tcPr>
          <w:p>
            <w:pPr>
              <w:spacing w:after="0"/>
              <w:rPr>
                <w:sz w:val="24"/>
                <w:szCs w:val="24"/>
                <w:color w:val="auto"/>
              </w:rPr>
            </w:pPr>
          </w:p>
        </w:tc>
        <w:tc>
          <w:tcPr>
            <w:tcW w:w="3920" w:type="dxa"/>
            <w:vAlign w:val="bottom"/>
          </w:tcPr>
          <w:p>
            <w:pPr>
              <w:ind w:left="60"/>
              <w:spacing w:after="0"/>
              <w:rPr>
                <w:sz w:val="20"/>
                <w:szCs w:val="20"/>
                <w:color w:val="auto"/>
              </w:rPr>
            </w:pPr>
            <w:r>
              <w:rPr>
                <w:rFonts w:ascii="Arial" w:cs="Arial" w:eastAsia="Arial" w:hAnsi="Arial"/>
                <w:sz w:val="18"/>
                <w:szCs w:val="18"/>
                <w:color w:val="auto"/>
              </w:rPr>
              <w:t>Chief Operating Officer and Chief Financial</w:t>
            </w:r>
          </w:p>
        </w:tc>
      </w:tr>
      <w:tr>
        <w:trPr>
          <w:trHeight w:val="216"/>
        </w:trPr>
        <w:tc>
          <w:tcPr>
            <w:tcW w:w="92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Arial" w:cs="Arial" w:eastAsia="Arial" w:hAnsi="Arial"/>
                <w:sz w:val="18"/>
                <w:szCs w:val="18"/>
                <w:color w:val="auto"/>
              </w:rPr>
              <w:t>Officer</w:t>
            </w:r>
          </w:p>
        </w:tc>
      </w:tr>
      <w:tr>
        <w:trPr>
          <w:trHeight w:val="230"/>
        </w:trPr>
        <w:tc>
          <w:tcPr>
            <w:tcW w:w="92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2"/>
    </w:lvl>
  </w:abstractNum>
  <w:abstractNum w:abstractNumId="17">
    <w:nsid w:val="23F9C13C"/>
    <w:multiLevelType w:val="hybridMultilevel"/>
    <w:lvl w:ilvl="0">
      <w:lvlJc w:val="left"/>
      <w:lvlText w:val="(%1)"/>
      <w:numFmt w:val="decimal"/>
      <w:start w:val="609"/>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lowerRoman"/>
      <w:start w:val="2"/>
    </w:lvl>
  </w:abstractNum>
  <w:abstractNum w:abstractNumId="70">
    <w:nsid w:val="6A5EE64"/>
    <w:multiLevelType w:val="hybridMultilevel"/>
    <w:lvl w:ilvl="0">
      <w:lvlJc w:val="left"/>
      <w:lvlText w:val="(%1)"/>
      <w:numFmt w:val="lowerRoman"/>
      <w:start w:val="1"/>
    </w:lvl>
  </w:abstractNum>
  <w:abstractNum w:abstractNumId="71">
    <w:nsid w:val="14330624"/>
    <w:multiLevelType w:val="hybridMultilevel"/>
    <w:lvl w:ilvl="0">
      <w:lvlJc w:val="left"/>
      <w:lvlText w:val="%1"/>
      <w:numFmt w:val="decimal"/>
      <w:start w:val="104"/>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1)"/>
      <w:numFmt w:val="lowerRoman"/>
      <w:start w:val="2"/>
    </w:lvl>
  </w:abstractNum>
  <w:abstractNum w:abstractNumId="76">
    <w:nsid w:val="7FB7E0AA"/>
    <w:multiLevelType w:val="hybridMultilevel"/>
    <w:lvl w:ilvl="0">
      <w:lvlJc w:val="left"/>
      <w:lvlText w:val="%1."/>
      <w:numFmt w:val="decimal"/>
      <w:start w:val="8"/>
    </w:lvl>
  </w:abstractNum>
  <w:abstractNum w:abstractNumId="77">
    <w:nsid w:val="6EB5BD4"/>
    <w:multiLevelType w:val="hybridMultilevel"/>
    <w:lvl w:ilvl="0">
      <w:lvlJc w:val="left"/>
      <w:lvlText w:val="•"/>
      <w:numFmt w:val="bullet"/>
      <w:start w:val="1"/>
    </w:lvl>
    <w:lvl w:ilvl="1">
      <w:lvlJc w:val="left"/>
      <w:lvlText w:val="•"/>
      <w:numFmt w:val="bullet"/>
      <w:start w:val="1"/>
    </w:lvl>
  </w:abstractNum>
  <w:abstractNum w:abstractNumId="78">
    <w:nsid w:val="6F6DD9AC"/>
    <w:multiLevelType w:val="hybridMultilevel"/>
    <w:lvl w:ilvl="0">
      <w:lvlJc w:val="left"/>
      <w:lvlText w:val="•"/>
      <w:numFmt w:val="bullet"/>
      <w:start w:val="1"/>
    </w:lvl>
    <w:lvl w:ilvl="1">
      <w:lvlJc w:val="left"/>
      <w:lvlText w:val="•"/>
      <w:numFmt w:val="bullet"/>
      <w:start w:val="1"/>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decimal"/>
      <w:start w:val="2"/>
    </w:lvl>
  </w:abstractNum>
  <w:abstractNum w:abstractNumId="81">
    <w:nsid w:val="76272110"/>
    <w:multiLevelType w:val="hybridMultilevel"/>
    <w:lvl w:ilvl="0">
      <w:lvlJc w:val="left"/>
      <w:lvlText w:val="%1."/>
      <w:numFmt w:val="decimal"/>
      <w:start w:val="7"/>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2"/>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7">
    <w:nsid w:val="68EBC550"/>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204"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jpe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jpe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jpe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jpe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jpe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190" Type="http://schemas.openxmlformats.org/officeDocument/2006/relationships/hyperlink" Target="http://www.sec.gov/Archives/edgar/data/1699382/000119312520257820/d95525dex31.htm" TargetMode="External"/><Relationship Id="rId191" Type="http://schemas.openxmlformats.org/officeDocument/2006/relationships/hyperlink" Target="http://www.sec.gov/Archives/edgar/data/1699382/000119312520257820/d95525dex32.htm" TargetMode="External"/><Relationship Id="rId192" Type="http://schemas.openxmlformats.org/officeDocument/2006/relationships/hyperlink" Target="http://www.sec.gov/Archives/edgar/data/0001699382/000119312520240132/d922470dex41.htm" TargetMode="External"/><Relationship Id="rId193" Type="http://schemas.openxmlformats.org/officeDocument/2006/relationships/hyperlink" Target="http://www.sec.gov/Archives/edgar/data/0001699382/000119312520249570/d922470dex42.htm" TargetMode="External"/><Relationship Id="rId194" Type="http://schemas.openxmlformats.org/officeDocument/2006/relationships/hyperlink" Target="http://www.sec.gov/Archives/edgar/data/1699382/000119312521290972/d231282dex44.htm" TargetMode="External"/><Relationship Id="rId195" Type="http://schemas.openxmlformats.org/officeDocument/2006/relationships/hyperlink" Target="http://www.sec.gov/Archives/edgar/data/0001699382/000119312520240132/d922470dex101.htm" TargetMode="External"/><Relationship Id="rId196" Type="http://schemas.openxmlformats.org/officeDocument/2006/relationships/hyperlink" Target="http://www.sec.gov/Archives/edgar/data/0001699382/000119312520249570/d922470dex102.htm" TargetMode="External"/><Relationship Id="rId197" Type="http://schemas.openxmlformats.org/officeDocument/2006/relationships/hyperlink" Target="http://www.sec.gov/Archives/edgar/data/0001699382/000119312520249570/d922470dex103.htm" TargetMode="External"/><Relationship Id="rId198" Type="http://schemas.openxmlformats.org/officeDocument/2006/relationships/hyperlink" Target="http://www.sec.gov/Archives/edgar/data/0001699382/000119312520249570/d922470dex104.htm" TargetMode="External"/><Relationship Id="rId199" Type="http://schemas.openxmlformats.org/officeDocument/2006/relationships/hyperlink" Target="http://www.sec.gov/Archives/edgar/data/0001699382/000119312520240132/d922470dex105.htm" TargetMode="External"/><Relationship Id="rId200" Type="http://schemas.openxmlformats.org/officeDocument/2006/relationships/hyperlink" Target="http://www.sec.gov/Archives/edgar/data/0001699382/000119312520240132/d922470dex106.htm" TargetMode="External"/><Relationship Id="rId201" Type="http://schemas.openxmlformats.org/officeDocument/2006/relationships/hyperlink" Target="http://www.sec.gov/Archives/edgar/data/0001699382/000119312520240132/d922470dex107.htm" TargetMode="External"/><Relationship Id="rId202" Type="http://schemas.openxmlformats.org/officeDocument/2006/relationships/hyperlink" Target="http://www.sec.gov/Archives/edgar/data/0001699382/000119312520240132/d922470dex109.htm" TargetMode="External"/><Relationship Id="rId203" Type="http://schemas.openxmlformats.org/officeDocument/2006/relationships/hyperlink" Target="http://www.sec.gov/Archives/edgar/data/0001699382/000119312520240132/d922470dex1010.htm" TargetMode="External"/><Relationship Id="rId205" Type="http://schemas.openxmlformats.org/officeDocument/2006/relationships/hyperlink" Target="http://www.sec.gov/Archives/edgar/data/0001699382/000119312520240132/d922470dex1011.htm" TargetMode="External"/><Relationship Id="rId206" Type="http://schemas.openxmlformats.org/officeDocument/2006/relationships/hyperlink" Target="http://www.sec.gov/Archives/edgar/data/0001699382/000119312520240132/d922470dex1012.htm" TargetMode="External"/><Relationship Id="rId207" Type="http://schemas.openxmlformats.org/officeDocument/2006/relationships/hyperlink" Target="http://www.sec.gov/Archives/edgar/data/0001699382/000119312520240132/d922470dex1013.htm" TargetMode="External"/><Relationship Id="rId208" Type="http://schemas.openxmlformats.org/officeDocument/2006/relationships/hyperlink" Target="http://www.sec.gov/Archives/edgar/data/0001699382/000119312520249570/d922470dex1015.htm" TargetMode="External"/><Relationship Id="rId209" Type="http://schemas.openxmlformats.org/officeDocument/2006/relationships/hyperlink" Target="http://www.sec.gov/Archives/edgar/data/0001699382/000119312520240132/d922470dex1016.htm" TargetMode="External"/><Relationship Id="rId210" Type="http://schemas.openxmlformats.org/officeDocument/2006/relationships/hyperlink" Target="http://www.sec.gov/Archives/edgar/data/0001699382/000119312520240132/d922470dex1018.htm" TargetMode="External"/><Relationship Id="rId211" Type="http://schemas.openxmlformats.org/officeDocument/2006/relationships/hyperlink" Target="http://www.sec.gov/Archives/edgar/data/1699382/000119312521290972/d231282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2022-03-01T11:13:54Z</dcterms:created>
  <dcterms:modified xsi:type="dcterms:W3CDTF">2022-03-01T11:13:54Z</dcterms:modified>
</cp:coreProperties>
</file>