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June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001-39539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46-3218129</w:t>
      </w:r>
    </w:p>
    <w:p>
      <w:pPr>
        <w:spacing w:after="0" w:line="24" w:lineRule="exact"/>
        <w:rPr>
          <w:sz w:val="24"/>
          <w:szCs w:val="24"/>
          <w:color w:val="auto"/>
        </w:rPr>
      </w:pPr>
    </w:p>
    <w:p>
      <w:pPr>
        <w:sectPr>
          <w:pgSz w:w="11900" w:h="16838" w:orient="portrait"/>
          <w:cols w:equalWidth="0" w:num="3">
            <w:col w:w="4500" w:space="720"/>
            <w:col w:w="2880" w:space="720"/>
            <w:col w:w="2200"/>
          </w:cols>
          <w:pgMar w:left="440" w:top="443"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443" w:right="439" w:bottom="1440" w:gutter="0" w:footer="0" w:header="0"/>
          <w:type w:val="continuous"/>
        </w:sect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400 Alexander Park Drive, Suite 301</w:t>
      </w:r>
    </w:p>
    <w:p>
      <w:pPr>
        <w:spacing w:after="0" w:line="43"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8"/>
          <w:szCs w:val="18"/>
          <w:b w:val="1"/>
          <w:bCs w:val="1"/>
          <w:color w:val="auto"/>
        </w:rPr>
        <w:t>Princeton, New Jersey</w:t>
      </w:r>
    </w:p>
    <w:p>
      <w:pPr>
        <w:spacing w:after="0" w:line="20" w:lineRule="exact"/>
        <w:rPr>
          <w:sz w:val="24"/>
          <w:szCs w:val="24"/>
          <w:color w:val="auto"/>
        </w:rPr>
      </w:pPr>
      <w:r>
        <w:rPr>
          <w:sz w:val="24"/>
          <w:szCs w:val="24"/>
          <w:color w:val="auto"/>
        </w:rPr>
        <w:br w:type="column"/>
      </w:r>
    </w:p>
    <w:p>
      <w:pPr>
        <w:spacing w:after="0" w:line="20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08540</w:t>
      </w:r>
    </w:p>
    <w:p>
      <w:pPr>
        <w:spacing w:after="0" w:line="43" w:lineRule="exact"/>
        <w:rPr>
          <w:sz w:val="24"/>
          <w:szCs w:val="24"/>
          <w:color w:val="auto"/>
        </w:rPr>
      </w:pPr>
    </w:p>
    <w:p>
      <w:pPr>
        <w:sectPr>
          <w:pgSz w:w="11900" w:h="16838" w:orient="portrait"/>
          <w:cols w:equalWidth="0" w:num="2">
            <w:col w:w="7400" w:space="720"/>
            <w:col w:w="2900"/>
          </w:cols>
          <w:pgMar w:left="440" w:top="443" w:right="4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00" w:lineRule="exact"/>
        <w:rPr>
          <w:sz w:val="24"/>
          <w:szCs w:val="24"/>
          <w:color w:val="auto"/>
        </w:rPr>
      </w:pPr>
    </w:p>
    <w:p>
      <w:pPr>
        <w:sectPr>
          <w:pgSz w:w="11900" w:h="16838" w:orient="portrait"/>
          <w:cols w:equalWidth="0" w:num="2">
            <w:col w:w="7280" w:space="720"/>
            <w:col w:w="3020"/>
          </w:cols>
          <w:pgMar w:left="440" w:top="443" w:right="4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159385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4"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98"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0"/>
          </w:cols>
          <w:pgMar w:left="440" w:top="443"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4, 2026, PMV Pharmaceuticals, Inc. (the “Company”) held its virtual 2026 Annual Meeting of Stockholders (the “Annual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exclusively online via live webcast. The stockholders voted on the following proposals at the Annual Meeting:</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Directors</w:t>
      </w:r>
    </w:p>
    <w:p>
      <w:pPr>
        <w:spacing w:after="0" w:line="11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stockholders elected the two persons listed below as Class III Directors, each to serve until the Company’s 2029 annual meeting of stockholders and until their respective successors has been duly elected and qualified, or until the earlier of the respective director’s death, resignation or removal. The final voting results are as follows:</w:t>
      </w:r>
    </w:p>
    <w:p>
      <w:pPr>
        <w:spacing w:after="0" w:line="186"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284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color w:val="auto"/>
              </w:rPr>
              <w:t>FOR</w:t>
            </w:r>
          </w:p>
        </w:tc>
        <w:tc>
          <w:tcPr>
            <w:tcW w:w="10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WITHHELD</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BROKER</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28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NON-VOTE</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H. Mack, Ph.D.</w:t>
            </w:r>
          </w:p>
        </w:tc>
        <w:tc>
          <w:tcPr>
            <w:tcW w:w="284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15,693,907</w:t>
            </w:r>
          </w:p>
        </w:tc>
        <w:tc>
          <w:tcPr>
            <w:tcW w:w="10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6,248,461</w:t>
            </w:r>
          </w:p>
        </w:tc>
        <w:tc>
          <w:tcPr>
            <w:tcW w:w="940" w:type="dxa"/>
            <w:vAlign w:val="bottom"/>
            <w:shd w:val="clear" w:color="auto" w:fill="CCEEFF"/>
          </w:tcPr>
          <w:p>
            <w:pPr>
              <w:jc w:val="center"/>
              <w:ind w:left="19"/>
              <w:spacing w:after="0"/>
              <w:rPr>
                <w:sz w:val="20"/>
                <w:szCs w:val="20"/>
                <w:color w:val="auto"/>
              </w:rPr>
            </w:pPr>
            <w:r>
              <w:rPr>
                <w:rFonts w:ascii="Times New Roman" w:cs="Times New Roman" w:eastAsia="Times New Roman" w:hAnsi="Times New Roman"/>
                <w:sz w:val="18"/>
                <w:szCs w:val="18"/>
                <w:color w:val="auto"/>
                <w:w w:val="99"/>
              </w:rPr>
              <w:t>6,975,412</w:t>
            </w:r>
          </w:p>
        </w:tc>
        <w:tc>
          <w:tcPr>
            <w:tcW w:w="0" w:type="dxa"/>
            <w:vAlign w:val="bottom"/>
          </w:tcPr>
          <w:p>
            <w:pPr>
              <w:spacing w:after="0"/>
              <w:rPr>
                <w:sz w:val="1"/>
                <w:szCs w:val="1"/>
                <w:color w:val="auto"/>
              </w:rPr>
            </w:pPr>
          </w:p>
        </w:tc>
      </w:t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Laurie Stelzer</w:t>
            </w:r>
          </w:p>
        </w:tc>
        <w:tc>
          <w:tcPr>
            <w:tcW w:w="28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11,261,111</w:t>
            </w: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10,681,257</w:t>
            </w:r>
          </w:p>
        </w:tc>
        <w:tc>
          <w:tcPr>
            <w:tcW w:w="940" w:type="dxa"/>
            <w:vAlign w:val="bottom"/>
          </w:tcPr>
          <w:p>
            <w:pPr>
              <w:jc w:val="center"/>
              <w:ind w:left="19"/>
              <w:spacing w:after="0"/>
              <w:rPr>
                <w:sz w:val="20"/>
                <w:szCs w:val="20"/>
                <w:color w:val="auto"/>
              </w:rPr>
            </w:pPr>
            <w:r>
              <w:rPr>
                <w:rFonts w:ascii="Times New Roman" w:cs="Times New Roman" w:eastAsia="Times New Roman" w:hAnsi="Times New Roman"/>
                <w:sz w:val="18"/>
                <w:szCs w:val="18"/>
                <w:color w:val="auto"/>
                <w:w w:val="99"/>
              </w:rPr>
              <w:t>6,975,412</w:t>
            </w:r>
          </w:p>
        </w:tc>
        <w:tc>
          <w:tcPr>
            <w:tcW w:w="0" w:type="dxa"/>
            <w:vAlign w:val="bottom"/>
          </w:tcPr>
          <w:p>
            <w:pPr>
              <w:spacing w:after="0"/>
              <w:rPr>
                <w:sz w:val="1"/>
                <w:szCs w:val="1"/>
                <w:color w:val="auto"/>
              </w:rPr>
            </w:pPr>
          </w:p>
        </w:tc>
      </w:tr>
    </w:tbl>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Non-Binding Advisory Vote to Approve the Compensation of the Company’s Named Executive Officers</w:t>
      </w:r>
    </w:p>
    <w:p>
      <w:pPr>
        <w:spacing w:after="0" w:line="11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Company’s stockholders approved, on a non-binding advisory basis, the compensation paid to its named executive officers as described in the Company’s definitive proxy statement on Schedule 14A, filed with the U.S. Securities and Exchange Commission (the “SEC”) on April 22, 2026 (the “Proxy Statement”). The final voting results are as follows:</w:t>
      </w:r>
    </w:p>
    <w:p>
      <w:pPr>
        <w:spacing w:after="0" w:line="198" w:lineRule="exact"/>
        <w:rPr>
          <w:sz w:val="20"/>
          <w:szCs w:val="20"/>
          <w:color w:val="auto"/>
        </w:rPr>
      </w:pPr>
    </w:p>
    <w:tbl>
      <w:tblPr>
        <w:tblLayout w:type="fixed"/>
        <w:tblInd w:w="1220" w:type="dxa"/>
        <w:tblCellMar>
          <w:top w:w="0" w:type="dxa"/>
          <w:left w:w="0" w:type="dxa"/>
          <w:bottom w:w="0" w:type="dxa"/>
          <w:right w:w="0" w:type="dxa"/>
        </w:tblCellMar>
      </w:tblPr>
      <w:tr>
        <w:trPr>
          <w:trHeight w:val="171"/>
        </w:trPr>
        <w:tc>
          <w:tcPr>
            <w:tcW w:w="2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198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ABSTAIN</w:t>
            </w:r>
          </w:p>
        </w:tc>
        <w:tc>
          <w:tcPr>
            <w:tcW w:w="2300" w:type="dxa"/>
            <w:vAlign w:val="bottom"/>
          </w:tcPr>
          <w:p>
            <w:pPr>
              <w:jc w:val="center"/>
              <w:ind w:left="159"/>
              <w:spacing w:after="0"/>
              <w:rPr>
                <w:sz w:val="20"/>
                <w:szCs w:val="20"/>
                <w:color w:val="auto"/>
              </w:rPr>
            </w:pPr>
            <w:r>
              <w:rPr>
                <w:rFonts w:ascii="Times New Roman" w:cs="Times New Roman" w:eastAsia="Times New Roman" w:hAnsi="Times New Roman"/>
                <w:sz w:val="14"/>
                <w:szCs w:val="14"/>
                <w:color w:val="auto"/>
              </w:rPr>
              <w:t>BROKER NON-VOTE</w:t>
            </w:r>
          </w:p>
        </w:tc>
      </w:tr>
      <w:tr>
        <w:trPr>
          <w:trHeight w:val="216"/>
        </w:trPr>
        <w:tc>
          <w:tcPr>
            <w:tcW w:w="212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8"/>
                <w:szCs w:val="18"/>
                <w:color w:val="auto"/>
              </w:rPr>
              <w:t>15,015,578</w:t>
            </w:r>
          </w:p>
        </w:tc>
        <w:tc>
          <w:tcPr>
            <w:tcW w:w="218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6,468,718</w:t>
            </w:r>
          </w:p>
        </w:tc>
        <w:tc>
          <w:tcPr>
            <w:tcW w:w="19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458,072</w:t>
            </w:r>
          </w:p>
        </w:tc>
        <w:tc>
          <w:tcPr>
            <w:tcW w:w="230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6,975,412</w:t>
            </w:r>
          </w:p>
        </w:tc>
      </w:tr>
    </w:tbl>
    <w:p>
      <w:pPr>
        <w:spacing w:after="0" w:line="19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Consistent with the recommendation of the Company’s Board of Directors and based on the Company’s stockholders’ approval at the Company’s 2022 annual meeting of stockholders, held on June 2, 2022, the Company conducts non-binding advisory votes on the compensation of its named executive officers every year. This policy will remain in effect until the next non-binding advisory stockholder vote on the frequency of future stockholder advisory votes on the compensation of the Company’s named executive officers, expected to be held at the Company’s 2028 annual meeting of stockholders.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Ratification of Independent Registered Public Accounting Firm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ratified the selection by the Audit Committee of the Company’s Board of Directors of Ernst &amp; Young LLP as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independent registered public accounting firm for the fiscal year ending December 31, 2026. The final voting results are as follows:</w:t>
      </w:r>
    </w:p>
    <w:p>
      <w:pPr>
        <w:spacing w:after="0" w:line="229" w:lineRule="exact"/>
        <w:rPr>
          <w:sz w:val="20"/>
          <w:szCs w:val="20"/>
          <w:color w:val="auto"/>
        </w:rPr>
      </w:pPr>
    </w:p>
    <w:tbl>
      <w:tblPr>
        <w:tblLayout w:type="fixed"/>
        <w:tblInd w:w="1220" w:type="dxa"/>
        <w:tblCellMar>
          <w:top w:w="0" w:type="dxa"/>
          <w:left w:w="0" w:type="dxa"/>
          <w:bottom w:w="0" w:type="dxa"/>
          <w:right w:w="0" w:type="dxa"/>
        </w:tblCellMar>
      </w:tblPr>
      <w:tr>
        <w:trPr>
          <w:trHeight w:val="171"/>
        </w:trPr>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FOR</w:t>
            </w:r>
          </w:p>
        </w:tc>
        <w:tc>
          <w:tcPr>
            <w:tcW w:w="2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AGAINST</w:t>
            </w:r>
          </w:p>
        </w:tc>
        <w:tc>
          <w:tcPr>
            <w:tcW w:w="2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ABSTAIN</w:t>
            </w:r>
          </w:p>
        </w:tc>
      </w:tr>
      <w:tr>
        <w:trPr>
          <w:trHeight w:val="216"/>
        </w:trPr>
        <w:tc>
          <w:tcPr>
            <w:tcW w:w="296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8"/>
                <w:szCs w:val="18"/>
                <w:color w:val="auto"/>
              </w:rPr>
              <w:t>28,379,108</w:t>
            </w:r>
          </w:p>
        </w:tc>
        <w:tc>
          <w:tcPr>
            <w:tcW w:w="284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536,302</w:t>
            </w:r>
          </w:p>
        </w:tc>
        <w:tc>
          <w:tcPr>
            <w:tcW w:w="27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8"/>
                <w:szCs w:val="18"/>
                <w:color w:val="auto"/>
              </w:rPr>
              <w:t>2,370</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about the foregoing proposals, see the Proxy Statement as filed with the SEC.</w:t>
      </w:r>
    </w:p>
    <w:p>
      <w:pPr>
        <w:sectPr>
          <w:pgSz w:w="11900" w:h="16838" w:orient="portrait"/>
          <w:cols w:equalWidth="0" w:num="1">
            <w:col w:w="10980"/>
          </w:cols>
          <w:pgMar w:left="440" w:top="293" w:right="4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Michael Carulli</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2026-06-05T07:12:26Z</dcterms:created>
  <dcterms:modified xsi:type="dcterms:W3CDTF">2026-06-05T07:12:26Z</dcterms:modified>
</cp:coreProperties>
</file>