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u w:val="single" w:color="auto"/>
                  <w:color w:val="0000EE"/>
                </w:rPr>
                <w:t>Heyman Richard A</w:t>
              </w:r>
              <w:r>
                <w:rPr>
                  <w:rFonts w:ascii="Times New Roman" w:cs="Times New Roman" w:eastAsia="Times New Roman" w:hAnsi="Times New Roman"/>
                  <w:sz w:val="24"/>
                  <w:szCs w:val="24"/>
                  <w:color w:val="0000EE"/>
                </w:rPr>
                <w:t>.</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365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65950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3"/>
                <w:szCs w:val="13"/>
                <w:color w:val="auto"/>
              </w:rPr>
            </w:pPr>
          </w:p>
        </w:tc>
        <w:tc>
          <w:tcPr>
            <w:tcW w:w="920" w:type="dxa"/>
            <w:vAlign w:val="bottom"/>
          </w:tcPr>
          <w:p>
            <w:pPr>
              <w:ind w:left="2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08/16/2027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4"/>
              </w:rPr>
              <w:t>11,901</w:t>
            </w: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20"/>
                <w:szCs w:val="20"/>
                <w:color w:val="0000FF"/>
              </w:rPr>
              <w:t>2.95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08/16/2027</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17,851</w:t>
            </w:r>
          </w:p>
        </w:tc>
        <w:tc>
          <w:tcPr>
            <w:tcW w:w="9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2.95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08/16/2027</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8,926</w:t>
            </w:r>
          </w:p>
        </w:tc>
        <w:tc>
          <w:tcPr>
            <w:tcW w:w="9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2.95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08/16/2027</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8,926</w:t>
            </w: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20"/>
                <w:szCs w:val="20"/>
                <w:color w:val="0000FF"/>
              </w:rPr>
              <w:t>2.95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top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06/22/2030</w:t>
            </w:r>
          </w:p>
        </w:tc>
        <w:tc>
          <w:tcPr>
            <w:tcW w:w="1720" w:type="dxa"/>
            <w:vAlign w:val="bottom"/>
            <w:tcBorders>
              <w:top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top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8"/>
              </w:rPr>
              <w:t>142,714</w:t>
            </w:r>
          </w:p>
        </w:tc>
        <w:tc>
          <w:tcPr>
            <w:tcW w:w="980" w:type="dxa"/>
            <w:vAlign w:val="bottom"/>
            <w:tcBorders>
              <w:top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4.22</w:t>
            </w:r>
          </w:p>
        </w:tc>
        <w:tc>
          <w:tcPr>
            <w:tcW w:w="9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06/22/2030</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4,196</w:t>
            </w:r>
          </w:p>
        </w:tc>
        <w:tc>
          <w:tcPr>
            <w:tcW w:w="9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4.22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bottom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06/22/2030</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20"/>
                <w:szCs w:val="20"/>
                <w:color w:val="0000FF"/>
                <w:w w:val="97"/>
              </w:rPr>
              <w:t>2,099</w:t>
            </w:r>
          </w:p>
        </w:tc>
        <w:tc>
          <w:tcPr>
            <w:tcW w:w="980" w:type="dxa"/>
            <w:vAlign w:val="bottom"/>
            <w:tcBorders>
              <w:bottom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4.22</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06/22/2030</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ind w:left="30"/>
              <w:spacing w:after="0"/>
              <w:rPr>
                <w:sz w:val="20"/>
                <w:szCs w:val="20"/>
                <w:color w:val="auto"/>
              </w:rPr>
            </w:pPr>
            <w:r>
              <w:rPr>
                <w:rFonts w:ascii="Times New Roman" w:cs="Times New Roman" w:eastAsia="Times New Roman" w:hAnsi="Times New Roman"/>
                <w:sz w:val="20"/>
                <w:szCs w:val="20"/>
                <w:color w:val="0000FF"/>
                <w:w w:val="97"/>
              </w:rPr>
              <w:t>2,099</w:t>
            </w: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20"/>
                <w:szCs w:val="20"/>
                <w:color w:val="0000FF"/>
              </w:rPr>
              <w:t>4.22</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top w:val="single" w:sz="8" w:color="2C2C2C"/>
            </w:tcBorders>
          </w:tcPr>
          <w:p>
            <w:pPr>
              <w:jc w:val="right"/>
              <w:ind w:right="353"/>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06/22/2030</w:t>
            </w:r>
          </w:p>
        </w:tc>
        <w:tc>
          <w:tcPr>
            <w:tcW w:w="1720" w:type="dxa"/>
            <w:vAlign w:val="bottom"/>
            <w:tcBorders>
              <w:top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top w:val="single" w:sz="8" w:color="2C2C2C"/>
            </w:tcBorders>
          </w:tcPr>
          <w:p>
            <w:pPr>
              <w:jc w:val="center"/>
              <w:ind w:left="10"/>
              <w:spacing w:after="0"/>
              <w:rPr>
                <w:sz w:val="20"/>
                <w:szCs w:val="20"/>
                <w:color w:val="auto"/>
              </w:rPr>
            </w:pPr>
            <w:r>
              <w:rPr>
                <w:rFonts w:ascii="Times New Roman" w:cs="Times New Roman" w:eastAsia="Times New Roman" w:hAnsi="Times New Roman"/>
                <w:sz w:val="20"/>
                <w:szCs w:val="20"/>
                <w:color w:val="0000FF"/>
                <w:w w:val="98"/>
              </w:rPr>
              <w:t>45,332</w:t>
            </w:r>
          </w:p>
        </w:tc>
        <w:tc>
          <w:tcPr>
            <w:tcW w:w="980" w:type="dxa"/>
            <w:vAlign w:val="bottom"/>
            <w:tcBorders>
              <w:top w:val="single" w:sz="8" w:color="2C2C2C"/>
            </w:tcBorders>
          </w:tcPr>
          <w:p>
            <w:pPr>
              <w:jc w:val="right"/>
              <w:ind w:right="231"/>
              <w:spacing w:after="0"/>
              <w:rPr>
                <w:sz w:val="20"/>
                <w:szCs w:val="20"/>
                <w:color w:val="auto"/>
              </w:rPr>
            </w:pPr>
            <w:r>
              <w:rPr>
                <w:rFonts w:ascii="Times New Roman" w:cs="Times New Roman" w:eastAsia="Times New Roman" w:hAnsi="Times New Roman"/>
                <w:sz w:val="20"/>
                <w:szCs w:val="20"/>
                <w:color w:val="0000FF"/>
              </w:rPr>
              <w:t>4.22</w:t>
            </w:r>
          </w:p>
        </w:tc>
        <w:tc>
          <w:tcPr>
            <w:tcW w:w="9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-2388870</wp:posOffset>
            </wp:positionV>
            <wp:extent cx="6927850" cy="223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230120"/>
                    </a:xfrm>
                    <a:prstGeom prst="rect">
                      <a:avLst/>
                    </a:prstGeom>
                    <a:noFill/>
                  </pic:spPr>
                </pic:pic>
              </a:graphicData>
            </a:graphic>
          </wp:anchor>
        </w:drawing>
      </w:r>
    </w:p>
    <w:p>
      <w:pPr>
        <w:ind w:left="40" w:right="14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are subject to an early exercise provision and are immediately exercisable. One forty-eighth of the shares subject to the option vested on September 17, 2017, and an additional one forty-eighth of the shares subject to the option shall vest each month thereafter. The Reporting Person transferred all of the vested options as of September 2, 2020 to (i) Paul L. Vogel as Trustee of the Heyman Family 2020 Irrevocable Trust under agreement dated August 31, 2020, (ii) Paul L. Vogel as Trustee of the Julia E. Heyman 2016 Irrevocable Trust under agreement dated November 1, 2016 and (iii) Paul L. Vogel as Trustee of the Scott Z. Heyman 2016 Irrevocable Trust under agreement dated November 1, 2016, and the remaining options held by the Reporting Person continue to vest according to the terms of the option grant.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are vested and immediately exercisable.</w:t>
      </w:r>
    </w:p>
    <w:p>
      <w:pPr>
        <w:spacing w:after="0" w:line="52" w:lineRule="exact"/>
        <w:rPr>
          <w:rFonts w:ascii="Times New Roman" w:cs="Times New Roman" w:eastAsia="Times New Roman" w:hAnsi="Times New Roman"/>
          <w:sz w:val="15"/>
          <w:szCs w:val="15"/>
          <w:color w:val="008000"/>
        </w:rPr>
      </w:pPr>
    </w:p>
    <w:p>
      <w:pPr>
        <w:ind w:left="40" w:right="2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grants are held of record by Paul L. Vogel as Trustee of the Heyman Family 2020 Irrevocable Trust under agreement dated August 31, 2020 for the benefit of the Reporting Person's immediate family.</w:t>
      </w:r>
    </w:p>
    <w:p>
      <w:pPr>
        <w:spacing w:after="0" w:line="17"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grants are held of record by Paul L. Vogel as Trustee of the Julia E. Heyman 2016 Irrevocable Trust under agreement dated November 1, 2016 for the benefit of the Reporting Person's daughter and descendants.</w:t>
      </w:r>
    </w:p>
    <w:p>
      <w:pPr>
        <w:spacing w:after="0" w:line="17"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grants are held of record by Paul L. Vogel as Trustee of the Scott Z. Heyman 2016 Irrevocable Trust under agreement dated November 1, 2016 for the benefit of the Reporting Person's son and descendants.</w:t>
      </w:r>
    </w:p>
    <w:p>
      <w:pPr>
        <w:spacing w:after="0" w:line="17" w:lineRule="exact"/>
        <w:rPr>
          <w:rFonts w:ascii="Times New Roman" w:cs="Times New Roman" w:eastAsia="Times New Roman" w:hAnsi="Times New Roman"/>
          <w:sz w:val="15"/>
          <w:szCs w:val="15"/>
          <w:color w:val="008000"/>
        </w:rPr>
      </w:pPr>
    </w:p>
    <w:p>
      <w:pPr>
        <w:ind w:left="40" w:right="10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thirty-sixth of the shares subject to the option vested on July 23, 2020, and an additional one thirty-sixth of the shares subject to the option shall vest each month thereafter. The option shall vest in full and become immediately exercisable if the Reporting Person is terminated without cause or upon a change in control. The Reporting Person transferred all of the vested options as of September 2, 2020 to (i) Paul L. Vogel as Trustee of the Heyman Family 2020 Irrevocable Trust under agreement dated August 31, 2020, (ii) Paul L. Vogel as Trustee of the Julia E. Heyman 2016 Irrevocable Trust under agreement dated November 1, 2016 and (iii) Paul L. Vogel as Trustee of the Scott Z. Heyman 2016 Irrevocable Trust under agreement dated November 1, 2016, and the remaining options held by the Reporting Person continue to vest according to the terms of the option grant.</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40" w:firstLine="5"/>
        <w:spacing w:after="0" w:line="244" w:lineRule="auto"/>
        <w:tabs>
          <w:tab w:leader="none" w:pos="150" w:val="left"/>
        </w:tabs>
        <w:numPr>
          <w:ilvl w:val="0"/>
          <w:numId w:val="2"/>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shall vest upon the date of (a) the closing of the Issuer's initial public offering which results in at least $100,000,000 in gross proceeds with a price per share equal to at least the lowest price per share in the range on the cover of the preliminary prospectus statement utilized on the road show in connection with such initial public offering and (b) Reporting Person being a contributing factor to the closing of such initial public offering, as determined solely by the Issuer's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Richard A. Heyman</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Richard A. Heyman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84759"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2020-09-24T18:14:08Z</dcterms:created>
  <dcterms:modified xsi:type="dcterms:W3CDTF">2020-09-24T18:14:08Z</dcterms:modified>
</cp:coreProperties>
</file>