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333-248627</w:t>
      </w:r>
    </w:p>
    <w:p>
      <w:pPr>
        <w:spacing w:after="0" w:line="12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11,765,000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11,765,000 shares of common stock are being sold by the company.</w:t>
      </w:r>
    </w:p>
    <w:p>
      <w:pPr>
        <w:spacing w:after="0" w:line="145" w:lineRule="exact"/>
        <w:rPr>
          <w:sz w:val="24"/>
          <w:szCs w:val="24"/>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is $18.00. We have been approved to list our common stock on the Nasdaq Global Select Market under the symbol “PMVP.”</w:t>
      </w:r>
    </w:p>
    <w:p>
      <w:pPr>
        <w:spacing w:after="0" w:line="145" w:lineRule="exact"/>
        <w:rPr>
          <w:sz w:val="24"/>
          <w:szCs w:val="24"/>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15">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12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852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211,770,000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14,823,900</w:t>
            </w: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196,946,100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4"/>
          <w:szCs w:val="24"/>
          <w:color w:val="auto"/>
        </w:rPr>
      </w:pPr>
    </w:p>
    <w:p>
      <w:pPr>
        <w:ind w:left="540" w:hanging="424"/>
        <w:spacing w:after="0"/>
        <w:tabs>
          <w:tab w:leader="none" w:pos="5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199 for additional information regarding compensation payable to the underwriters.</w:t>
      </w:r>
    </w:p>
    <w:p>
      <w:pPr>
        <w:spacing w:after="0" w:line="174" w:lineRule="exact"/>
        <w:rPr>
          <w:sz w:val="24"/>
          <w:szCs w:val="24"/>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1,764,750 shares of common stock from us at the initial public offering price, less the underwriting discounts and commissions.</w:t>
      </w:r>
    </w:p>
    <w:p>
      <w:pPr>
        <w:spacing w:after="0" w:line="14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against payment in New York, New York on September 29, 2020.</w:t>
      </w:r>
    </w:p>
    <w:p>
      <w:pPr>
        <w:spacing w:after="0" w:line="234" w:lineRule="exact"/>
        <w:rPr>
          <w:sz w:val="24"/>
          <w:szCs w:val="24"/>
          <w:color w:val="auto"/>
        </w:rPr>
      </w:pPr>
    </w:p>
    <w:p>
      <w:pPr>
        <w:ind w:left="120"/>
        <w:spacing w:after="0"/>
        <w:tabs>
          <w:tab w:leader="none" w:pos="5120" w:val="left"/>
          <w:tab w:leader="none" w:pos="8120" w:val="left"/>
          <w:tab w:leader="none" w:pos="9760" w:val="left"/>
        </w:tabs>
        <w:rPr>
          <w:sz w:val="20"/>
          <w:szCs w:val="20"/>
          <w:color w:val="auto"/>
        </w:rPr>
      </w:pPr>
      <w:r>
        <w:rPr>
          <w:rFonts w:ascii="Arial" w:cs="Arial" w:eastAsia="Arial" w:hAnsi="Arial"/>
          <w:sz w:val="23"/>
          <w:szCs w:val="23"/>
          <w:b w:val="1"/>
          <w:bCs w:val="1"/>
          <w:color w:val="auto"/>
        </w:rPr>
        <w:t>Goldman Sachs &amp; Co. LLC</w:t>
      </w:r>
      <w:r>
        <w:rPr>
          <w:sz w:val="20"/>
          <w:szCs w:val="20"/>
          <w:color w:val="auto"/>
        </w:rPr>
        <w:tab/>
      </w:r>
      <w:r>
        <w:rPr>
          <w:rFonts w:ascii="Arial" w:cs="Arial" w:eastAsia="Arial" w:hAnsi="Arial"/>
          <w:sz w:val="23"/>
          <w:szCs w:val="23"/>
          <w:b w:val="1"/>
          <w:bCs w:val="1"/>
          <w:color w:val="auto"/>
        </w:rPr>
        <w:t>BofA Securities</w:t>
      </w:r>
      <w:r>
        <w:rPr>
          <w:sz w:val="20"/>
          <w:szCs w:val="20"/>
          <w:color w:val="auto"/>
        </w:rPr>
        <w:tab/>
      </w:r>
      <w:r>
        <w:rPr>
          <w:rFonts w:ascii="Arial" w:cs="Arial" w:eastAsia="Arial" w:hAnsi="Arial"/>
          <w:sz w:val="23"/>
          <w:szCs w:val="23"/>
          <w:b w:val="1"/>
          <w:bCs w:val="1"/>
          <w:color w:val="auto"/>
        </w:rPr>
        <w:t>Cowen</w:t>
      </w:r>
      <w:r>
        <w:rPr>
          <w:sz w:val="20"/>
          <w:szCs w:val="20"/>
          <w:color w:val="auto"/>
        </w:rPr>
        <w:tab/>
      </w:r>
      <w:r>
        <w:rPr>
          <w:rFonts w:ascii="Arial" w:cs="Arial" w:eastAsia="Arial" w:hAnsi="Arial"/>
          <w:sz w:val="23"/>
          <w:szCs w:val="23"/>
          <w:b w:val="1"/>
          <w:bCs w:val="1"/>
          <w:color w:val="auto"/>
        </w:rPr>
        <w:t>Evercore ISI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252730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Prospectus dated September 24, 2020.</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056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560" w:type="dxa"/>
            <w:vAlign w:val="bottom"/>
            <w:vMerge w:val="continue"/>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OFFERING</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USE OF PROCEEDS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DIVIDEND POLICY</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CAPITALIZATION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DILUTION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SELECTED FINANCIAL DATA</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BUSINESS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MANAGEMENT</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EXECUTIVE COMPENSATION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PRINCIPAL STOCKHOLDERS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DESCRIPTION OF CAPITAL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SHARES ELIGIBLE FOR FUTURE SALE</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UNDERWRITING</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LEGAL MATTERS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EXPERTS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10560" w:type="dxa"/>
            <w:vAlign w:val="bottom"/>
          </w:tcPr>
          <w:p>
            <w:pPr>
              <w:spacing w:after="0" w:line="202" w:lineRule="exact"/>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10560" w:type="dxa"/>
            <w:vAlign w:val="bottom"/>
          </w:tcPr>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INDEX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right="100" w:firstLine="551"/>
        <w:spacing w:after="0" w:line="252" w:lineRule="auto"/>
        <w:rPr>
          <w:sz w:val="20"/>
          <w:szCs w:val="20"/>
          <w:color w:val="auto"/>
        </w:rPr>
      </w:pPr>
      <w:r>
        <w:rPr>
          <w:rFonts w:ascii="Arial" w:cs="Arial" w:eastAsia="Arial" w:hAnsi="Arial"/>
          <w:sz w:val="18"/>
          <w:szCs w:val="18"/>
          <w:b w:val="1"/>
          <w:bCs w:val="1"/>
          <w:color w:val="auto"/>
        </w:rPr>
        <w:t>Through and including October 19,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9"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28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While we believe that the data we use from third parties is reliable, we have not separately verified these data. This information, to the extent it contains estimates or projections, involves a number of assumptions and limitations, and you are cautioned not to give undue weight to such estimates or projections.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5" w:right="5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9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39903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We believe that 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20" w:hanging="522"/>
        <w:spacing w:after="0"/>
        <w:tabs>
          <w:tab w:leader="none" w:pos="8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80" w:hanging="522"/>
        <w:spacing w:after="0" w:line="182" w:lineRule="auto"/>
        <w:tabs>
          <w:tab w:leader="none" w:pos="82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strategy is to seek approval under an accelerated pathway, and we believe our Phase 1/2 clinical trial has the potential to serve as a pivotal study. We have not discussed the potential pivotal study designation with the U.S. Food and Drug Administration, or FDA, and we cannot guarantee that the FDA will grant accelerated approval, but if obtained, we anticipate that the FDA will require the conduct of a post-approval commitment to confirm clinical benefit.</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8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FDA and we are not aware of any other products in clinical development that selectively target the p53 Y220C mutation.</w:t>
      </w:r>
    </w:p>
    <w:p>
      <w:pPr>
        <w:spacing w:after="0" w:line="170" w:lineRule="exact"/>
        <w:rPr>
          <w:sz w:val="20"/>
          <w:szCs w:val="20"/>
          <w:color w:val="auto"/>
        </w:rPr>
      </w:pPr>
    </w:p>
    <w:p>
      <w:pPr>
        <w:ind w:left="300" w:right="380" w:firstLine="532"/>
        <w:spacing w:after="0" w:line="248" w:lineRule="auto"/>
        <w:rPr>
          <w:sz w:val="20"/>
          <w:szCs w:val="20"/>
          <w:color w:val="auto"/>
        </w:rPr>
      </w:pPr>
      <w:r>
        <w:rPr>
          <w:rFonts w:ascii="Arial" w:cs="Arial" w:eastAsia="Arial" w:hAnsi="Arial"/>
          <w:sz w:val="18"/>
          <w:szCs w:val="18"/>
          <w:color w:val="auto"/>
        </w:rPr>
        <w:t>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Additionally, structural correction from a mutant p53 Y220C conformation to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36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76" w:lineRule="auto"/>
        <w:rPr>
          <w:sz w:val="20"/>
          <w:szCs w:val="20"/>
          <w:color w:val="auto"/>
        </w:rPr>
      </w:pPr>
      <w:r>
        <w:rPr>
          <w:rFonts w:ascii="Arial" w:cs="Arial" w:eastAsia="Arial" w:hAnsi="Arial"/>
          <w:sz w:val="18"/>
          <w:szCs w:val="18"/>
          <w:color w:val="auto"/>
        </w:rPr>
        <w:t>wild-type p53 conformation by PC14586 restored p53-dependent transcription of downstream targets, which is indicative of wild-type p53 biological activity.</w:t>
      </w:r>
    </w:p>
    <w:p>
      <w:pPr>
        <w:spacing w:after="0" w:line="145" w:lineRule="exact"/>
        <w:rPr>
          <w:sz w:val="20"/>
          <w:szCs w:val="20"/>
          <w:color w:val="auto"/>
        </w:rPr>
      </w:pPr>
    </w:p>
    <w:p>
      <w:pPr>
        <w:ind w:left="300" w:right="12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PC14586 administered as a single-agent demonstrated regression in tumors that express the p53 Y220C mutation in the syngeneic mouse model. PC14586 also exhibited anti-tumor activity in combination with anti-PD-1 therapy in syngeneic mouse models with the human p53 Y220C mutation.</w:t>
      </w:r>
    </w:p>
    <w:p>
      <w:pPr>
        <w:spacing w:after="0" w:line="164" w:lineRule="exact"/>
        <w:rPr>
          <w:sz w:val="20"/>
          <w:szCs w:val="20"/>
          <w:color w:val="auto"/>
        </w:rPr>
      </w:pPr>
    </w:p>
    <w:p>
      <w:pPr>
        <w:ind w:left="300" w:right="50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received authorization to proceed under an IND for PC14586 on September 4, 2020 and plan to start a Phase 1/2 clinical trial in the second half of 2020.</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Second Program R273H</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causes a decrease in binding between the p53 protein and DNA, resulting in the p53 protein’s inability to activate transcription of p53 target genes. We are generating molecules designed to enhance and restore the binding of the p53 protein and DNA. Our R273H program continues to progress towards lead optimization, as we have identified several potential candidates from our screening campaigns.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right="220" w:firstLine="532"/>
        <w:spacing w:after="0" w:line="255" w:lineRule="auto"/>
        <w:rPr>
          <w:sz w:val="20"/>
          <w:szCs w:val="20"/>
          <w:color w:val="auto"/>
        </w:rPr>
      </w:pPr>
      <w:r>
        <w:rPr>
          <w:rFonts w:ascii="Arial" w:cs="Arial" w:eastAsia="Arial" w:hAnsi="Arial"/>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4" w:lineRule="exact"/>
        <w:rPr>
          <w:sz w:val="20"/>
          <w:szCs w:val="20"/>
          <w:color w:val="auto"/>
        </w:rPr>
      </w:pPr>
    </w:p>
    <w:p>
      <w:pPr>
        <w:ind w:left="300" w:right="360" w:firstLine="532"/>
        <w:spacing w:after="0" w:line="255"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David Mack, our President and Chief Executive Officer, was</w:t>
      </w:r>
    </w:p>
    <w:p>
      <w:pPr>
        <w:spacing w:after="0" w:line="200" w:lineRule="exact"/>
        <w:rPr>
          <w:sz w:val="20"/>
          <w:szCs w:val="20"/>
          <w:color w:val="auto"/>
        </w:rPr>
      </w:pP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5" w:right="7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previously General Partner at Alta Partners and co-founder and Vice President of Genomic Research at Eos Biotechnology, where he led the advancement of multiple product candidates prior to the company’s sale to Protein Design Labs. Mr.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Dr. Deepika Jalota, Pharm.D., our Senior Vice President,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4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00" w:hanging="195"/>
        <w:spacing w:after="0" w:line="27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4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7"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80" w:hanging="195"/>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ind w:left="1020" w:right="120" w:hanging="195"/>
        <w:spacing w:after="0" w:line="30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020" w:right="5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 which must also separately be approved as medical devices by the FDA.</w:t>
      </w: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04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offered by us</w:t>
            </w:r>
          </w:p>
        </w:tc>
        <w:tc>
          <w:tcPr>
            <w:tcW w:w="5680" w:type="dxa"/>
            <w:vAlign w:val="bottom"/>
          </w:tcPr>
          <w:p>
            <w:pPr>
              <w:ind w:left="360"/>
              <w:spacing w:after="0"/>
              <w:rPr>
                <w:sz w:val="20"/>
                <w:szCs w:val="20"/>
                <w:color w:val="auto"/>
              </w:rPr>
            </w:pPr>
            <w:r>
              <w:rPr>
                <w:rFonts w:ascii="Arial" w:cs="Arial" w:eastAsia="Arial" w:hAnsi="Arial"/>
                <w:sz w:val="18"/>
                <w:szCs w:val="18"/>
                <w:color w:val="auto"/>
              </w:rPr>
              <w:t>11,765,000 shares.</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Underwriters’ option to purchase additional shares</w:t>
            </w:r>
          </w:p>
        </w:tc>
        <w:tc>
          <w:tcPr>
            <w:tcW w:w="5680" w:type="dxa"/>
            <w:vAlign w:val="bottom"/>
          </w:tcPr>
          <w:p>
            <w:pPr>
              <w:ind w:left="360"/>
              <w:spacing w:after="0"/>
              <w:rPr>
                <w:sz w:val="20"/>
                <w:szCs w:val="20"/>
                <w:color w:val="auto"/>
              </w:rPr>
            </w:pPr>
            <w:r>
              <w:rPr>
                <w:rFonts w:ascii="Arial" w:cs="Arial" w:eastAsia="Arial" w:hAnsi="Arial"/>
                <w:sz w:val="18"/>
                <w:szCs w:val="18"/>
                <w:color w:val="auto"/>
              </w:rPr>
              <w:t>We have granted the underwriters an option for a period of</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30 days to purchase up to 1,764,750 additional shares of our</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common stock.</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5680" w:type="dxa"/>
            <w:vAlign w:val="bottom"/>
          </w:tcPr>
          <w:p>
            <w:pPr>
              <w:ind w:left="360"/>
              <w:spacing w:after="0"/>
              <w:rPr>
                <w:sz w:val="20"/>
                <w:szCs w:val="20"/>
                <w:color w:val="auto"/>
              </w:rPr>
            </w:pPr>
            <w:r>
              <w:rPr>
                <w:rFonts w:ascii="Arial" w:cs="Arial" w:eastAsia="Arial" w:hAnsi="Arial"/>
                <w:sz w:val="18"/>
                <w:szCs w:val="18"/>
                <w:color w:val="auto"/>
              </w:rPr>
              <w:t>42,999,310 shares (or 44,764,060 shares if the underwriters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exercise their option to purchase additional shares in full).</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680" w:type="dxa"/>
            <w:vAlign w:val="bottom"/>
          </w:tcPr>
          <w:p>
            <w:pPr>
              <w:ind w:left="36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approximately $193.5 million million, or approximately</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$223.1 million if the underwriters exercise their option to</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purchase additional shares in full, based upon the initial public</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offering price of $18.00 per share and after deducting</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expenses payable by us.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of our R273H program, including lead optimization</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IND-enabling studies; (3) for the development of our</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pipeline discovery programs; and (4) for other research and</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opportunities, working capital and general</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corporate purposes.</w:t>
            </w:r>
          </w:p>
        </w:tc>
      </w:tr>
      <w:tr>
        <w:trPr>
          <w:trHeight w:val="284"/>
        </w:trPr>
        <w:tc>
          <w:tcPr>
            <w:tcW w:w="5340" w:type="dxa"/>
            <w:vAlign w:val="bottom"/>
          </w:tcPr>
          <w:p>
            <w:pPr>
              <w:spacing w:after="0"/>
              <w:rPr>
                <w:sz w:val="24"/>
                <w:szCs w:val="24"/>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beginning on page 12 and other information included in this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stock.</w:t>
            </w:r>
          </w:p>
        </w:tc>
      </w:tr>
      <w:tr>
        <w:trPr>
          <w:trHeight w:val="283"/>
        </w:trPr>
        <w:tc>
          <w:tcPr>
            <w:tcW w:w="5340" w:type="dxa"/>
            <w:vAlign w:val="bottom"/>
          </w:tcPr>
          <w:p>
            <w:pPr>
              <w:ind w:left="180"/>
              <w:spacing w:after="0"/>
              <w:rPr>
                <w:sz w:val="20"/>
                <w:szCs w:val="20"/>
                <w:color w:val="auto"/>
              </w:rPr>
            </w:pPr>
            <w:r>
              <w:rPr>
                <w:rFonts w:ascii="Arial" w:cs="Arial" w:eastAsia="Arial" w:hAnsi="Arial"/>
                <w:sz w:val="18"/>
                <w:szCs w:val="18"/>
                <w:color w:val="auto"/>
              </w:rPr>
              <w:t>Nasdaq Global Select Market trading symbol</w:t>
            </w:r>
          </w:p>
        </w:tc>
        <w:tc>
          <w:tcPr>
            <w:tcW w:w="5680" w:type="dxa"/>
            <w:vAlign w:val="bottom"/>
          </w:tcPr>
          <w:p>
            <w:pPr>
              <w:ind w:left="360"/>
              <w:spacing w:after="0"/>
              <w:rPr>
                <w:sz w:val="20"/>
                <w:szCs w:val="20"/>
                <w:color w:val="auto"/>
              </w:rPr>
            </w:pPr>
            <w:r>
              <w:rPr>
                <w:rFonts w:ascii="Arial" w:cs="Arial" w:eastAsia="Arial" w:hAnsi="Arial"/>
                <w:sz w:val="18"/>
                <w:szCs w:val="18"/>
                <w:color w:val="auto"/>
              </w:rPr>
              <w:t>“PMVP”</w:t>
            </w:r>
          </w:p>
        </w:tc>
      </w:tr>
      <w:tr>
        <w:trPr>
          <w:trHeight w:val="236"/>
        </w:trPr>
        <w:tc>
          <w:tcPr>
            <w:tcW w:w="53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08"/>
        </w:trPr>
        <w:tc>
          <w:tcPr>
            <w:tcW w:w="5340" w:type="dxa"/>
            <w:vAlign w:val="bottom"/>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firstLine="532"/>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1020" w:right="1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1020" w:right="6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w:t>
      </w:r>
    </w:p>
    <w:p>
      <w:pPr>
        <w:spacing w:after="0" w:line="17"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June 30, 2020 that will be converted into a warrant to purchase an aggregate of 10,800 shares of our common stock, with an exercise price of $1.8518 per share, upon the completion of this offering;</w:t>
      </w:r>
    </w:p>
    <w:p>
      <w:pPr>
        <w:spacing w:after="0" w:line="73" w:lineRule="exact"/>
        <w:rPr>
          <w:rFonts w:ascii="Arial" w:cs="Arial" w:eastAsia="Arial" w:hAnsi="Arial"/>
          <w:sz w:val="18"/>
          <w:szCs w:val="18"/>
          <w:color w:val="auto"/>
        </w:rPr>
      </w:pPr>
    </w:p>
    <w:p>
      <w:pPr>
        <w:jc w:val="both"/>
        <w:ind w:left="1020" w:right="56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became effective in connection with this offering, as well as any automatic increases in the number of shares of common stock reserved for future issuance under this plan; and</w:t>
      </w:r>
    </w:p>
    <w:p>
      <w:pPr>
        <w:spacing w:after="0" w:line="69" w:lineRule="exact"/>
        <w:rPr>
          <w:rFonts w:ascii="Arial" w:cs="Arial" w:eastAsia="Arial" w:hAnsi="Arial"/>
          <w:sz w:val="18"/>
          <w:szCs w:val="18"/>
          <w:color w:val="auto"/>
        </w:rPr>
      </w:pPr>
    </w:p>
    <w:p>
      <w:pPr>
        <w:ind w:left="1020" w:right="40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became effective in connection with this offering, as well as any automatic increases in the number of shares of common stock reserved for future issuance under this plan.</w:t>
      </w:r>
    </w:p>
    <w:p>
      <w:pPr>
        <w:spacing w:after="0" w:line="16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5.2651-for-1 reverse stock split of our common stock and our convertible preferred stock effected on September 18, 2020;</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an outstanding warrant exercisable for shares of our Series Seed convertible preferred stock into a warrant exercisable for 10,800 shares of our common stock, with an exercise price of $1.8518 per share upon the completion of this offering; and</w:t>
      </w:r>
    </w:p>
    <w:p>
      <w:pPr>
        <w:spacing w:after="0" w:line="69"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1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our summary statements of operations data for the years ended December 31, 2018 and 2019 from our audited financial statements and related notes included elsewhere in this prospectus. For interim periods, we have derived our summary statements of operations data for the six months ended June 30, 2019 and 2020 and the summary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13,853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5,039</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09"/>
        </w:trPr>
        <w:tc>
          <w:tcPr>
            <w:tcW w:w="49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1,341</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940" w:type="dxa"/>
            <w:vAlign w:val="bottom"/>
          </w:tcPr>
          <w:p>
            <w:pPr>
              <w:ind w:left="7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(17,535)</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940" w:type="dxa"/>
            <w:vAlign w:val="bottom"/>
          </w:tcPr>
          <w:p>
            <w:pPr>
              <w:ind w:left="7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88"/>
              <w:spacing w:after="0" w:line="196" w:lineRule="exact"/>
              <w:rPr>
                <w:sz w:val="20"/>
                <w:szCs w:val="20"/>
                <w:color w:val="auto"/>
              </w:rPr>
            </w:pPr>
            <w:r>
              <w:rPr>
                <w:rFonts w:ascii="Arial" w:cs="Arial" w:eastAsia="Arial" w:hAnsi="Arial"/>
                <w:sz w:val="18"/>
                <w:szCs w:val="18"/>
                <w:color w:val="auto"/>
              </w:rPr>
              <w:t>(5.82)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(8.35)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(4.01)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380"/>
              <w:spacing w:after="0" w:line="179" w:lineRule="exact"/>
              <w:rPr>
                <w:sz w:val="20"/>
                <w:szCs w:val="20"/>
                <w:color w:val="auto"/>
              </w:rPr>
            </w:pPr>
            <w:r>
              <w:rPr>
                <w:rFonts w:ascii="Arial" w:cs="Arial" w:eastAsia="Arial" w:hAnsi="Arial"/>
                <w:sz w:val="18"/>
                <w:szCs w:val="18"/>
                <w:color w:val="auto"/>
              </w:rPr>
              <w:t>Weighted-average common shares outstanding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9"/>
              </w:rPr>
              <w:t>3,012,284</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3,035,243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3,024,097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Pro forma net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560"/>
              <w:spacing w:after="0" w:line="202" w:lineRule="exact"/>
              <w:rPr>
                <w:sz w:val="20"/>
                <w:szCs w:val="20"/>
                <w:color w:val="auto"/>
              </w:rPr>
            </w:pPr>
            <w:r>
              <w:rPr>
                <w:rFonts w:ascii="Arial" w:cs="Arial" w:eastAsia="Arial" w:hAnsi="Arial"/>
                <w:sz w:val="18"/>
                <w:szCs w:val="18"/>
                <w:color w:val="auto"/>
              </w:rPr>
              <w:t>common stockholders — basic and diluted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40" w:type="dxa"/>
            <w:vAlign w:val="bottom"/>
          </w:tcPr>
          <w:p>
            <w:pPr>
              <w:ind w:left="5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940" w:type="dxa"/>
            <w:vAlign w:val="bottom"/>
            <w:shd w:val="clear" w:color="auto" w:fill="CCEEFF"/>
          </w:tcPr>
          <w:p>
            <w:pPr>
              <w:ind w:left="380"/>
              <w:spacing w:after="0" w:line="173" w:lineRule="exact"/>
              <w:rPr>
                <w:sz w:val="20"/>
                <w:szCs w:val="20"/>
                <w:color w:val="auto"/>
              </w:rPr>
            </w:pPr>
            <w:r>
              <w:rPr>
                <w:rFonts w:ascii="Arial" w:cs="Arial" w:eastAsia="Arial" w:hAnsi="Arial"/>
                <w:sz w:val="18"/>
                <w:szCs w:val="18"/>
                <w:color w:val="auto"/>
              </w:rPr>
              <w:t>Pro forma weighted-average number of common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shares — basic and diluted (unaudited)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31,223,353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93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28930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24"/>
                <w:szCs w:val="24"/>
                <w:b w:val="1"/>
                <w:bCs w:val="1"/>
                <w:color w:val="auto"/>
                <w:w w:val="98"/>
                <w:vertAlign w:val="superscript"/>
              </w:rPr>
              <w:t>(1)</w:t>
            </w:r>
          </w:p>
        </w:tc>
        <w:tc>
          <w:tcPr>
            <w:tcW w:w="12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  86,136</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156,106</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349,630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81,704</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151,704</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345,228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89,102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159,042</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352,566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(90,661)</w:t>
            </w:r>
          </w:p>
        </w:tc>
        <w:tc>
          <w:tcPr>
            <w:tcW w:w="16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(90,661)</w:t>
            </w:r>
          </w:p>
        </w:tc>
        <w:tc>
          <w:tcPr>
            <w:tcW w:w="1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(85,008)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153,895</w:t>
            </w: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347,419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40" w:hanging="522"/>
        <w:spacing w:after="0" w:line="216" w:lineRule="auto"/>
        <w:tabs>
          <w:tab w:leader="none" w:pos="8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 (i) our issuance and sale in July 2020 of an aggregate of 5,321,864 shares of our Series D convertible preferred stock for gross proceeds of $70.0 million, (ii) the automatic conversion of all outstanding shares of our convertible preferred stock, including our shares of our Series D convertible preferred stock issued in July 2020, into an aggregate of 28,188,110 shares of our common stock immediately prior to the completion of this offering and (iii) the filing and effectiveness of our amended and restated certificate of incorporation, which will occur immediately prior to the completion of this offering.</w:t>
      </w:r>
    </w:p>
    <w:p>
      <w:pPr>
        <w:ind w:left="820" w:right="340" w:hanging="522"/>
        <w:spacing w:after="0" w:line="182" w:lineRule="auto"/>
        <w:tabs>
          <w:tab w:leader="none" w:pos="82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The pro forma as adjusted balance sheet data give further effect to our issuance and sale of 11,765,000 shares of our common stock in this offering at the initial public offering price of $18.00 per share, after deducting underwriting discounts and commissions and estimated offering expenses payable by us.</w:t>
      </w:r>
    </w:p>
    <w:p>
      <w:pPr>
        <w:spacing w:after="0" w:line="1" w:lineRule="exact"/>
        <w:rPr>
          <w:rFonts w:ascii="Arial" w:cs="Arial" w:eastAsia="Arial" w:hAnsi="Arial"/>
          <w:sz w:val="23"/>
          <w:szCs w:val="23"/>
          <w:color w:val="auto"/>
          <w:vertAlign w:val="superscript"/>
        </w:rPr>
      </w:pPr>
    </w:p>
    <w:p>
      <w:pPr>
        <w:ind w:left="820" w:right="240" w:hanging="522"/>
        <w:spacing w:after="0" w:line="185" w:lineRule="auto"/>
        <w:tabs>
          <w:tab w:leader="none" w:pos="8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unaudited condensed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recently received authorization to proceed under an investigational new drug application, or IND, with the U.S. Food and Drug Administration, or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Our net losses were $17.5 million and $25.4 million for the years ended December 31, 2018 and 2019, respectively, and $12.1 million and $15.2 million for the six months ended June 30, 2019 and 2020, respectively. As of June 30, 2020, we had an accumulated deficit of $90.7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9" w:lineRule="exact"/>
        <w:rPr>
          <w:sz w:val="20"/>
          <w:szCs w:val="20"/>
          <w:color w:val="auto"/>
        </w:rPr>
      </w:pPr>
    </w:p>
    <w:p>
      <w:pPr>
        <w:ind w:left="880" w:right="90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June 30, 2020, we had $86.1 million in cash, cash equivalents and short-term marketable securities. We also received gross proceeds of $70.0 million from the sale of shares of Series D convertible preferred stock in July 2020. Based on our current operating plan, we believe that the proceeds from this offering, together with our existing cash, cash equivalents and short-term marketable securities, will be sufficient to fund our operations at least through 2023.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60" w:hanging="224"/>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6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20" w:hanging="224"/>
        <w:spacing w:after="0" w:line="306"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 In the event that a patient’s cancer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other mutations or factors in addition to a p53 mutation, even if we correct or restore the p53 functionality, the patient’s cancer may persist.</w:t>
      </w:r>
    </w:p>
    <w:p>
      <w:pPr>
        <w:spacing w:after="0" w:line="17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recently received authorization to proceed under an IND for our lead product candidate, PC14586, we cannot be sure that we will be able to submit INDs or similar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5"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became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As of September 18, 2020, we had 39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As of December 31, 2018 and 2019, we had federal NOL carryforwards of $43.0 million and $ 66.4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5" w:right="5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5" w:right="51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5" w:right="4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determined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42,999,310 outstanding shares of common stock, based on the number of shares outstanding as of June 30, 2020, assuming: (1) no exercise of the underwriters’ option to purchase additional shares, (2) the conversion of all outstanding shares of our convertible preferred stock as of June 30, 2020 into 22,866,246 shares of common stock immediately prior to the completion of this offering and (3) the conversion of our Series D convertible preferred stock issued and sold in July 2020 into 5,321,864 shares of common stock immediately prior to the completion of this offering. This includes the shares that we sell in this offering, which may be resold in the public market immediately without restriction, unless purchased by our affiliates. Of the remaining shares, 31,234,310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28,198,910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8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our executive officers, directors, holders of 5% or more of our capital stock and their respective affiliates beneficially owned approximately 72.9% of our voting stock and, upon the closing of this offering, that same group will beneficially own approximately 53.7% of our outstanding voting stock (based on the number of shares of common stock outstanding as of August 31,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Certain of our directors are affiliated with the holders of 5% or more of our capital stock. In particular, Arnold Oronsky, Ph.D. is an affiliate of InterWest Partners X, L.P., Peter Thompson, M.D. is an affiliate of OrbiMed Private Investments V LP and Thilo Schroeder is an affiliate Nextech V Oncology S.C.S., SIACAV-SIF, as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indicated in the “Principal Stockholders” section.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5" w:right="5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immediately prior to the completion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immediately prior to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4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7"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approximately $9.92 per share, representing the difference between the initial public offering price of $18.00 per share and our pro forma as adjusted net tangible book value per share as of June 30, 2020, after giving effect to this offering and the automatic conversion of all outstanding shares of our convertible preferred stock immediately prior to the closing of this offering. As of June 30, 2020, there were 3,922,612 shares subject to outstanding options with a weighted-average exercise price of $2.66 per share. To the extent these outstanding securities are ultimately 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88"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$193.5 million, or approximately $ 223.1 million if the underwriters exercise their option to purchase in full, based upon the initial public offering price of $18.00 per share and after deducting underwriting discounts and commissions and estimated offering expenses payable by us.</w:t>
      </w:r>
    </w:p>
    <w:p>
      <w:pPr>
        <w:spacing w:after="0" w:line="170"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$50.0 million to fund the Phase 1/2 development of PC14586;</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$20.0 million to support the development of our R273H program, including lead optimization and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$25.0 million for the development of our pipeline discovery programs; and</w:t>
      </w:r>
    </w:p>
    <w:p>
      <w:pPr>
        <w:spacing w:after="0" w:line="117"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 requirements at least through 2023. We expect that the net proceeds from this offering, together with our existing cash, cash equivalents and short-term marketable securities, will allow us to complete at least the Phase 1 portion of our planned Phase 1/2 trial of PC14586; however, the expected net proceeds of this offering will not be sufficient for us to complete the development and commercialization of our product candidates, and we will need to raise substantial additional capital.</w:t>
      </w:r>
    </w:p>
    <w:p>
      <w:pPr>
        <w:spacing w:after="0" w:line="17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7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800"/>
          </w:cols>
          <w:pgMar w:left="320" w:top="455" w:right="7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line="243"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basis to reflect (i) our issuance and sale in July 2020 of an aggregate of 5,321,864 shares of our Series D convertible preferred stock for gross proceeds of $70.0 million, (ii) the conversion of all outstanding shares of our convertible preferred stock, including our Series D convertible preferred stock issued in July 2020, into an aggregate of 28,188,110 shares of common stock, which will occur immediately prior to the completion of this offering, and the resulting reclassification of the convertible preferred stock and (iii) the filing and effectiveness of our amended and restated certificate of incorporation, which will occur immediately prior to the completion of this offering; and</w:t>
      </w:r>
    </w:p>
    <w:p>
      <w:pPr>
        <w:spacing w:after="0" w:line="7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 pro forma as adjusted basis to further reflect our issuance and sale of 11,765,000 shares of common stock in this offering at the initial public offering price of $18.00 per share after deducting underwriting discounts and commissions and estimated offering expenses payable by us.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7 to our unaudited condensed financial statements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7"/>
          </w:tcPr>
          <w:p>
            <w:pPr>
              <w:jc w:val="center"/>
              <w:ind w:right="32"/>
              <w:spacing w:after="0" w:line="141"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 amounts)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86,136</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349,630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Convertible preferred stock, $0.00001 par value per share; 22,883,426 shares authorized,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22,866,246 shares issued and outstanding, actual; no shares authorized, issued or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168,933</w:t>
            </w: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2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actual; 5,000,000 shares authorized and no shares issued or outstanding, pro</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540"/>
              <w:spacing w:after="0"/>
              <w:rPr>
                <w:sz w:val="20"/>
                <w:szCs w:val="20"/>
                <w:color w:val="auto"/>
              </w:rPr>
            </w:pPr>
            <w:r>
              <w:rPr>
                <w:rFonts w:ascii="Arial" w:cs="Arial" w:eastAsia="Arial" w:hAnsi="Arial"/>
                <w:sz w:val="18"/>
                <w:szCs w:val="18"/>
                <w:color w:val="auto"/>
              </w:rPr>
              <w:t>forma and pro forma as adjusted</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$0.00001 par value per share; 33,250,829 shares authorized,</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3,046,200 shares issued and outstanding, actual; 1,000,000,000 shares authorized,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31,234,310 shares issued and outstanding, pro forma (unaudited); 1,000,000,000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shares authorized, 42,999,310 shares issued and outstanding, pro forma as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 (unaudited)</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5,648</w:t>
            </w:r>
          </w:p>
        </w:tc>
        <w:tc>
          <w:tcPr>
            <w:tcW w:w="15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244,551</w:t>
            </w:r>
          </w:p>
        </w:tc>
        <w:tc>
          <w:tcPr>
            <w:tcW w:w="1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438,075</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(90,661)</w:t>
            </w:r>
          </w:p>
        </w:tc>
        <w:tc>
          <w:tcPr>
            <w:tcW w:w="15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09"/>
        </w:trPr>
        <w:tc>
          <w:tcPr>
            <w:tcW w:w="75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(deficit) equity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(85,008)</w:t>
            </w:r>
          </w:p>
        </w:tc>
        <w:tc>
          <w:tcPr>
            <w:tcW w:w="15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153,895</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347,419</w:t>
            </w:r>
          </w:p>
        </w:tc>
        <w:tc>
          <w:tcPr>
            <w:tcW w:w="0" w:type="dxa"/>
            <w:vAlign w:val="bottom"/>
          </w:tcPr>
          <w:p>
            <w:pPr>
              <w:spacing w:after="0"/>
              <w:rPr>
                <w:sz w:val="1"/>
                <w:szCs w:val="1"/>
                <w:color w:val="auto"/>
              </w:rPr>
            </w:pPr>
          </w:p>
        </w:tc>
      </w:tr>
      <w:tr>
        <w:trPr>
          <w:trHeight w:val="210"/>
        </w:trPr>
        <w:tc>
          <w:tcPr>
            <w:tcW w:w="752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153,895</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540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right="2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40" w:hanging="224"/>
        <w:spacing w:after="0" w:line="255"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became effective in connection with this offering, as well as any automatic increases in the number of shares of common stock reserved for future issuance under this plan; and</w:t>
      </w:r>
    </w:p>
    <w:p>
      <w:pPr>
        <w:spacing w:after="0" w:line="69"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became effective in connection with this offering, as well as any automatic increases in the number of shares of common stock reserved for future issuance under this plan.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$(85.0) million or $ (27.90)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pro forma net tangible book value (deficit) as of June 30, 2020 was approximately $153.9 million, or $4.93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(i) the conversion of all shares of our convertible preferred stock outstanding as of June 30, 2020 into an aggregate of 22,866,246 shares of our common stock, which will occur immediately prior to the completion of this offering and (ii) the issuance and sale of 5,321,864 shares of our Series D convertible preferred stock in July 2020 for gross proceeds of $ 70.0 million, and the conversion of such shares into 5,321,864 shares of our common stock, which will occur immediately prior to the completion of this offering.</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After giving further effect to our sale of 11,765,000 shares of common stock in this offering at the initial public offering price of $18.00 per share, and after deducting underwriting discounts and commissions and estimated offering expenses payable by us, our pro forma as adjusted net tangible book value as of June 30, 2020 would have been approximately $347.4 million, or $8.08 per share. This represents an immediate increase in pro forma as adjusted net tangible book value per share of $3.15 to our existing stockholders and an immediate dilution in pro forma as adjusted net tangible book value per share of $9.92 to new investors purchasing common stock in this offering.</w:t>
      </w:r>
    </w:p>
    <w:p>
      <w:pPr>
        <w:sectPr>
          <w:pgSz w:w="11900" w:h="16838" w:orient="portrait"/>
          <w:cols w:equalWidth="0" w:num="1">
            <w:col w:w="11080"/>
          </w:cols>
          <w:pgMar w:left="320" w:top="455" w:right="499" w:bottom="1440" w:gutter="0" w:footer="0" w:header="0"/>
        </w:sectPr>
      </w:pP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Historical net tangible book value (deficit) per share as of June 30, 2020</w:t>
      </w:r>
    </w:p>
    <w:p>
      <w:pPr>
        <w:ind w:left="480"/>
        <w:spacing w:after="0"/>
        <w:rPr>
          <w:sz w:val="20"/>
          <w:szCs w:val="20"/>
          <w:color w:val="auto"/>
        </w:rPr>
      </w:pPr>
      <w:r>
        <w:rPr>
          <w:rFonts w:ascii="Arial" w:cs="Arial" w:eastAsia="Arial" w:hAnsi="Arial"/>
          <w:sz w:val="18"/>
          <w:szCs w:val="18"/>
          <w:color w:val="auto"/>
        </w:rPr>
        <w:t>Pro forma increase in net tangible book value (deficit) per share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Pro forma net tangible book value (deficit) per share as of June 30, 2020</w:t>
      </w:r>
    </w:p>
    <w:p>
      <w:pPr>
        <w:spacing w:after="0" w:line="18" w:lineRule="exact"/>
        <w:rPr>
          <w:sz w:val="20"/>
          <w:szCs w:val="20"/>
          <w:color w:val="auto"/>
        </w:rPr>
      </w:pPr>
    </w:p>
    <w:p>
      <w:pPr>
        <w:ind w:left="660" w:hanging="179"/>
        <w:spacing w:after="0" w:line="250" w:lineRule="auto"/>
        <w:rPr>
          <w:sz w:val="20"/>
          <w:szCs w:val="20"/>
          <w:color w:val="auto"/>
        </w:rPr>
      </w:pPr>
      <w:r>
        <w:rPr>
          <w:rFonts w:ascii="Arial" w:cs="Arial" w:eastAsia="Arial" w:hAnsi="Arial"/>
          <w:sz w:val="18"/>
          <w:szCs w:val="18"/>
          <w:color w:val="auto"/>
        </w:rPr>
        <w:t>Increase in pro forma net tangible book value per share attributable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6995160" cy="316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53" w:lineRule="exact"/>
        <w:rPr>
          <w:sz w:val="20"/>
          <w:szCs w:val="20"/>
          <w:color w:val="auto"/>
        </w:rPr>
      </w:pPr>
    </w:p>
    <w:p>
      <w:pPr>
        <w:ind w:left="120" w:right="2900"/>
        <w:spacing w:after="0" w:line="339" w:lineRule="auto"/>
        <w:rPr>
          <w:sz w:val="20"/>
          <w:szCs w:val="20"/>
          <w:color w:val="auto"/>
        </w:rPr>
      </w:pPr>
      <w:r>
        <w:rPr>
          <w:rFonts w:ascii="Arial" w:cs="Arial" w:eastAsia="Arial" w:hAnsi="Arial"/>
          <w:sz w:val="17"/>
          <w:szCs w:val="17"/>
          <w:color w:val="auto"/>
        </w:rPr>
        <w:t>Pro forma as adjusted net tangible book value per share after this offering Dilution per share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-189865</wp:posOffset>
            </wp:positionV>
            <wp:extent cx="699516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$18.00</w:t>
      </w:r>
    </w:p>
    <w:p>
      <w:pPr>
        <w:spacing w:after="0" w:line="18" w:lineRule="exact"/>
        <w:rPr>
          <w:sz w:val="20"/>
          <w:szCs w:val="20"/>
          <w:color w:val="auto"/>
        </w:rPr>
      </w:pPr>
    </w:p>
    <w:p>
      <w:pPr>
        <w:jc w:val="right"/>
        <w:ind w:left="180" w:right="960" w:hanging="171"/>
        <w:spacing w:after="0" w:line="245" w:lineRule="auto"/>
        <w:rPr>
          <w:sz w:val="20"/>
          <w:szCs w:val="20"/>
          <w:color w:val="auto"/>
        </w:rPr>
      </w:pPr>
      <w:r>
        <w:rPr>
          <w:rFonts w:ascii="Arial" w:cs="Arial" w:eastAsia="Arial" w:hAnsi="Arial"/>
          <w:sz w:val="18"/>
          <w:szCs w:val="18"/>
          <w:color w:val="auto"/>
        </w:rPr>
        <w:t>$(27.90) 32.83</w:t>
      </w:r>
    </w:p>
    <w:p>
      <w:pPr>
        <w:ind w:left="280"/>
        <w:spacing w:after="0"/>
        <w:rPr>
          <w:sz w:val="20"/>
          <w:szCs w:val="20"/>
          <w:color w:val="auto"/>
        </w:rPr>
      </w:pPr>
      <w:r>
        <w:rPr>
          <w:rFonts w:ascii="Arial" w:cs="Arial" w:eastAsia="Arial" w:hAnsi="Arial"/>
          <w:sz w:val="18"/>
          <w:szCs w:val="18"/>
          <w:color w:val="auto"/>
        </w:rPr>
        <w:t>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3943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943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3175</wp:posOffset>
            </wp:positionV>
            <wp:extent cx="3600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20320</wp:posOffset>
            </wp:positionV>
            <wp:extent cx="3600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ectPr>
          <w:pgSz w:w="11900" w:h="16838" w:orient="portrait"/>
          <w:cols w:equalWidth="0" w:num="2">
            <w:col w:w="8880" w:space="560"/>
            <w:col w:w="1640"/>
          </w:cols>
          <w:pgMar w:left="320" w:top="455" w:right="499" w:bottom="1440" w:gutter="0" w:footer="0" w:header="0"/>
          <w:type w:val="continuous"/>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551"/>
        <w:spacing w:after="0" w:line="263" w:lineRule="auto"/>
        <w:rPr>
          <w:sz w:val="20"/>
          <w:szCs w:val="20"/>
          <w:color w:val="auto"/>
        </w:rPr>
      </w:pPr>
      <w:r>
        <w:rPr>
          <w:rFonts w:ascii="Arial" w:cs="Arial" w:eastAsia="Arial" w:hAnsi="Arial"/>
          <w:sz w:val="17"/>
          <w:szCs w:val="17"/>
          <w:color w:val="auto"/>
        </w:rPr>
        <w:t>If the underwriters exercise their option to purchase 1,764,750 additional shares of common stock in this offering in full at the initial public offering price of $18.00 per share and assuming the number of shares offered by us, as set forth on the cover page of this prospectus, remains the same, and after deducting underwriting discounts and commissions and estimated offering expenses payable by us, the pro forma as adjusted net tangible book value per share after this offering would be $ 8.42 per share, and the dilution in pro forma as adjusted net tangible book value per share to new investors purchasing common stock in this offering would be $9.58 per share.</w:t>
      </w:r>
    </w:p>
    <w:p>
      <w:pPr>
        <w:spacing w:after="0" w:line="157"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following table summarizes, on a pro forma as adjusted basis, as of June 30, 2020, the number of shares of common stock purchased from us on an as converted to common stock basis, the total consideration paid and the weighted-average price per share paid by existing stockholders and by new investors in this offering at the initial public offering price of $18.00 per share before deducting underwriting discounts and commissions and estimated offering expenses payable by 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31,234,310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72.64%</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$238,750,802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52.99%</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11,765,000</w:t>
            </w:r>
          </w:p>
        </w:tc>
        <w:tc>
          <w:tcPr>
            <w:tcW w:w="26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27.36</w:t>
            </w:r>
          </w:p>
        </w:tc>
        <w:tc>
          <w:tcPr>
            <w:tcW w:w="15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211,770,000</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47.01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42,999,310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15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450,520,802</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table above assumes no exercise of the underwriters’ option to purchase 1,764,750 additional shares in this offering. If the underwriters’ option to purchase additional shares is exercised in full, the number of shares of our common stock held by existing stockholders would be reduced to approximately 69.78% of the total number of shares of our common stock outstanding after this offering, and the number of shares of common stock held by new investors participating in the offering would be increased to approximately 30.22% of the total number of shares outstanding after this offering.</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right="2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40" w:hanging="224"/>
        <w:spacing w:after="0" w:line="25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became effective in connection with this offering, as well as any automatic increases in the number of shares of common stock reserved for future issuance under this plan; and</w:t>
      </w:r>
    </w:p>
    <w:p>
      <w:pPr>
        <w:spacing w:after="0" w:line="69" w:lineRule="exact"/>
        <w:rPr>
          <w:rFonts w:ascii="Arial" w:cs="Arial" w:eastAsia="Arial" w:hAnsi="Arial"/>
          <w:sz w:val="18"/>
          <w:szCs w:val="18"/>
          <w:color w:val="auto"/>
        </w:rPr>
      </w:pPr>
    </w:p>
    <w:p>
      <w:pPr>
        <w:ind w:left="880" w:right="20" w:hanging="224"/>
        <w:spacing w:after="0" w:line="25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became effective in connection with this offering, as well as any automatic increases in the number of shares of common stock reserved for future issuance under this plan.</w:t>
      </w:r>
    </w:p>
    <w:p>
      <w:pPr>
        <w:spacing w:after="0" w:line="16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For interim periods, we have derived our selected statements of operations data for the six months ended June 30, 2019 and 2020 and the selected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13,853</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20,759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5,039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5,878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18,892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50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(25,344)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508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(25,352)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(5.82)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(8.35)</w:t>
            </w:r>
          </w:p>
        </w:tc>
        <w:tc>
          <w:tcPr>
            <w:tcW w:w="5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(4.01)</w:t>
            </w:r>
          </w:p>
        </w:tc>
        <w:tc>
          <w:tcPr>
            <w:tcW w:w="5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Weighted-average common shares outstanding — basic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3,012,284</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3,035,243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3,024,097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179"/>
        </w:trPr>
        <w:tc>
          <w:tcPr>
            <w:tcW w:w="5080" w:type="dxa"/>
            <w:vAlign w:val="bottom"/>
          </w:tcPr>
          <w:p>
            <w:pPr>
              <w:spacing w:after="0" w:line="179" w:lineRule="exact"/>
              <w:rPr>
                <w:sz w:val="20"/>
                <w:szCs w:val="20"/>
                <w:color w:val="auto"/>
              </w:rPr>
            </w:pPr>
            <w:r>
              <w:rPr>
                <w:rFonts w:ascii="Arial" w:cs="Arial" w:eastAsia="Arial" w:hAnsi="Arial"/>
                <w:sz w:val="18"/>
                <w:szCs w:val="18"/>
                <w:color w:val="auto"/>
              </w:rPr>
              <w:t>Pro forma net loss per share attributable to common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180"/>
              <w:spacing w:after="0"/>
              <w:rPr>
                <w:sz w:val="20"/>
                <w:szCs w:val="20"/>
                <w:color w:val="auto"/>
              </w:rPr>
            </w:pPr>
            <w:r>
              <w:rPr>
                <w:rFonts w:ascii="Arial" w:cs="Arial" w:eastAsia="Arial" w:hAnsi="Arial"/>
                <w:sz w:val="18"/>
                <w:szCs w:val="18"/>
                <w:color w:val="auto"/>
              </w:rPr>
              <w:t>stockholders — basic and diluted (unaudited)</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Pro forma weighted-average number of common shares —</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31,223,353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660" w:right="60" w:hanging="544"/>
        <w:spacing w:after="0" w:line="208" w:lineRule="auto"/>
        <w:tabs>
          <w:tab w:leader="none" w:pos="6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$ 61,907</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$101,486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59,912</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97,570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63,458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103,033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89,102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2,370</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107,228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(50,088)</w:t>
            </w:r>
          </w:p>
        </w:tc>
        <w:tc>
          <w:tcPr>
            <w:tcW w:w="1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(75,440)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(46,140)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(70,474)</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660" w:right="200" w:hanging="544"/>
        <w:spacing w:after="0" w:line="195" w:lineRule="auto"/>
        <w:tabs>
          <w:tab w:leader="none" w:pos="66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$ 17.5 million and $25.4 million for the years ended December 31, 2018 and 2019, respectively, and $12.1 million and $15.2 million for the six months ended June 30, 2019 and 2020, respectively. As of June 30, 2020, we had an accumulated deficit of $90.7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have funded our operations primarily from the issuance and sale of convertible preferred stock. As of June 30, 2020, we had $86.1 million in cash, cash equivalents and short-term marketable securities. We believe that our existing capital resources, including $70.0 million of gross proceeds received from the sale of 5,321,864 shares of our Series D convertible preferred stock in July 2020, will be sufficient to fund our planned operations for at least 12 months following the date of this offering.</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32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7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10,165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3,979</w:t>
            </w:r>
          </w:p>
        </w:tc>
        <w:tc>
          <w:tcPr>
            <w:tcW w:w="94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(12,841)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(15,739)</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563</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520</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(12,127)</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760" w:type="dxa"/>
            <w:vAlign w:val="bottom"/>
            <w:gridSpan w:val="2"/>
            <w:vMerge w:val="continue"/>
          </w:tcPr>
          <w:p>
            <w:pPr>
              <w:spacing w:after="0"/>
              <w:rPr>
                <w:sz w:val="12"/>
                <w:szCs w:val="12"/>
                <w:color w:val="auto"/>
              </w:rPr>
            </w:pPr>
          </w:p>
        </w:tc>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4,720</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3,207</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4,593</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2,718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10,165</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11,760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vMerge w:val="restart"/>
          </w:tcPr>
          <w:p>
            <w:pPr>
              <w:jc w:val="right"/>
              <w:ind w:right="1990"/>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Research and development expenses were $10.2 million for the six months ended June 30, 2019, compared to $11.8 million for the six months ended June 30, 2020. The increase of $1.6 million was primarily due to the following:</w:t>
      </w:r>
    </w:p>
    <w:p>
      <w:pPr>
        <w:spacing w:after="0" w:line="50" w:lineRule="exact"/>
        <w:rPr>
          <w:sz w:val="20"/>
          <w:szCs w:val="20"/>
          <w:color w:val="auto"/>
        </w:rPr>
      </w:pPr>
    </w:p>
    <w:p>
      <w:pPr>
        <w:ind w:left="880" w:right="32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was a decrease of $1.5 million in research expense which was driven by a decline in costs from certain of our contract manufacturing initiatives.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was a $2.0 million increase in our preclinical studies which were primarily associated with increased effort in developing our lead compound PC14586 through IND enabling studies.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was a $0.9 million increase in compensation and employee related expenses, primarily driven by increases in salaries and bonus expense associated with increased headcount for personnel dedicated to developing PC14586.</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was a $0.2 million increase in stock-based compensation expense associated with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General and administrative expenses were $2.7 million for the six months ended June 30, 2019, compared to $4.0 million for the six months ended June 30, 2020. The increase of $1.3 million was primarily due to the following:</w:t>
      </w:r>
    </w:p>
    <w:p>
      <w:pPr>
        <w:spacing w:after="0" w:line="50" w:lineRule="exact"/>
        <w:rPr>
          <w:sz w:val="20"/>
          <w:szCs w:val="20"/>
          <w:color w:val="auto"/>
        </w:rPr>
      </w:pPr>
    </w:p>
    <w:p>
      <w:pPr>
        <w:ind w:left="880" w:right="80" w:hanging="224"/>
        <w:spacing w:after="0" w:line="255"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was an increase in salary and bonus expense of $0.5 million and an increase in personnel related costs of $0.2 million associated with increased headcount to develop our financial and administrative staff. These increases were partially offset by a decrease in travel and entertainment expense of $0.1 million.</w:t>
      </w:r>
    </w:p>
    <w:p>
      <w:pPr>
        <w:spacing w:after="0" w:line="69"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was a $0.3 million increase in expense for legal services, which is primarily driven by increased legal costs associated with international patent filings in selected countries during the six months ended June 30, 2020.</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was a $0.2 million increase in administrative consulting, primarily associated with increased costs with augmenting our administrative staff.</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Interest income, net was $0.7 million for the six months ended June 30, 2019, compared to $0.6 million for the six months ended June 30, 2020. The decrease of $0.1 million is driven by decreased income from cash investments in marketable securities and U.S treasuries during the six months ended June 30, 2020.</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7"/>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28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w:t>
            </w:r>
          </w:p>
        </w:tc>
        <w:tc>
          <w:tcPr>
            <w:tcW w:w="3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5,811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5,282</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20,759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4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$1.8 million increase in research expense, driven primarily by a $1.3 million increase in outside laboratory analytics, $0.8 million increase in technical consulting, partially offset by a decrease of $0.4 million in scientific contract expense.</w:t>
      </w:r>
    </w:p>
    <w:p>
      <w:pPr>
        <w:spacing w:after="0" w:line="50" w:lineRule="exact"/>
        <w:rPr>
          <w:rFonts w:ascii="Arial" w:cs="Arial" w:eastAsia="Arial" w:hAnsi="Arial"/>
          <w:sz w:val="18"/>
          <w:szCs w:val="18"/>
          <w:color w:val="auto"/>
        </w:rPr>
      </w:pPr>
    </w:p>
    <w:p>
      <w:pPr>
        <w:ind w:left="880" w:right="140" w:hanging="224"/>
        <w:spacing w:after="0" w:line="248"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$4.6 million increase in preclinical development, which was primarily associated with increased effort in developing our lead candidate, PC14586. The $4.6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75"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an $0.4 million increase in expenses for salaries and bonuses, primarily driven by increased headcount for personnel dedicated to developing PC14586.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2020, we had cash, cash equivalents and short-term marketable securities of $86.1 million and an accumulated deficit of $90.7 million. We have financed our operations primarily through issuances of our convertible preferred stock. In 2019, we sold an aggregate of 5,469,606 shares of our Series C convertible preferred stock to accredited investors, generating gross proceeds of $ 61.9 million. In July 2020, we sold an aggregate of 5,321,864 shares of our Series D convertible preferred stock to accredited investors, generating gross proceeds of $70.0 million.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$90.7 million through June 30, 2020.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which includes the gross proceeds of approximately $70.0 million from our Series D convertible preferred stock financing, will be sufficient to fund our operations at least through 2023. We have based this estimate on assumptions that may prove to be wrong, however, and we could use our capital resources sooner than we expect.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our ability to maintain future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4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(15,178)</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$(22,065)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18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3,231</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22,774</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19,931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61,805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$ 42,971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Net cash used in operating activities for the six months ended June 30, 2019, was $11.2 million, which consisted primarily of net loss of $12.1 million decreased by non-cash charges of $0.7 million and by a net change of $0.3 million in our net operating assets. The non-cash charges primarily consisted of stock-based compensation of $0.4 million and depreciation of $0.2 million. The change in our net operating assets and liabilities was primarily due to an increase in accrued compensation and accrued liabilities and outstanding payables in 2019.</w:t>
      </w:r>
    </w:p>
    <w:p>
      <w:pPr>
        <w:spacing w:after="0" w:line="17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Net cash used in operating activities for the six months ended June 30, 2020, was $ 15.0 million, which consisted primarily of net loss of $15.2 million decreased by non-cash charges of $1.1 million partially offset by a net change of $0.9 million in our net operating assets. The non-cash charges primarily consisted of stock-based compensation of $0.7 million and depreciation and amortization expense of $0.3 million. The change in our net operating assets and liabilities was primarily due to a decrease in outstanding payables in 2020.</w:t>
      </w:r>
    </w:p>
    <w:p>
      <w:pPr>
        <w:spacing w:after="0" w:line="153"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$22.7 million of cash during the six months ended June 30, 2019, which consisted primarily of maturities of marketable securities of $33.6 million, partially offset by purchases of marketable securities of $10.7 million and purchases of property and equipment of $0.1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$19.9 million of cash during the six months ended June 30, 2020, which consisted primarily of maturities of marketable securities of $34.6 million, partially offset by purchases of marketable securities of $14.6 million and purchases of property and equipment of $0.1 million.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financing activities provided $0.1 million of cash during the six months ended June 30, 2019, which consisted primarily of exercises of stock options of $0.1 million.</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financing activities used $0.1 million of cash during the six months ended June 30, 2020, which consisted primarily of payments of deferred offering costs associated with incremental legal, professional and other third-party fees directly associated with the planned IPO.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estimates we use are reasonable, due to the inherent uncertainty involved in making those estimates, actual results reported in future periods could differ from those estimates.</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1"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00" w:hanging="224"/>
        <w:spacing w:after="0" w:line="248"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38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5"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5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As of June 30, 2020, the total unrecognized compensation expense related to unvested employee and non-employee options was $3.6 million, which we expect to recognize over an estimated weighted-average period of 2.9 years. Based upon the initial public offering price of $18.00 per share the aggregate intrinsic value of options outstanding as of June 30, 2020 was $60.2 million, of which $34.6 million related to vested options and $25.6 million related to unvested options.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best estimate of the fair value of our common stock at each grant date. These factors include:</w:t>
      </w:r>
    </w:p>
    <w:p>
      <w:pPr>
        <w:spacing w:after="0" w:line="79"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had cash and cash equivalents of $78.1 million and short-term marketable securities of $8.1 million as of June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 Our strategy is to seek approval under an accelerated pathway, and we believe our Phase 1/2 clinical trial has the potential to serve as a pivotal study. We cannot guarantee that the U.S. Food and Drug Administration, or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508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40" w:hanging="544"/>
        <w:spacing w:after="0" w:line="182" w:lineRule="auto"/>
        <w:tabs>
          <w:tab w:leader="none" w:pos="660" w:val="left"/>
        </w:tabs>
        <w:numPr>
          <w:ilvl w:val="0"/>
          <w:numId w:val="70"/>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0"/>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8"/>
          <w:szCs w:val="18"/>
          <w:i w:val="1"/>
          <w:iCs w:val="1"/>
          <w:color w:val="auto"/>
        </w:rPr>
        <w:t>i.e.</w:t>
      </w:r>
      <w:r>
        <w:rPr>
          <w:rFonts w:ascii="Arial" w:cs="Arial" w:eastAsia="Arial" w:hAnsi="Arial"/>
          <w:sz w:val="18"/>
          <w:szCs w:val="18"/>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60"/>
        <w:spacing w:after="0" w:line="306" w:lineRule="auto"/>
        <w:rPr>
          <w:sz w:val="20"/>
          <w:szCs w:val="20"/>
          <w:color w:val="auto"/>
        </w:rPr>
      </w:pPr>
      <w:r>
        <w:rPr>
          <w:rFonts w:ascii="Arial" w:cs="Arial" w:eastAsia="Arial" w:hAnsi="Arial"/>
          <w:sz w:val="17"/>
          <w:szCs w:val="17"/>
          <w:color w:val="auto"/>
        </w:rPr>
        <w:t>seek breakthrough therapy designation from the FDA, which, if granted, is intended to expedite clinical development and regulatory review. We intend to maximize the benefit of our product candidates by pursuing a tumor-agnostic approach.</w:t>
      </w:r>
    </w:p>
    <w:p>
      <w:pPr>
        <w:spacing w:after="0" w:line="26"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jc w:val="both"/>
        <w:ind w:left="120" w:right="60" w:firstLine="551"/>
        <w:spacing w:after="0" w:line="241"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00" w:hanging="224"/>
        <w:spacing w:after="0" w:line="276"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20" w:hanging="224"/>
        <w:spacing w:after="0" w:line="248"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hanging="224"/>
        <w:spacing w:after="0" w:line="245"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have tumors with genetic profiles eligible for treatment with an approved targeted agent, which leaves a large opportunity for precision oncology.</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72"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5" w:right="51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508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544"/>
        <w:spacing w:after="0"/>
        <w:tabs>
          <w:tab w:leader="none" w:pos="66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320" w:hanging="544"/>
        <w:spacing w:after="0" w:line="182" w:lineRule="auto"/>
        <w:tabs>
          <w:tab w:leader="none" w:pos="66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77"/>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expect to initially seek approval of our product candidates in most instances, including with PC14586, at least as a second line therapy or for the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320" w:top="455" w:right="5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auto"/>
        </w:rPr>
        <w:t>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276"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72"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5" w:right="5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6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45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167005</wp:posOffset>
            </wp:positionV>
            <wp:extent cx="1817370" cy="2194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68"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74565" cy="1808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745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1240" w:type="dxa"/>
            <w:vAlign w:val="bottom"/>
            <w:tcBorders>
              <w:right w:val="single" w:sz="8" w:color="auto"/>
            </w:tcBorders>
          </w:tcPr>
          <w:p>
            <w:pPr>
              <w:spacing w:after="0"/>
              <w:rPr>
                <w:sz w:val="17"/>
                <w:szCs w:val="17"/>
                <w:color w:val="auto"/>
              </w:rPr>
            </w:pPr>
          </w:p>
        </w:tc>
        <w:tc>
          <w:tcPr>
            <w:tcW w:w="3800" w:type="dxa"/>
            <w:vAlign w:val="bottom"/>
            <w:tcBorders>
              <w:top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1240" w:type="dxa"/>
            <w:vAlign w:val="bottom"/>
            <w:tcBorders>
              <w:right w:val="single" w:sz="8" w:color="auto"/>
            </w:tcBorders>
          </w:tcPr>
          <w:p>
            <w:pPr>
              <w:spacing w:after="0"/>
              <w:rPr>
                <w:sz w:val="18"/>
                <w:szCs w:val="18"/>
                <w:color w:val="auto"/>
              </w:rPr>
            </w:pPr>
          </w:p>
        </w:tc>
        <w:tc>
          <w:tcPr>
            <w:tcW w:w="3800" w:type="dxa"/>
            <w:vAlign w:val="bottom"/>
            <w:tcBorders>
              <w:bottom w:val="single" w:sz="8" w:color="0C0C0C"/>
            </w:tcBorders>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1240" w:type="dxa"/>
            <w:vAlign w:val="bottom"/>
            <w:tcBorders>
              <w:right w:val="single" w:sz="8" w:color="auto"/>
            </w:tcBorders>
          </w:tcPr>
          <w:p>
            <w:pPr>
              <w:spacing w:after="0"/>
              <w:rPr>
                <w:sz w:val="23"/>
                <w:szCs w:val="23"/>
                <w:color w:val="auto"/>
              </w:rPr>
            </w:pPr>
          </w:p>
        </w:tc>
        <w:tc>
          <w:tcPr>
            <w:tcW w:w="3800" w:type="dxa"/>
            <w:vAlign w:val="bottom"/>
          </w:tcPr>
          <w:p>
            <w:pPr>
              <w:jc w:val="center"/>
              <w:ind w:left="5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6"/>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1240" w:type="dxa"/>
            <w:vAlign w:val="bottom"/>
            <w:tcBorders>
              <w:right w:val="single" w:sz="8" w:color="auto"/>
            </w:tcBorders>
          </w:tcPr>
          <w:p>
            <w:pPr>
              <w:spacing w:after="0"/>
              <w:rPr>
                <w:sz w:val="22"/>
                <w:szCs w:val="22"/>
                <w:color w:val="auto"/>
              </w:rPr>
            </w:pPr>
          </w:p>
        </w:tc>
        <w:tc>
          <w:tcPr>
            <w:tcW w:w="3800" w:type="dxa"/>
            <w:vAlign w:val="bottom"/>
          </w:tcPr>
          <w:p>
            <w:pPr>
              <w:jc w:val="center"/>
              <w:ind w:left="7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2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Note: Dosing ceased on day 70 in the PC14586 arm.</w:t>
            </w:r>
          </w:p>
        </w:tc>
        <w:tc>
          <w:tcPr>
            <w:tcW w:w="3680" w:type="dxa"/>
            <w:vAlign w:val="bottom"/>
          </w:tcPr>
          <w:p>
            <w:pPr>
              <w:spacing w:after="0"/>
              <w:rPr>
                <w:sz w:val="24"/>
                <w:szCs w:val="24"/>
                <w:color w:val="auto"/>
              </w:rPr>
            </w:pPr>
          </w:p>
        </w:tc>
      </w:tr>
    </w:tbl>
    <w:p>
      <w:pPr>
        <w:spacing w:after="0" w:line="17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76" w:lineRule="auto"/>
        <w:rPr>
          <w:sz w:val="20"/>
          <w:szCs w:val="20"/>
          <w:color w:val="auto"/>
        </w:rPr>
      </w:pPr>
      <w:r>
        <w:rPr>
          <w:rFonts w:ascii="Arial" w:cs="Arial" w:eastAsia="Arial" w:hAnsi="Arial"/>
          <w:sz w:val="18"/>
          <w:szCs w:val="18"/>
          <w:color w:val="auto"/>
        </w:rPr>
        <w:t>PC14586 combined with anti-PD-1 treatment exceeded 156 days, even though drug treatment was discontinued on day 70, compared with median survival of only 24 days for anti-PD-1 treatment alone.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167005</wp:posOffset>
            </wp:positionV>
            <wp:extent cx="4749165" cy="29317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29"/>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 xml:space="preserve">(Ayvakit), as well as the pivotal studies announced by other companies for their product candidates, including Amgen (AMG 510), Mirati (MRTX849)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7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 Subsequently, depending on the nature of the clinical data and experience with any approved products or product candidates, if any, we may pursue approval as an earlier line therapy and potentially as a first line 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R273H: Our Second Program</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141605</wp:posOffset>
            </wp:positionV>
            <wp:extent cx="5143500" cy="42176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120" w:right="20" w:firstLine="551"/>
        <w:spacing w:after="0" w:line="306" w:lineRule="auto"/>
        <w:rPr>
          <w:sz w:val="20"/>
          <w:szCs w:val="20"/>
          <w:color w:val="auto"/>
        </w:rPr>
      </w:pPr>
      <w:r>
        <w:rPr>
          <w:rFonts w:ascii="Arial" w:cs="Arial" w:eastAsia="Arial" w:hAnsi="Arial"/>
          <w:sz w:val="17"/>
          <w:szCs w:val="17"/>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20"/>
          </w:cols>
          <w:pgMar w:left="320" w:top="455" w:right="5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7"/>
          <w:szCs w:val="17"/>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6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color w:val="auto"/>
        </w:rPr>
        <w:t>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52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76" w:lineRule="auto"/>
        <w:rPr>
          <w:sz w:val="20"/>
          <w:szCs w:val="20"/>
          <w:color w:val="auto"/>
        </w:rPr>
      </w:pPr>
      <w:r>
        <w:rPr>
          <w:rFonts w:ascii="Arial" w:cs="Arial" w:eastAsia="Arial" w:hAnsi="Arial"/>
          <w:sz w:val="18"/>
          <w:szCs w:val="18"/>
          <w:color w:val="auto"/>
        </w:rPr>
        <w:t>approval and priority review, which can also be granted to the same drug if relevant criteria are met. If a product is designated as breakthrough therapy, the FDA will work to expedite the development and review of such drug.</w:t>
      </w:r>
    </w:p>
    <w:p>
      <w:pPr>
        <w:spacing w:after="0" w:line="145"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60"/>
          </w:cols>
          <w:pgMar w:left="320" w:top="455" w:right="51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 w:hanging="224"/>
        <w:spacing w:after="0" w:line="276"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8"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306" w:lineRule="auto"/>
        <w:rPr>
          <w:sz w:val="20"/>
          <w:szCs w:val="20"/>
          <w:color w:val="auto"/>
        </w:rPr>
      </w:pPr>
      <w:r>
        <w:rPr>
          <w:rFonts w:ascii="Arial" w:cs="Arial" w:eastAsia="Arial" w:hAnsi="Arial"/>
          <w:sz w:val="17"/>
          <w:szCs w:val="17"/>
          <w:color w:val="auto"/>
        </w:rPr>
        <w:t>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77"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43" w:lineRule="auto"/>
        <w:rPr>
          <w:sz w:val="20"/>
          <w:szCs w:val="20"/>
          <w:color w:val="auto"/>
        </w:rPr>
      </w:pPr>
      <w:r>
        <w:rPr>
          <w:rFonts w:ascii="Arial" w:cs="Arial" w:eastAsia="Arial" w:hAnsi="Arial"/>
          <w:sz w:val="18"/>
          <w:szCs w:val="18"/>
          <w:color w:val="auto"/>
        </w:rPr>
        <w:t>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76"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As of September 18, 2020, we had 39 full-time employees, including 15 employees with Ph.D., M.D. or Pharm.D. degrees. Of these full-time employees, 32 employees are engaged in research and development activities.</w:t>
      </w:r>
    </w:p>
    <w:p>
      <w:pPr>
        <w:spacing w:after="0" w:line="145"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2"/>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Regulatory Affairs and Quality Assurance</w:t>
            </w:r>
          </w:p>
        </w:tc>
      </w:tr>
      <w:tr>
        <w:trPr>
          <w:trHeight w:val="311"/>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r>
              <w:rPr>
                <w:rFonts w:ascii="Arial" w:cs="Arial" w:eastAsia="Arial" w:hAnsi="Arial"/>
                <w:sz w:val="15"/>
                <w:szCs w:val="15"/>
                <w:color w:val="auto"/>
              </w:rPr>
              <w:t>(1)(2)(3)</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r>
              <w:rPr>
                <w:rFonts w:ascii="Arial" w:cs="Arial" w:eastAsia="Arial" w:hAnsi="Arial"/>
                <w:sz w:val="15"/>
                <w:szCs w:val="15"/>
                <w:color w:val="auto"/>
              </w:rPr>
              <w:t>(2)</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r>
              <w:rPr>
                <w:rFonts w:ascii="Arial" w:cs="Arial" w:eastAsia="Arial" w:hAnsi="Arial"/>
                <w:sz w:val="15"/>
                <w:szCs w:val="15"/>
                <w:color w:val="auto"/>
              </w:rPr>
              <w:t>(1)(3)</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Laurie Stelzer</w:t>
            </w:r>
            <w:r>
              <w:rPr>
                <w:rFonts w:ascii="Arial" w:cs="Arial" w:eastAsia="Arial" w:hAnsi="Arial"/>
                <w:sz w:val="15"/>
                <w:szCs w:val="15"/>
                <w:color w:val="auto"/>
              </w:rPr>
              <w:t>(1)</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Peter Thompson, M.D.</w:t>
            </w:r>
            <w:r>
              <w:rPr>
                <w:rFonts w:ascii="Arial" w:cs="Arial" w:eastAsia="Arial" w:hAnsi="Arial"/>
                <w:sz w:val="15"/>
                <w:szCs w:val="15"/>
                <w:color w:val="auto"/>
              </w:rPr>
              <w:t>(2)(3)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68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68"/>
        </w:trPr>
        <w:tc>
          <w:tcPr>
            <w:tcW w:w="4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tcPr>
          <w:p>
            <w:pPr>
              <w:spacing w:after="0"/>
              <w:rPr>
                <w:sz w:val="5"/>
                <w:szCs w:val="5"/>
                <w:color w:val="auto"/>
              </w:rPr>
            </w:pP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60" w:type="dxa"/>
            <w:vAlign w:val="bottom"/>
            <w:shd w:val="clear" w:color="auto" w:fill="CCEEFF"/>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Michael Carulli</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Finance</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Preclinical Development and Translational Science</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Robert Ticktin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General Counsel</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Drug Discovery and Chemistry, Manufacturing and Controls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3"/>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5"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Regulatory Affairs and Quality Assurance since June 2019.</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b w:val="1"/>
          <w:bCs w:val="1"/>
          <w:color w:val="auto"/>
        </w:rPr>
        <w:t xml:space="preserve">Laurie Stelzer </w:t>
      </w:r>
      <w:r>
        <w:rPr>
          <w:rFonts w:ascii="Arial" w:cs="Arial" w:eastAsia="Arial" w:hAnsi="Arial"/>
          <w:sz w:val="18"/>
          <w:szCs w:val="18"/>
          <w:color w:val="auto"/>
        </w:rPr>
        <w:t>has served as a member of our board of directors since August 2020. Ms. Stelzer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Arena Pharmaceuticals, Inc. (NASDAQ: ARNA), a biopharmaceutical company, since March 2020. She has also served on the board of directors of Surface Oncology, Inc. (NASDAQ: SURF), a clinical-stage immuno-oncology company, since January 2018.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180" w:lineRule="exact"/>
        <w:rPr>
          <w:sz w:val="20"/>
          <w:szCs w:val="20"/>
          <w:color w:val="auto"/>
        </w:rPr>
      </w:pPr>
    </w:p>
    <w:p>
      <w:pPr>
        <w:ind w:left="120" w:right="60" w:firstLine="551"/>
        <w:spacing w:after="0" w:line="249"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color w:val="auto"/>
        </w:rPr>
        <w:t xml:space="preserve">Michael Carulli </w:t>
      </w:r>
      <w:r>
        <w:rPr>
          <w:rFonts w:ascii="Arial" w:cs="Arial" w:eastAsia="Arial" w:hAnsi="Arial"/>
          <w:sz w:val="18"/>
          <w:szCs w:val="18"/>
          <w:color w:val="auto"/>
        </w:rPr>
        <w:t>has served as our Vice President of Finance since May 2020. Prior to joining our company, Mr. Carulli was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R&amp;D Financial Planning and Analysis at Celgene (now Bristol Myers Squibb) where he oversaw the financial and operational plans for the entire Research and Development organization. Mr. Carulli spent over ten years at Celgene where he held multiple positions with increasing responsibility working closely on the R&amp;D strategy, long range planning and financial partnering to the Business Development and Alliance Management team. Mr. Carulli was the Chief of Staff to the President of Research &amp; Early Development for two years, as well as the R&amp;D finance lead for the Bristol Myers Squibb integration and Otezla divestiture to Amgen. Combined, Mr. Carulli has over 20 years of financial management experience and has led many process improvement initiatives and implemented several business intelligence technology solutions. He received a B.S. in Marketing and Management from Siena College and a M.B.A. from Fordham University.</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Preclinical Development and Translational Science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Pharmacology and Translational Medicine from October 2017 to August 2020. Prior 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7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b w:val="1"/>
          <w:bCs w:val="1"/>
          <w:color w:val="auto"/>
        </w:rPr>
        <w:t xml:space="preserve">Robert Ticktin </w:t>
      </w:r>
      <w:r>
        <w:rPr>
          <w:rFonts w:ascii="Arial" w:cs="Arial" w:eastAsia="Arial" w:hAnsi="Arial"/>
          <w:sz w:val="18"/>
          <w:szCs w:val="18"/>
          <w:color w:val="auto"/>
        </w:rPr>
        <w:t>has served as our General Counsel since August 2020, and served as our part-time legal consultant from May to</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2020. Prior to joining our company, Mr. Ticktin was Associate General Counsel, Corporate, at Tesaro, Inc., a development and commercial oncology company (acquired by GSK), where he spent three years leading corporate legal matters, including SEC reporting, business development and alliance management support. Prior to that, Mr. Ticktin was SVP and General Counsel for three years at Epirus Biopharmaceuticals, a biosimilar start-up. Before his tenure at Epirus, Mr. Ticktin spent ten years at Amgen Inc., where he held various leadership positions in Amgen’s legal department. Mr. Ticktin commenced his legal career in New York City at global law</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firms, Simpson Thacher &amp; Bartlett LLP and Latham &amp; Watkins LLP. Mr. Ticktin received a B.A. in Economics from The Ohio State University and a J.D. from Fordham University School of Law.</w:t>
      </w:r>
    </w:p>
    <w:p>
      <w:pPr>
        <w:spacing w:after="0" w:line="14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Drug Discovery and Chemistry, Manufacturing and Controls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Chemistry from June 2015 to August 2020, Director of Research from 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directors will be divided among the three classes as follows:</w:t>
      </w:r>
    </w:p>
    <w:p>
      <w:pPr>
        <w:spacing w:after="0" w:line="76" w:lineRule="exact"/>
        <w:rPr>
          <w:sz w:val="20"/>
          <w:szCs w:val="20"/>
          <w:color w:val="auto"/>
        </w:rPr>
      </w:pPr>
    </w:p>
    <w:p>
      <w:pPr>
        <w:ind w:left="880" w:right="6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 directors will be Thilo Schroeder, Ph.D. and Peter Thompson, M.D., and their terms will expire at the annual meeting of stockholders to be held in 2021;</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II directors will be Arnold Levine, Ph.D. and Arnold Oronsky, Ph.D., and their terms will expire at the annual meeting of stockholders to be held in 2022;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III directors will be Richard Heyman, Ph.D., Laurie Stelzer and David H. Mack, Ph.D., and their terms will expire at the annual meeting of stockholders to be held in 2023.</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been approved to list our common stock on the Nasdaq Global Select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Arnold Levine, Ph.D., Arnold Oronsky, Ph.D., Thilo Schroeder, Ph.D., Laurie Stelzer and Peter Thompson, M.D.,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18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members of our audit committee are Laurie Stelzer, Richard Heyman, Ph.D. and Thilo Schroeder, Ph.D., and Ms. Stelzer is the chair of our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oversees our corporate accounting and financial reporting process and assists our board of directors in monitoring our financial systems. Among other matters, our audit committee will also:</w:t>
      </w:r>
    </w:p>
    <w:p>
      <w:pPr>
        <w:spacing w:after="0" w:line="86" w:lineRule="exact"/>
        <w:rPr>
          <w:sz w:val="20"/>
          <w:szCs w:val="20"/>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40"/>
        <w:spacing w:after="0" w:line="276" w:lineRule="auto"/>
        <w:rPr>
          <w:sz w:val="20"/>
          <w:szCs w:val="20"/>
          <w:color w:val="auto"/>
        </w:rPr>
      </w:pPr>
      <w:r>
        <w:rPr>
          <w:rFonts w:ascii="Arial" w:cs="Arial" w:eastAsia="Arial" w:hAnsi="Arial"/>
          <w:sz w:val="18"/>
          <w:szCs w:val="18"/>
          <w:color w:val="auto"/>
        </w:rPr>
        <w:t>independent audit and the quarterly reviews and the reports and certifications regarding internal controls over financial reporting and disclosure controls;</w:t>
      </w:r>
    </w:p>
    <w:p>
      <w:pPr>
        <w:spacing w:after="0" w:line="50" w:lineRule="exact"/>
        <w:rPr>
          <w:sz w:val="20"/>
          <w:szCs w:val="20"/>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members of our compensation committee are Richard Heyman, Ph.D., Arnold Oronsky, Ph.D. and Peter Thompson, M.D., and Dr. Heyman is the chair of our compensation committee. Our board of directors has determined that all members are independent under the listing standards of Nasdaq and are “non-employee directors” as defined in Rule 16b-3 promulgated under the Exchange Act. Our compensation committee oversees our compensation policies, plans and benefits programs. Among other matters, our compensation committee will also:</w:t>
      </w:r>
    </w:p>
    <w:p>
      <w:pPr>
        <w:spacing w:after="0" w:line="78"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members of our corporate governance and nominating committee are Peter Thompson, M.D., Richard Heyman, Ph.D. and Thilo Schroeder, Ph.D., and Dr. Thompson is the chair of our corporate governance and nominating committee. Our board of directors has determined that all members of the corporate governance and nominating committee are independent under the listing standards of Nasdaq. Our corporate governance and nominating committee oversees and assists our board of directors in reviewing and recommending nominees for election as directors. Among other matters, our corporate governance and nominating committee will:</w:t>
      </w:r>
    </w:p>
    <w:p>
      <w:pPr>
        <w:spacing w:after="0" w:line="78" w:lineRule="exact"/>
        <w:rPr>
          <w:sz w:val="20"/>
          <w:szCs w:val="20"/>
          <w:color w:val="auto"/>
        </w:rPr>
      </w:pPr>
    </w:p>
    <w:p>
      <w:pPr>
        <w:ind w:left="880" w:right="6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0" w:hanging="224"/>
        <w:spacing w:after="0" w:line="27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Dr. Heyman and Dr. Levine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We reimburse our directors for expenses associated with attending meetings of our board of directors and its committees.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adopted our Outside Director Compensation Policy, or Director Compensation Policy, in September 2020, which became effective on the effective date of the registration statement of which this prospectus forms a part. The Director Compensation Policy sets guidelines for the compensation of our non-employee directors for their service as director. The cash and equity components of our compensation policy for non-employee directors are set forth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2"/>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Position</w:t>
            </w:r>
          </w:p>
        </w:tc>
        <w:tc>
          <w:tcPr>
            <w:tcW w:w="6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4"/>
        </w:trPr>
        <w:tc>
          <w:tcPr>
            <w:tcW w:w="58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Retainer</w:t>
            </w: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Base Director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Additional Chairperson Fee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Board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35,000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Nominating and Corporate Governance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Additional Committee Member Fee (excluding chairpersons)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our Director Compensation Policy, each non-employee director upon first becoming a non-employee director automatically receives an initial option to purchase 32,667 shares of common stock. The initial option vests in 36 equal, monthly installments after the grant date, subject to continued service through the vesting date. Additionally, each non-employee director automatically receives an annual option to purchase 16,333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179"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7" w:lineRule="auto"/>
        <w:tabs>
          <w:tab w:leader="none" w:pos="5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90"/>
        </w:numPr>
        <w:rPr>
          <w:rFonts w:ascii="Arial" w:cs="Arial" w:eastAsia="Arial" w:hAnsi="Arial"/>
          <w:sz w:val="20"/>
          <w:szCs w:val="20"/>
          <w:color w:val="auto"/>
          <w:vertAlign w:val="superscript"/>
        </w:rPr>
      </w:pPr>
      <w:r>
        <w:rPr>
          <w:rFonts w:ascii="Arial" w:cs="Arial" w:eastAsia="Arial" w:hAnsi="Arial"/>
          <w:sz w:val="12"/>
          <w:szCs w:val="12"/>
          <w:color w:val="auto"/>
        </w:rPr>
        <w:t>Mr. Winick resigned from our board of directors effective September 4,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Deepika Jalota, our Senior Vice President, Regulatory Affairs and Quality Assurance.</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Senior Vice President, Regulatory Affairs and Quality</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Assurance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2"/>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20" w:hanging="544"/>
        <w:spacing w:after="0" w:line="185" w:lineRule="auto"/>
        <w:tabs>
          <w:tab w:leader="none" w:pos="66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90,216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86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771"/>
              <w:spacing w:after="0" w:line="159" w:lineRule="exact"/>
              <w:rPr>
                <w:sz w:val="20"/>
                <w:szCs w:val="20"/>
                <w:color w:val="auto"/>
              </w:rPr>
            </w:pPr>
            <w:r>
              <w:rPr>
                <w:rFonts w:ascii="Arial" w:cs="Arial" w:eastAsia="Arial" w:hAnsi="Arial"/>
                <w:sz w:val="14"/>
                <w:szCs w:val="14"/>
                <w:b w:val="1"/>
                <w:bCs w:val="1"/>
                <w:color w:val="auto"/>
              </w:rPr>
              <w:t>Grant</w:t>
            </w:r>
          </w:p>
        </w:tc>
        <w:tc>
          <w:tcPr>
            <w:tcW w:w="132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44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20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2"/>
          </w:tcPr>
          <w:p>
            <w:pPr>
              <w:jc w:val="right"/>
              <w:ind w:right="7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Unexercisable</w:t>
            </w:r>
          </w:p>
        </w:tc>
        <w:tc>
          <w:tcPr>
            <w:tcW w:w="1200" w:type="dxa"/>
            <w:vAlign w:val="bottom"/>
            <w:gridSpan w:val="2"/>
          </w:tcPr>
          <w:p>
            <w:pPr>
              <w:jc w:val="right"/>
              <w:ind w:right="4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4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600" w:type="dxa"/>
            <w:vAlign w:val="bottom"/>
            <w:tcBorders>
              <w:top w:val="single" w:sz="8" w:color="CCEEFF"/>
            </w:tcBorders>
            <w:shd w:val="clear" w:color="auto" w:fill="CCEEFF"/>
          </w:tcPr>
          <w:p>
            <w:pPr>
              <w:jc w:val="right"/>
              <w:ind w:right="37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495,337</w:t>
            </w:r>
          </w:p>
        </w:tc>
        <w:tc>
          <w:tcPr>
            <w:tcW w:w="4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ind w:left="820"/>
              <w:spacing w:after="0" w:line="155" w:lineRule="exact"/>
              <w:rPr>
                <w:sz w:val="20"/>
                <w:szCs w:val="20"/>
                <w:color w:val="auto"/>
              </w:rPr>
            </w:pPr>
            <w:r>
              <w:rPr>
                <w:rFonts w:ascii="Arial" w:cs="Arial" w:eastAsia="Arial" w:hAnsi="Arial"/>
                <w:sz w:val="16"/>
                <w:szCs w:val="16"/>
                <w:color w:val="auto"/>
                <w:w w:val="87"/>
              </w:rPr>
              <w:t>—</w:t>
            </w:r>
          </w:p>
        </w:tc>
        <w:tc>
          <w:tcPr>
            <w:tcW w:w="4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0.53</w:t>
            </w:r>
          </w:p>
        </w:tc>
        <w:tc>
          <w:tcPr>
            <w:tcW w:w="4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240,644</w:t>
            </w:r>
          </w:p>
        </w:tc>
        <w:tc>
          <w:tcPr>
            <w:tcW w:w="4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7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297,580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163,189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400" w:type="dxa"/>
            <w:vAlign w:val="bottom"/>
          </w:tcPr>
          <w:p>
            <w:pPr>
              <w:spacing w:after="0"/>
              <w:rPr>
                <w:sz w:val="16"/>
                <w:szCs w:val="16"/>
                <w:color w:val="auto"/>
              </w:rPr>
            </w:pPr>
          </w:p>
        </w:tc>
        <w:tc>
          <w:tcPr>
            <w:tcW w:w="1480" w:type="dxa"/>
            <w:vAlign w:val="bottom"/>
            <w:gridSpan w:val="2"/>
          </w:tcPr>
          <w:p>
            <w:pPr>
              <w:jc w:val="right"/>
              <w:ind w:right="37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6"/>
                <w:szCs w:val="16"/>
                <w:color w:val="auto"/>
              </w:rPr>
              <w:t>476,047</w:t>
            </w:r>
          </w:p>
        </w:tc>
        <w:tc>
          <w:tcPr>
            <w:tcW w:w="46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3.22</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880" w:type="dxa"/>
            <w:vAlign w:val="bottom"/>
            <w:gridSpan w:val="3"/>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90,216</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3"/>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20" w:hanging="544"/>
        <w:spacing w:after="0" w:line="215" w:lineRule="auto"/>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 or more.</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We have enterd into a confirmatory employment letter with Dr. Mack, our President and Chief Executive Officer. The confirmatory employment letter currently has no specific term and provides for at-will employment. Dr. Mack’s current annual base salary is $525,100, and Dr. Mack’s annual target bonus is 50% of his annual base salary.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Mr. Kung, our Chief Operating Officer and Chief Financial Officer. The confirmatory employment letter currently has no specific term and provides for at-will employment. Mr. Kung’s current annual base salary is $437,100, and Mr. Kung’s annual target bonus is 40% of his annual base salary.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Dr. Jalota, our Senior Vice President, Regulatory Affairs and Quality Assurance. The confirmatory employment letter has no specific term and provides for at-will employment. Dr. Jalota’s current annual base salary is $362,300, and Dr. Jalota’s annual target bonus is 35% of her annual base salary.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titled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Incentive Compensation Plan</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board of directors adopted an Employee Incentive Compensation Plan, or Incentive Compensation Plan. Our Incentive Compensation Plan allows our compensation committee to provide cash incentive awards to employees selected by our compensation committee, including our named executive officers, based upon performance goals established by our compensation committee. Pursuant to the Incentive Compensation Plan, our compensation committee, in its sole discretion, establishes a target award for each participant and a bonus pool, with actual awards payable from such bonus pool, with respect to the applicable performance period.</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Under our Incentive Compensation Plan, our compensation committee determines the performance goals applicable to any award, which goals may include, without limitation, attainment of research and development and/or clinical development milestones, bookings, business divestitures and acquisitions, capital raising,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financial milestones, gross margin, growth in stockholder value relative to the moving average of the S&amp;P 500 Index or another index, internal rate of return, internal structure, leadership development, license or research collaboration agreements, market share, net income, net profit, net sales, new product development, new product or business invention or innovation, number of customers, operating cash flow, operating expenses, operating income, operating margin, overhead or other expense reduction, patentability, publications, procurement, product defect measures, product release timelines or other product release milestones, productivity, profit, project, function or portfolio-specific milestones,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and individual objectives such as peer reviews or other subjective or objective criteria. The performance goals may differ from participant to participant and from award to award.</w:t>
      </w:r>
    </w:p>
    <w:p>
      <w:pPr>
        <w:spacing w:after="0" w:line="177"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compensation committee administers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Actual awards will be paid in cash (or its equivalent) in a single lump sum only after they are earned, which usually requires continued employment through the date the actual award is paid. The compensation committee reserves the right to settle an actual award with a grant of an equity award under the Company’s then-current equity compensation plan, which equity award may have such terms and conditions, as the compensation committee determines. Payment of awards occurs as soon as administratively practicable after they are earned, but no later than the dates set forth in our Incentive Compensation Plan.</w:t>
      </w:r>
    </w:p>
    <w:p>
      <w:pPr>
        <w:spacing w:after="0" w:line="172" w:lineRule="exact"/>
        <w:rPr>
          <w:sz w:val="20"/>
          <w:szCs w:val="20"/>
          <w:color w:val="auto"/>
        </w:rPr>
      </w:pPr>
    </w:p>
    <w:p>
      <w:pPr>
        <w:ind w:left="120" w:right="400" w:firstLine="551"/>
        <w:spacing w:after="0" w:line="306" w:lineRule="auto"/>
        <w:rPr>
          <w:sz w:val="20"/>
          <w:szCs w:val="20"/>
          <w:color w:val="auto"/>
        </w:rPr>
      </w:pPr>
      <w:r>
        <w:rPr>
          <w:rFonts w:ascii="Arial" w:cs="Arial" w:eastAsia="Arial" w:hAnsi="Arial"/>
          <w:sz w:val="17"/>
          <w:szCs w:val="17"/>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 The form of participation agreement to the Change in Control and Severance Policy was amended in August 2020.</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right="40" w:hanging="224"/>
        <w:spacing w:after="0" w:line="255"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nine months for Dr. Jalota);</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target annual bonus for the year of termination equal to the amount specified in the participant’s participation agreement ($393,825 for Dr. Mack, $174,840 for Mr. Kung and the greater of 75% or pro-rata for Dr. Jalota); and</w:t>
      </w:r>
    </w:p>
    <w:p>
      <w:pPr>
        <w:spacing w:after="0" w:line="50"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52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140" w:hanging="224"/>
        <w:spacing w:after="0" w:line="248"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granted prior to the effectiveness of this offering equal to the amount specified in the participant’s participation agreement (equal to the number of shares otherwise scheduled to vest during the 12 month period following the date of termination for Dr. Mack and the six month period following the date of termination for Mr. Kung and Dr. Jalota);</w:t>
      </w:r>
    </w:p>
    <w:p>
      <w:pPr>
        <w:spacing w:after="0" w:line="75"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nine months’ base salary for Mr. Kung and six months’ base salary for Dr. Jalota);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(12 months for Dr. Mack, nine months for Mr. Kung and six months for Dr. Jalota).</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may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board of directors adopted, and our stockholders approved, our 2020 Equity Incentive Plan, or 2020 Plan. The 2020 Plan became effective on the business day immediately prior to the effective date of the registration statement of which this prospectus forms a part. Our 2020 Plan provides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any of our future subsidiary corporations’ employees and consultants.</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4,406,374 shares of our common stock are reserved for issuance pursuant to our 2020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shares reserved for issuance under our 2020 Plan will also include shares of our common stock subject to awards granted under our 2013 Plan that, after this offering, expire or otherwise terminate without having been exercised in full or are forfeited to or repurchased by us (provided that the maximum number of shares that may be added to the 2020 Plan is 3,955,290 shares). The number of shares available for issuance under our 2020 Plan will also include an annual increase on the first day of each fiscal year beginning with our 2021 fiscal year, equal to the lesser of:</w:t>
      </w:r>
    </w:p>
    <w:p>
      <w:pPr>
        <w:spacing w:after="0" w:line="79"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4,406,374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5%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automatic share increase will lapse following the increase of the first day of 2030.</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market value of our common stock on the grant date. The administrator, in its sole discretion, may pay out earned performance units or performance shares in cash, shares or in some combination thereof.</w:t>
      </w:r>
    </w:p>
    <w:p>
      <w:pPr>
        <w:spacing w:after="0" w:line="145"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Outside Directors</w:t>
      </w:r>
      <w:r>
        <w:rPr>
          <w:rFonts w:ascii="Arial" w:cs="Arial" w:eastAsia="Arial" w:hAnsi="Arial"/>
          <w:sz w:val="18"/>
          <w:szCs w:val="18"/>
          <w:color w:val="auto"/>
        </w:rPr>
        <w:t>. All outside (non-employee) directors will be eligible to receive all types of awards (except for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our 2020 Plan. To provide a maximum limit on the cash compensation and equity awards that can be made to our outside directors, our 2020 Plan provides that in any given fiscal year, an outside director will not be granted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9" w:lineRule="exact"/>
        <w:rPr>
          <w:sz w:val="20"/>
          <w:szCs w:val="20"/>
          <w:color w:val="auto"/>
        </w:rPr>
      </w:pPr>
    </w:p>
    <w:p>
      <w:pPr>
        <w:jc w:val="both"/>
        <w:ind w:left="120" w:right="50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2"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of ours, and the administrator also may specify in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participant’s rights, payments and/or benefits with respect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color w:val="auto"/>
        </w:rPr>
        <w:t>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continues unless we terminate it. No incentive stock options may be granted after the ten year anniversary of the date of the 2020 Plan was adopted.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Our board of directors adopted, and our stockholders approved, a 2020 Employee Stock Purchase Plan, or the ESPP. Our ESPP became effective one business day immediately before the effective date of the registration statement of which this prospectus forms a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The maximum number of shares of our common stock available for issuance under our ESPP is 400,752 shares of our common stock. In addition, our ESPP provides for annual increases in the number of shares of our common stock available for issuance under our ESPP on the first day of each of our fiscal years beginning with our fiscal year 2021, in an amount equal to the least of:</w:t>
      </w:r>
    </w:p>
    <w:p>
      <w:pPr>
        <w:spacing w:after="0" w:line="191"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801,504 shares;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other amount determined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6" w:lineRule="exact"/>
        <w:rPr>
          <w:sz w:val="20"/>
          <w:szCs w:val="20"/>
          <w:color w:val="auto"/>
        </w:rPr>
      </w:pPr>
    </w:p>
    <w:p>
      <w:pPr>
        <w:ind w:left="120" w:right="160" w:firstLine="551"/>
        <w:spacing w:after="0" w:line="306"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Non-423 Component. For purposes of this summary, a reference to our ESPP generally will mean the terms and operations of the 423 Component. Our ESPP will provide for consecutive six-month offering periods. Each offering period will have one purchase period with the same duration as the offering period. The offering periods will be scheduled to begin on the first trading day on or after May 20</w:t>
      </w:r>
      <w:r>
        <w:rPr>
          <w:rFonts w:ascii="Arial" w:cs="Arial" w:eastAsia="Arial" w:hAnsi="Arial"/>
          <w:sz w:val="15"/>
          <w:szCs w:val="15"/>
          <w:color w:val="auto"/>
        </w:rPr>
        <w:t>th</w:t>
      </w:r>
      <w:r>
        <w:rPr>
          <w:rFonts w:ascii="Arial" w:cs="Arial" w:eastAsia="Arial" w:hAnsi="Arial"/>
          <w:sz w:val="18"/>
          <w:szCs w:val="18"/>
          <w:color w:val="auto"/>
        </w:rPr>
        <w:t xml:space="preserve"> and November 20</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will begin on the first trading day on or after the effective date of the registration statement of which this prospectus forms a part and end on the first trading day on or after May 20,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4,000 shares during each offering period.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w:t>
      </w:r>
    </w:p>
    <w:p>
      <w:pPr>
        <w:spacing w:after="0" w:line="10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Our 2013 Plan has been terminated and we will not grant any additional awards under our 2013 Plan thereafter. However, our 2013 Plan will continue to govern the terms and conditions of the outstanding awards previously granted under our 2013 Plan.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3,922,612 shares of our common stock.</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our 2013 Plan, to modify or amend each award and to make all other determinations deemed necessary or advisable for administering our 2013 Plan.</w:t>
      </w:r>
    </w:p>
    <w:p>
      <w:pPr>
        <w:spacing w:after="0" w:line="17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 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70"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7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6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Our 2013 Plan has been terminated and we will not grant any additional awards under our 2013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prior to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other state or federal laws. Under our amended and restated bylaws, we will also be empowered to purchase insurance on behalf of any person whom we are required or permitted to indemnify.</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we issued and sold an aggregate of 5,321,864 shares of our Series D convertible preferred stock, or Series D Preferred Stock, at a purchase price of $13.1533 per share for an aggregate purchase price of approximately $70.0 million. These shares of Series D Preferred Stock will convert into an aggregate of 5,321,864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700" w:type="dxa"/>
            <w:vAlign w:val="bottom"/>
            <w:vMerge w:val="restart"/>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Officer(s)</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760,267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760,267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OrbiMed Advisors</w:t>
            </w:r>
          </w:p>
        </w:tc>
        <w:tc>
          <w:tcPr>
            <w:tcW w:w="23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Peter Thompson, M.D.</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760,265</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5,469,606 shares of our Series C convertible preferred stock, or Series C Preferred Stock, at a purchase price of $11.3121 per share for an aggregate purchase price of approximately $61.9 million. These shares of Series C Preferred Stock will convert into an aggregate of 5,469,606 shares of common stock immediately prior to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46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86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1,768,023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17"/>
                <w:szCs w:val="17"/>
                <w:color w:val="auto"/>
              </w:rPr>
            </w:pP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1,326,017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884,010</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860" w:type="dxa"/>
            <w:vAlign w:val="bottom"/>
          </w:tcPr>
          <w:p>
            <w:pPr>
              <w:spacing w:after="0"/>
              <w:rPr>
                <w:sz w:val="17"/>
                <w:szCs w:val="17"/>
                <w:color w:val="auto"/>
              </w:rPr>
            </w:pP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518,191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265,203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178</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7,672,556 shares of our Series B convertible preferred stock, or Series B Preferred Stock, at a purchase price of $9.6093 per share for an aggregate purchase price of approximately $73.7 million. These shares of Series B Preferred Stock will convert into an aggregate of 7,672,556 shares of common stock immediately prior to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380" w:type="dxa"/>
            <w:vAlign w:val="bottom"/>
            <w:vMerge w:val="restart"/>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Affiliated Director(s) or</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4,162,617</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24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Peter Thompson, M.D.</w:t>
            </w:r>
          </w:p>
        </w:tc>
        <w:tc>
          <w:tcPr>
            <w:tcW w:w="1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1,076,891</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1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1,040,654</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TopSpin Biotech Fund II, L.P.</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Steve Winick, J.D.</w:t>
            </w:r>
            <w:r>
              <w:rPr>
                <w:rFonts w:ascii="Arial" w:cs="Arial" w:eastAsia="Arial" w:hAnsi="Arial"/>
                <w:sz w:val="15"/>
                <w:szCs w:val="15"/>
                <w:color w:val="auto"/>
                <w:w w:val="99"/>
              </w:rPr>
              <w:t>(1)</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1,040,654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660" w:hanging="544"/>
        <w:spacing w:after="0"/>
        <w:tabs>
          <w:tab w:leader="none" w:pos="660" w:val="left"/>
        </w:tabs>
        <w:numPr>
          <w:ilvl w:val="0"/>
          <w:numId w:val="102"/>
        </w:numPr>
        <w:rPr>
          <w:rFonts w:ascii="Arial" w:cs="Arial" w:eastAsia="Arial" w:hAnsi="Arial"/>
          <w:sz w:val="24"/>
          <w:szCs w:val="24"/>
          <w:color w:val="auto"/>
          <w:vertAlign w:val="superscript"/>
        </w:rPr>
      </w:pPr>
      <w:r>
        <w:rPr>
          <w:rFonts w:ascii="Arial" w:cs="Arial" w:eastAsia="Arial" w:hAnsi="Arial"/>
          <w:sz w:val="14"/>
          <w:szCs w:val="14"/>
          <w:color w:val="auto"/>
        </w:rPr>
        <w:t>Mr. Winick resigned from our board of directors effective September 4, 2020.</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44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64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45,332 and 151,108 shares of our common stock, each with an exercise price of $4.22, to newly-appointed director and Chairman of the board of directors Richard Heyman, Ph.D.</w:t>
      </w:r>
    </w:p>
    <w:p>
      <w:pPr>
        <w:spacing w:after="0" w:line="145"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On August 12, 2020, our board of directors approved a stock option grant for 32,667 shares of our common stock, with an exercise price of $8.53, to newly-appointed director Laurie Stelzer.</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immediately prior to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August 31, 2020 by:</w:t>
      </w:r>
    </w:p>
    <w:p>
      <w:pPr>
        <w:spacing w:after="0" w:line="117"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based our calculation of the percentage of beneficial ownership prior to this offering on 31,234,310 shares of our common stock outstanding as of August 31, 2020, which includes 28,188,110 shares of our common stock resulting from the conversion of all 28,188,110 outstanding shares of our convertible preferred stock into our common stock, including the shares issuable upon the conversion of our Series D convertible preferred stock issued and sold in July 2020, which will occur immediately prior to the completion of this offering, as if this conversion had occurred as of August 31, 2020. We have based our calculation of the percentage of beneficial ownership after this offering on 42,999,310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August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 The following table also does not reflect any shares of common stock that may be purchased in this offering.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 Beneficially Owned</w:t>
            </w:r>
          </w:p>
        </w:tc>
        <w:tc>
          <w:tcPr>
            <w:tcW w:w="2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4380" w:type="dxa"/>
            <w:vAlign w:val="bottom"/>
            <w:vMerge w:val="restart"/>
          </w:tcPr>
          <w:p>
            <w:pPr>
              <w:spacing w:after="0"/>
              <w:rPr>
                <w:sz w:val="15"/>
                <w:szCs w:val="15"/>
                <w:color w:val="auto"/>
              </w:rPr>
            </w:pPr>
          </w:p>
        </w:tc>
        <w:tc>
          <w:tcPr>
            <w:tcW w:w="25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Prior to this Offering</w:t>
            </w:r>
          </w:p>
        </w:tc>
        <w:tc>
          <w:tcPr>
            <w:tcW w:w="22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vMerge w:val="continue"/>
          </w:tcPr>
          <w:p>
            <w:pPr>
              <w:spacing w:after="0"/>
              <w:rPr>
                <w:sz w:val="14"/>
                <w:szCs w:val="14"/>
                <w:color w:val="auto"/>
              </w:rPr>
            </w:pPr>
          </w:p>
        </w:tc>
        <w:tc>
          <w:tcPr>
            <w:tcW w:w="4380" w:type="dxa"/>
            <w:vAlign w:val="bottom"/>
            <w:vMerge w:val="continue"/>
          </w:tcPr>
          <w:p>
            <w:pPr>
              <w:spacing w:after="0"/>
              <w:rPr>
                <w:sz w:val="14"/>
                <w:szCs w:val="14"/>
                <w:color w:val="auto"/>
              </w:rPr>
            </w:pPr>
          </w:p>
        </w:tc>
        <w:tc>
          <w:tcPr>
            <w:tcW w:w="1100" w:type="dxa"/>
            <w:vAlign w:val="bottom"/>
            <w:tcBorders>
              <w:top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500" w:type="dxa"/>
            <w:vAlign w:val="bottom"/>
          </w:tcPr>
          <w:p>
            <w:pPr>
              <w:spacing w:after="0"/>
              <w:rPr>
                <w:sz w:val="14"/>
                <w:szCs w:val="14"/>
                <w:color w:val="auto"/>
              </w:rPr>
            </w:pPr>
          </w:p>
        </w:tc>
        <w:tc>
          <w:tcPr>
            <w:tcW w:w="12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6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5% or Greater Stockholders:</w:t>
            </w:r>
          </w:p>
        </w:tc>
        <w:tc>
          <w:tcPr>
            <w:tcW w:w="1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InterWest Partners X, L.P.</w:t>
            </w:r>
            <w:r>
              <w:rPr>
                <w:rFonts w:ascii="Arial" w:cs="Arial" w:eastAsia="Arial" w:hAnsi="Arial"/>
                <w:sz w:val="21"/>
                <w:szCs w:val="21"/>
                <w:color w:val="auto"/>
                <w:vertAlign w:val="superscript"/>
              </w:rPr>
              <w:t>(1)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Entities affiliated with OrbiMed Advisors</w:t>
            </w:r>
            <w:r>
              <w:rPr>
                <w:rFonts w:ascii="Arial" w:cs="Arial" w:eastAsia="Arial" w:hAnsi="Arial"/>
                <w:sz w:val="21"/>
                <w:szCs w:val="21"/>
                <w:color w:val="auto"/>
                <w:vertAlign w:val="superscript"/>
              </w:rPr>
              <w:t>(2)</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Entities affiliated with Euclidean Capital LLC</w:t>
            </w:r>
            <w:r>
              <w:rPr>
                <w:rFonts w:ascii="Arial" w:cs="Arial" w:eastAsia="Arial" w:hAnsi="Arial"/>
                <w:sz w:val="21"/>
                <w:szCs w:val="21"/>
                <w:color w:val="auto"/>
                <w:vertAlign w:val="superscript"/>
              </w:rPr>
              <w:t>(3)</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4,179,416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13.4%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4,179,416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Nextech V Oncology S.C.S., SICAV-SIF</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Viking Global Opportunities Illiquid Investments Sub-master LP</w:t>
            </w:r>
            <w:r>
              <w:rPr>
                <w:rFonts w:ascii="Arial" w:cs="Arial" w:eastAsia="Arial" w:hAnsi="Arial"/>
                <w:sz w:val="21"/>
                <w:szCs w:val="21"/>
                <w:color w:val="auto"/>
                <w:vertAlign w:val="superscript"/>
              </w:rPr>
              <w:t>(5)</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2,086,284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6.7%</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2,086,284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David H. Mack, Ph.D.</w:t>
            </w:r>
            <w:r>
              <w:rPr>
                <w:rFonts w:ascii="Arial" w:cs="Arial" w:eastAsia="Arial" w:hAnsi="Arial"/>
                <w:sz w:val="21"/>
                <w:szCs w:val="21"/>
                <w:color w:val="auto"/>
                <w:vertAlign w:val="superscript"/>
              </w:rPr>
              <w:t>(6)</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1,446,494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4.5%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1,446,494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Winston Kung</w:t>
            </w:r>
            <w:r>
              <w:rPr>
                <w:rFonts w:ascii="Arial" w:cs="Arial" w:eastAsia="Arial" w:hAnsi="Arial"/>
                <w:sz w:val="21"/>
                <w:szCs w:val="21"/>
                <w:color w:val="auto"/>
                <w:vertAlign w:val="superscript"/>
              </w:rPr>
              <w:t>(7)</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488,801</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488,801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Deepika Jalota, Pharm.D.</w:t>
            </w:r>
            <w:r>
              <w:rPr>
                <w:rFonts w:ascii="Arial" w:cs="Arial" w:eastAsia="Arial" w:hAnsi="Arial"/>
                <w:sz w:val="21"/>
                <w:szCs w:val="21"/>
                <w:color w:val="auto"/>
                <w:vertAlign w:val="superscript"/>
              </w:rPr>
              <w:t>(8)</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32,564</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32,564</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Richard Heyman, Ph.D.</w:t>
            </w:r>
            <w:r>
              <w:rPr>
                <w:rFonts w:ascii="Arial" w:cs="Arial" w:eastAsia="Arial" w:hAnsi="Arial"/>
                <w:sz w:val="21"/>
                <w:szCs w:val="21"/>
                <w:color w:val="auto"/>
                <w:vertAlign w:val="superscript"/>
              </w:rPr>
              <w:t>(9)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64,393</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64,393</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Levine, Ph.D.</w:t>
            </w:r>
            <w:r>
              <w:rPr>
                <w:rFonts w:ascii="Arial" w:cs="Arial" w:eastAsia="Arial" w:hAnsi="Arial"/>
                <w:sz w:val="21"/>
                <w:szCs w:val="21"/>
                <w:color w:val="auto"/>
                <w:vertAlign w:val="superscript"/>
              </w:rPr>
              <w:t>(10)</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427,342</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427,342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Laurie Stelzer </w:t>
            </w:r>
            <w:r>
              <w:rPr>
                <w:rFonts w:ascii="Arial" w:cs="Arial" w:eastAsia="Arial" w:hAnsi="Arial"/>
                <w:sz w:val="21"/>
                <w:szCs w:val="21"/>
                <w:color w:val="auto"/>
                <w:vertAlign w:val="superscript"/>
              </w:rPr>
              <w:t>(11)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1,814</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1,814</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Oronsky, Ph.D.</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Peter Thompson, M.D.</w:t>
            </w:r>
            <w:r>
              <w:rPr>
                <w:rFonts w:ascii="Arial" w:cs="Arial" w:eastAsia="Arial" w:hAnsi="Arial"/>
                <w:sz w:val="21"/>
                <w:szCs w:val="21"/>
                <w:color w:val="auto"/>
                <w:vertAlign w:val="superscript"/>
              </w:rPr>
              <w:t>(2)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Thilo Schroeder, Ph.D.</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74"/>
        </w:trPr>
        <w:tc>
          <w:tcPr>
            <w:tcW w:w="6160" w:type="dxa"/>
            <w:vAlign w:val="bottom"/>
            <w:gridSpan w:val="2"/>
          </w:tcPr>
          <w:p>
            <w:pPr>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27"/>
                <w:szCs w:val="27"/>
                <w:color w:val="auto"/>
                <w:vertAlign w:val="superscript"/>
              </w:rPr>
              <w:t>(12)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17,784,477</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53.9%</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17,784,477</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660" w:hanging="544"/>
        <w:spacing w:after="0"/>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3" w:lineRule="exact"/>
        <w:rPr>
          <w:sz w:val="20"/>
          <w:szCs w:val="20"/>
          <w:color w:val="auto"/>
        </w:rPr>
      </w:pPr>
    </w:p>
    <w:p>
      <w:pPr>
        <w:ind w:left="660" w:right="60" w:hanging="544"/>
        <w:spacing w:after="0" w:line="220"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1,620,101 shares of common stock issuable upon conversion of Series Seed convertible preferred stock, (ii) 3,488,398 shares of common stock issuable upon conversion of Series A convertible preferred stock, (iii) 1,040,654 shares of common stock issuable upon conversion of Series B convertible preferred stock and (iv) 265,203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94022.</w:t>
      </w:r>
    </w:p>
    <w:p>
      <w:pPr>
        <w:spacing w:after="0" w:line="3" w:lineRule="exact"/>
        <w:rPr>
          <w:rFonts w:ascii="Arial" w:cs="Arial" w:eastAsia="Arial" w:hAnsi="Arial"/>
          <w:sz w:val="24"/>
          <w:szCs w:val="24"/>
          <w:color w:val="auto"/>
          <w:vertAlign w:val="superscript"/>
        </w:rPr>
      </w:pPr>
    </w:p>
    <w:p>
      <w:pPr>
        <w:ind w:left="660" w:right="40" w:hanging="544"/>
        <w:spacing w:after="0" w:line="223"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6,000,291 shares held by OrbiMed Private Investments V, LP, or OPI V, (ii) 114,039 shares held by OrbiMed Genesis Master Fund, L.P., or Genesis Master Fund and (iii) 266,093 shares held by The Biotech Growth Trust PLC, or Biotech Growth Trust. Dr. Peter Thompson is an employee of OrbiMed Advisors LLC, or OrbiMed Advisors, and a member of our board of directors. OrbiMed Capital GP V LLC, or OrbiMed GP V, is the general partner of OPI V and OrbiMed Advisors is the managing member of OrbiMed GP V. OrbiMed Genesis GP LLC, or Genesis GP, is the general partner of Genesis Master Fund and OrbiMed Advisors is the managing member of Genesis GP. By virtue of such relationships, OrbiMed GP V, Genesis GP and OrbiMed Advisors may be deemed to have voting and investment power over the securities held by OPI V, Genesis Master Fund and Biotech Growth Trust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and Genesis Master Fund. The address of OPI V, Genesis Master Fund and Biotech Growth Trust is c/o OrbiMed Advisors LLC, 601 Lexington Avenue, 54th Floor, New York, NY 10022.</w:t>
      </w:r>
    </w:p>
    <w:p>
      <w:pPr>
        <w:spacing w:after="0" w:line="4" w:lineRule="exact"/>
        <w:rPr>
          <w:rFonts w:ascii="Arial" w:cs="Arial" w:eastAsia="Arial" w:hAnsi="Arial"/>
          <w:sz w:val="24"/>
          <w:szCs w:val="24"/>
          <w:color w:val="auto"/>
          <w:vertAlign w:val="superscript"/>
        </w:rPr>
      </w:pPr>
    </w:p>
    <w:p>
      <w:pPr>
        <w:ind w:left="660" w:right="160" w:hanging="544"/>
        <w:spacing w:after="0"/>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(i) 693,769 shares held of record by Greenland A LLC, (ii) 751,409 shares held of record by Greenland FP LLC, (iii) 132,601 shares held of record by Greenland NFP LLC, and (iv) 2,601,637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60" w:hanging="544"/>
        <w:spacing w:after="0" w:line="185" w:lineRule="auto"/>
        <w:tabs>
          <w:tab w:leader="none" w:pos="66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Consists of 2,528,290 shares held by Nextech V Oncology S.C.S., SICAV-SIF. Dr. Thilo Schroeder is a Partner at Nextech Invest AG and in the Investment Committee of Nextech Invest AG, with significant influence over Nextech V</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60" w:right="80"/>
        <w:spacing w:after="0" w:line="244" w:lineRule="auto"/>
        <w:rPr>
          <w:sz w:val="20"/>
          <w:szCs w:val="20"/>
          <w:color w:val="auto"/>
        </w:rPr>
      </w:pPr>
      <w:r>
        <w:rPr>
          <w:rFonts w:ascii="Arial" w:cs="Arial" w:eastAsia="Arial" w:hAnsi="Arial"/>
          <w:sz w:val="14"/>
          <w:szCs w:val="14"/>
          <w:color w:val="auto"/>
        </w:rPr>
        <w:t>Oncology S.C.S., SICAV-SIF in terms of investment decisions, selling strategy of shares and voting power and as a result, may be deemed to have beneficial ownership over such securities. Nextech V GP S.à r.l. is the general partner of Nextech V Oncology S.C.S., SICAV-SIF. Dalia Bleyer, James Pledger and Thomas Lips are Managers of Nextech V GP S.à r.l. and each of Nextech V GP S.à r.l. and Messrs. Dalia Bleyer, James Pledger and Thomas Lips may be deemed to share voting and investment power with respect to the shares reported herein and disclaim beneficial ownership over such shares, except to the extent of their respective pecuniary interest therein, if any. The address of the entities listed herein is 8 rue Lou Hemmer L-1748 Senningerberg, Luxembourg.</w:t>
      </w:r>
    </w:p>
    <w:p>
      <w:pPr>
        <w:spacing w:after="0" w:line="2" w:lineRule="exact"/>
        <w:rPr>
          <w:sz w:val="20"/>
          <w:szCs w:val="20"/>
          <w:color w:val="auto"/>
        </w:rPr>
      </w:pPr>
    </w:p>
    <w:p>
      <w:pPr>
        <w:ind w:left="660" w:right="200" w:hanging="544"/>
        <w:spacing w:after="0" w:line="217"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2,086,284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address of the Opportunities Fund is c/o Viking Global Investors LP, 55 Railroad Avenue, Greenwich, Connecticut 06830.</w:t>
      </w:r>
    </w:p>
    <w:p>
      <w:pPr>
        <w:spacing w:after="0" w:line="2" w:lineRule="exact"/>
        <w:rPr>
          <w:rFonts w:ascii="Arial" w:cs="Arial" w:eastAsia="Arial" w:hAnsi="Arial"/>
          <w:sz w:val="24"/>
          <w:szCs w:val="24"/>
          <w:color w:val="auto"/>
          <w:vertAlign w:val="superscript"/>
        </w:rPr>
      </w:pPr>
    </w:p>
    <w:p>
      <w:pPr>
        <w:ind w:left="660" w:hanging="544"/>
        <w:spacing w:after="0" w:line="195"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(i) 227,915 shares of common stock held by The Mack-Mulligan Revocable Trust, of which Dr. David Mack is a co-trustee, (ii) 56,978 shares of common stock held by Mack/Mulligan 2020 Irrevocable Descendants’ Trust, of which Dr. Mack is a co-trustee and (iii) 1,161,601 shares of common stock issuable pursuant to options held directly by Dr. Mack, exercisable within 60 days of August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488,801 shares of common stock issuable pursuant to options held directly by Winston Kung, exercisable within 60 days of August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32,564 shares of common stock issuable pursuant to options held directly by Dr. Deepika Jalota, exercisable within 60 days of August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64,393 shares of common stock issuable pursuant to options held directly by Dr. Richard Heyman, exercisable within 60 days of August 31, 2020.</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427,342 shares of common stock held directly by Dr. Arnold Levine.</w:t>
      </w:r>
    </w:p>
    <w:p>
      <w:pPr>
        <w:ind w:left="660" w:hanging="544"/>
        <w:spacing w:after="0" w:line="187" w:lineRule="auto"/>
        <w:tabs>
          <w:tab w:leader="none" w:pos="660" w:val="left"/>
        </w:tabs>
        <w:numPr>
          <w:ilvl w:val="0"/>
          <w:numId w:val="106"/>
        </w:numPr>
        <w:rPr>
          <w:rFonts w:ascii="Arial" w:cs="Arial" w:eastAsia="Arial" w:hAnsi="Arial"/>
          <w:sz w:val="18"/>
          <w:szCs w:val="18"/>
          <w:color w:val="auto"/>
          <w:vertAlign w:val="superscript"/>
        </w:rPr>
      </w:pPr>
      <w:r>
        <w:rPr>
          <w:rFonts w:ascii="Arial" w:cs="Arial" w:eastAsia="Arial" w:hAnsi="Arial"/>
          <w:sz w:val="11"/>
          <w:szCs w:val="11"/>
          <w:color w:val="auto"/>
        </w:rPr>
        <w:t>Consists of 1,814 shares of common stock issuable pursuant to options held directly by Laurie Stelzer, exercisable within 60 days of August 31, 2020.</w:t>
      </w:r>
    </w:p>
    <w:p>
      <w:pPr>
        <w:ind w:left="660" w:right="460" w:hanging="544"/>
        <w:spacing w:after="0" w:line="185" w:lineRule="auto"/>
        <w:tabs>
          <w:tab w:leader="none" w:pos="66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Consists of (i) 16,035,304 shares beneficially owned by our current executive officers and directors as of August 31, 2020 and (ii) 1,749,173 shares subject to options, exercisable within 60 days of August 31, 2020, of which 1,518,532 are vested as of such date.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100" w:firstLine="551"/>
        <w:spacing w:after="0" w:line="262" w:lineRule="auto"/>
        <w:rPr>
          <w:sz w:val="20"/>
          <w:szCs w:val="20"/>
          <w:color w:val="auto"/>
        </w:rPr>
      </w:pPr>
      <w:r>
        <w:rPr>
          <w:rFonts w:ascii="Arial" w:cs="Arial" w:eastAsia="Arial" w:hAnsi="Arial"/>
          <w:sz w:val="17"/>
          <w:szCs w:val="17"/>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have been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Upon the filing of our amended and restated certificate of incorporation in connection with the completion of this offering, our authorized capital stock will consist of 1,000,000,000 shares of common stock, par value $0.00001 per share, and 5,000,000 shares of preferred stock, par value $0.00001 per share.</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Based on 3,046,200 shares of common stock outstanding as of June 30, 2020, and after giving effect to the conversion of all of our outstanding convertible preferred stock into an aggregate of 28,188,110 shares of common stock, including the shares issuable upon the conversion of our Series D convertible preferred stock issued and sold in July 2020, which will occur immediately prior to the completion of this offering and the issuance of 11,765,000 shares of common stock in this offering, there will be 42,999,310 shares of common stock outstanding upon the completion of this offering. Upon the closing of our Series D convertible preferred stock financing in July 2020, we had 37 stockholders of record.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As of June 30, 2020, we had outstanding options to purchase an aggregate of 3,922,612 shares of our common stock, with a weighted-average exercise price of $2.66 per share, under our 2013 Equity Incentive Plan, or 2013 Plan. After June 30, 2020, we issued options to purchase an aggregate of 149,472 shares of our common stock, with a weighted-average exercise price of $8.53 per share, under our 2013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10,800 shares of our Series Seed convertible preferred stock at $1.8518 per share. The warrant will be converted into a warrant to purchase an aggregate of 10,800 shares of our common stock, with an exercise price of $1.8518 per share, upon the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28,198,910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80" w:hanging="4"/>
        <w:spacing w:after="0" w:line="242" w:lineRule="auto"/>
        <w:tabs>
          <w:tab w:leader="none" w:pos="3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440" w:right="1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5,000,000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immediately prior to the completion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120" w:right="40" w:firstLine="551"/>
        <w:spacing w:after="0" w:line="306"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00"/>
          </w:cols>
          <w:pgMar w:left="320" w:top="455" w:right="5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our common stock has been approved for listing on the Nasdaq Global Select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Upon completion of this offering, based on our shares of common stock outstanding as of June 30, 2020 and after giving effect to the conversion of all of the 22,866,246 shares of our convertible preferred stock outstanding at June 30, 2020 and the conversion of all of our Series D convertible preferred stock issued and sold in July 2020 into 5,321,864 shares of common stock, 42,999,310 shares of our common stock will be outstanding, or 44,764,060 shares of common stock if the underwriters exercise their option to purchase additional 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ind w:left="120" w:right="80" w:firstLine="551"/>
        <w:spacing w:after="0" w:line="26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the shares of our common stock (excluding the shares sold in this offering) that will be deemed “restricted securities” will be available for sale in the public market following the completion of this offering as follows: 31,234,310 shares will be eligible for sale upon expiration of the lock-up agreements and market stand-off provisions described below, beginning more than 180 days after the date of this prospectus.</w:t>
      </w:r>
    </w:p>
    <w:p>
      <w:pPr>
        <w:spacing w:after="0" w:line="15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24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306" w:lineRule="auto"/>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1% of the number of shares of our capital stock then outstanding, which will equal 429,993 shares of common stock immediately after the completion of this offering, assuming no exercise by the underwriters of their option to purchase additional shares; or</w:t>
      </w:r>
    </w:p>
    <w:p>
      <w:pPr>
        <w:spacing w:after="0" w:line="28" w:lineRule="exact"/>
        <w:rPr>
          <w:rFonts w:ascii="Arial" w:cs="Arial" w:eastAsia="Arial" w:hAnsi="Arial"/>
          <w:sz w:val="17"/>
          <w:szCs w:val="17"/>
          <w:color w:val="auto"/>
        </w:rPr>
      </w:pPr>
    </w:p>
    <w:p>
      <w:pPr>
        <w:ind w:left="880" w:right="40" w:hanging="224"/>
        <w:spacing w:after="0" w:line="27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40"/>
          </w:cols>
          <w:pgMar w:left="320" w:top="455" w:right="6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60"/>
          </w:cols>
          <w:pgMar w:left="320" w:top="455" w:right="51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20"/>
          </w:cols>
          <w:pgMar w:left="320" w:top="455" w:right="6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9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4,000,100</w:t>
            </w:r>
          </w:p>
        </w:tc>
        <w:tc>
          <w:tcPr>
            <w:tcW w:w="60" w:type="dxa"/>
            <w:vAlign w:val="bottom"/>
            <w:shd w:val="clear" w:color="auto" w:fill="CCEEFF"/>
          </w:tcPr>
          <w:p>
            <w:pPr>
              <w:spacing w:after="0"/>
              <w:rPr>
                <w:sz w:val="16"/>
                <w:szCs w:val="16"/>
                <w:color w:val="auto"/>
              </w:rPr>
            </w:pP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2,823,600</w:t>
            </w: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2,588,300</w:t>
            </w:r>
          </w:p>
        </w:tc>
      </w:tr>
      <w:tr>
        <w:trPr>
          <w:trHeight w:val="209"/>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Evercore Group L.L.C.</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2,353,000</w:t>
            </w:r>
          </w:p>
        </w:tc>
        <w:tc>
          <w:tcPr>
            <w:tcW w:w="60" w:type="dxa"/>
            <w:vAlign w:val="bottom"/>
          </w:tcPr>
          <w:p>
            <w:pPr>
              <w:spacing w:after="0"/>
              <w:rPr>
                <w:sz w:val="18"/>
                <w:szCs w:val="18"/>
                <w:color w:val="auto"/>
              </w:rPr>
            </w:pPr>
          </w:p>
        </w:tc>
      </w:tr>
      <w:tr>
        <w:trPr>
          <w:trHeight w:val="203"/>
        </w:trPr>
        <w:tc>
          <w:tcPr>
            <w:tcW w:w="9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11,765,000</w:t>
            </w: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1,764,750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1,764,750 additional shares.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14,823,900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17,047,485</w:t>
            </w:r>
          </w:p>
        </w:tc>
      </w:tr>
    </w:tbl>
    <w:p>
      <w:pPr>
        <w:spacing w:after="0" w:line="153"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We estimate that our total out of pocket expenses for this offering, excluding the underwriting discounts and commissions, will be approximately $3.4 million. We have also agreed to reimburse the underwriters certain of their expenses in an amount up to $35,000.</w:t>
      </w:r>
    </w:p>
    <w:p>
      <w:pPr>
        <w:spacing w:after="0" w:line="123"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$0.756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considered in determining the initial public offering price of the shares, in addition to prevailing market conditions, was our historical performance, estimates of our business potential and earnings prospects, an assessment of our management and the consideration of the above factors in relation to market valuation of companies in related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5" w:right="49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representatives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45"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880" w:right="140" w:hanging="224"/>
        <w:spacing w:after="0" w:line="248"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5" w:right="4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5" w:right="49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8"/>
        </w:trPr>
        <w:tc>
          <w:tcPr>
            <w:tcW w:w="105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Balance Sheets as of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Statements of Operations and Comprehensive Loss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2"/>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Statements of Cash Flows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Notes to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26"/>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Condensed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Condensed Balance Sheets as of December 31, 2019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Condensed Statements of Operations and Comprehensive Loss for the Six Months Ended June 30, 2019 and 2020</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8"/>
        </w:trPr>
        <w:tc>
          <w:tcPr>
            <w:tcW w:w="10520" w:type="dxa"/>
            <w:vAlign w:val="bottom"/>
            <w:gridSpan w:val="5"/>
          </w:tcPr>
          <w:p>
            <w:pPr>
              <w:ind w:left="480"/>
              <w:spacing w:after="0" w:line="198" w:lineRule="exact"/>
              <w:rPr>
                <w:rFonts w:ascii="Arial" w:cs="Arial" w:eastAsia="Arial" w:hAnsi="Arial"/>
                <w:sz w:val="18"/>
                <w:szCs w:val="18"/>
                <w:color w:val="0000EE"/>
              </w:rPr>
            </w:pPr>
            <w:hyperlink w:anchor="page237">
              <w:r>
                <w:rPr>
                  <w:rFonts w:ascii="Arial" w:cs="Arial" w:eastAsia="Arial" w:hAnsi="Arial"/>
                  <w:sz w:val="18"/>
                  <w:szCs w:val="18"/>
                  <w:color w:val="0000EE"/>
                </w:rPr>
                <w:t>Condensed Statements of Convertible Preferred Stock and Stockholders’ (Deficit) Equity for the Six Months Ended June 30,</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237">
              <w:r>
                <w:rPr>
                  <w:rFonts w:ascii="Arial" w:cs="Arial" w:eastAsia="Arial" w:hAnsi="Arial"/>
                  <w:sz w:val="18"/>
                  <w:szCs w:val="18"/>
                  <w:color w:val="0000EE"/>
                  <w:w w:val="98"/>
                </w:rPr>
                <w:t>2019 and 2020</w:t>
              </w:r>
            </w:hyperlink>
          </w:p>
        </w:tc>
        <w:tc>
          <w:tcPr>
            <w:tcW w:w="8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spacing w:after="0"/>
              <w:rPr>
                <w:sz w:val="16"/>
                <w:szCs w:val="16"/>
                <w:color w:val="auto"/>
              </w:rPr>
            </w:pPr>
          </w:p>
        </w:tc>
        <w:tc>
          <w:tcPr>
            <w:tcW w:w="9860" w:type="dxa"/>
            <w:vAlign w:val="bottom"/>
            <w:gridSpan w:val="3"/>
          </w:tcPr>
          <w:p>
            <w:pPr>
              <w:spacing w:after="0" w:line="187" w:lineRule="exact"/>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Condensed Statements of Cash Flows for the Six Months Ended June 30, 2019 and 2020</w:t>
              </w:r>
            </w:hyperlink>
          </w:p>
        </w:tc>
        <w:tc>
          <w:tcPr>
            <w:tcW w:w="540" w:type="dxa"/>
            <w:vAlign w:val="bottom"/>
          </w:tcPr>
          <w:p>
            <w:pPr>
              <w:jc w:val="right"/>
              <w:spacing w:after="0" w:line="187"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Notes to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5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 except for the reverse stock split described in Note 2, as to which the date is September 21, 2020</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5" w:right="5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0"/>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24,690,889 and 33,250,829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3,012,284 and 3,046,200 shares issued and outstanding at December 31, 2018 and 2019,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1680" w:type="dxa"/>
            <w:vAlign w:val="bottom"/>
            <w:gridSpan w:val="3"/>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2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13,853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5,878</w:t>
            </w:r>
          </w:p>
        </w:tc>
      </w:tr>
      <w:tr>
        <w:trPr>
          <w:trHeight w:val="217"/>
        </w:trPr>
        <w:tc>
          <w:tcPr>
            <w:tcW w:w="82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1"/>
              <w:spacing w:after="0" w:line="202" w:lineRule="exact"/>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7"/>
        </w:trPr>
        <w:tc>
          <w:tcPr>
            <w:tcW w:w="8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1,293</w:t>
            </w:r>
          </w:p>
        </w:tc>
      </w:tr>
      <w:tr>
        <w:trPr>
          <w:trHeight w:val="210"/>
        </w:trPr>
        <w:tc>
          <w:tcPr>
            <w:tcW w:w="820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740" w:type="dxa"/>
            <w:vAlign w:val="bottom"/>
          </w:tcPr>
          <w:p>
            <w:pPr>
              <w:jc w:val="right"/>
              <w:ind w:right="6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01"/>
              <w:spacing w:after="0" w:line="196" w:lineRule="exact"/>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w w:val="99"/>
              </w:rPr>
              <w:t>3,012,284</w:t>
            </w:r>
          </w:p>
        </w:tc>
        <w:tc>
          <w:tcPr>
            <w:tcW w:w="100" w:type="dxa"/>
            <w:vAlign w:val="bottom"/>
          </w:tcPr>
          <w:p>
            <w:pPr>
              <w:spacing w:after="0"/>
              <w:rPr>
                <w:sz w:val="17"/>
                <w:szCs w:val="17"/>
                <w:color w:val="auto"/>
              </w:rPr>
            </w:pP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3,035,243</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r>
        <w:trPr>
          <w:trHeight w:val="243"/>
        </w:trPr>
        <w:tc>
          <w:tcPr>
            <w:tcW w:w="820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31,223,353</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9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10"/>
        </w:trPr>
        <w:tc>
          <w:tcPr>
            <w:tcW w:w="2360" w:type="dxa"/>
            <w:vAlign w:val="bottom"/>
            <w:vMerge w:val="restart"/>
          </w:tcPr>
          <w:p>
            <w:pPr>
              <w:spacing w:after="0"/>
              <w:rPr>
                <w:sz w:val="20"/>
                <w:szCs w:val="20"/>
                <w:color w:val="auto"/>
              </w:rPr>
            </w:pPr>
            <w:r>
              <w:rPr>
                <w:rFonts w:ascii="Arial" w:cs="Arial" w:eastAsia="Arial" w:hAnsi="Arial"/>
                <w:sz w:val="18"/>
                <w:szCs w:val="18"/>
                <w:color w:val="auto"/>
              </w:rPr>
              <w:t>Balances at December 31,</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2017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spacing w:after="0"/>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5,469,606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Pr>
          <w:p>
            <w:pPr>
              <w:jc w:val="right"/>
              <w:spacing w:after="0"/>
              <w:rPr>
                <w:sz w:val="20"/>
                <w:szCs w:val="20"/>
                <w:color w:val="auto"/>
              </w:rPr>
            </w:pPr>
            <w:r>
              <w:rPr>
                <w:rFonts w:ascii="Arial" w:cs="Arial" w:eastAsia="Arial" w:hAnsi="Arial"/>
                <w:sz w:val="18"/>
                <w:szCs w:val="18"/>
                <w:color w:val="auto"/>
              </w:rPr>
              <w:t>22,866,246</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0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33,916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3,046,200</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-3445510</wp:posOffset>
            </wp:positionV>
            <wp:extent cx="6995160" cy="3454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460"/>
            <w:col w:w="622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09"/>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which was effected on September 18, 2020. The par value of the common stock and convertible preferred stock were not adjusted as a result of the reverse stock split. Accordingly, all common stock, convertible preferred stock, stock options, and related per share amounts in these audited annual and unaudited interm financial statements have been retroactively adjusted for all periods presented to give effect to the reverse stock split.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300" w:firstLine="551"/>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jc w:val="both"/>
        <w:ind w:left="120" w:right="300" w:firstLine="551"/>
        <w:spacing w:after="0" w:line="277"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convertible preferred stock to its redemption value until it is probable that the security will become redeemable.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5" w:right="5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0"/>
        <w:spacing w:after="0" w:line="276" w:lineRule="auto"/>
        <w:rPr>
          <w:sz w:val="20"/>
          <w:szCs w:val="20"/>
          <w:color w:val="auto"/>
        </w:rPr>
      </w:pPr>
      <w:r>
        <w:rPr>
          <w:rFonts w:ascii="Arial" w:cs="Arial" w:eastAsia="Arial" w:hAnsi="Arial"/>
          <w:sz w:val="18"/>
          <w:szCs w:val="18"/>
          <w:color w:val="auto"/>
        </w:rPr>
        <w:t>recognized based on grant date fair value over the requisite service period using the accelerated attribution method to the extent achievement of the of performance condition is probable.</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76"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Basic net loss per share is computed using the “two-class” method which includes the weighted average number of shares of common stock outstanding during the period and other securities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accounting policy, the Company recognizes accrued interest and penalties related to unrecognized tax benefits as a component of income tax.</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Arial" w:cs="Arial" w:eastAsia="Arial" w:hAnsi="Arial"/>
          <w:sz w:val="18"/>
          <w:szCs w:val="18"/>
          <w:i w:val="1"/>
          <w:iCs w:val="1"/>
          <w:color w:val="auto"/>
        </w:rPr>
        <w:t>Revenue from Contracts with Customers (Topic 606) and Leases (Topic 842):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Dates for Certain Entities, </w:t>
      </w:r>
      <w:r>
        <w:rPr>
          <w:rFonts w:ascii="Arial" w:cs="Arial" w:eastAsia="Arial" w:hAnsi="Arial"/>
          <w:sz w:val="18"/>
          <w:szCs w:val="18"/>
          <w:color w:val="auto"/>
        </w:rPr>
        <w:t>which requires nonpublic entities to adopt the provisions of ASU 2016-02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for interim periods within fiscal years beginning after December 15, 2022.</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2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5" w:right="49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 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At December 31, 2019, the Company had an aggregate of 22,866,246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 Series B Preferred and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$1.8517, $3.7266, $9.6093 and $11.3121,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2018 and 2019, there were 3,012,284 and 3,046,200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697,042</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1,530,523</w:t>
            </w:r>
          </w:p>
        </w:tc>
      </w:tr>
      <w:tr>
        <w:trPr>
          <w:trHeight w:val="27"/>
        </w:trPr>
        <w:tc>
          <w:tcPr>
            <w:tcW w:w="8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20,790,097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27,175,437</w:t>
            </w:r>
          </w:p>
        </w:tc>
      </w:tr>
      <w:tr>
        <w:trPr>
          <w:trHeight w:val="20"/>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2013, the Company adopted the 2013 Stock Plan (the “Plan”). As of December 31, 2019, there were 4,437,507 shares of common stock authorized and 1,530,523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Available</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 Grant</w:t>
            </w: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1,224,846</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2,157,811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(800,643)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800,643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272,839</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(272,839)</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697,042</w:t>
            </w:r>
          </w:p>
        </w:tc>
        <w:tc>
          <w:tcPr>
            <w:tcW w:w="5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2,685,615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249,758</w:t>
            </w:r>
          </w:p>
        </w:tc>
        <w:tc>
          <w:tcPr>
            <w:tcW w:w="460" w:type="dxa"/>
            <w:vAlign w:val="bottom"/>
          </w:tcPr>
          <w:p>
            <w:pPr>
              <w:spacing w:after="0"/>
              <w:rPr>
                <w:sz w:val="17"/>
                <w:szCs w:val="17"/>
                <w:color w:val="auto"/>
              </w:rPr>
            </w:pP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3.53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3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(133,589)</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(33,916)</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1,530,523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2,767,868</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5"/>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$3.21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$3.53</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2"/>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gridSpan w:val="4"/>
          </w:tcPr>
          <w:p>
            <w:pPr>
              <w:ind w:left="100"/>
              <w:spacing w:after="0" w:line="141"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top w:val="single" w:sz="8" w:color="auto"/>
            </w:tcBorders>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0" w:type="dxa"/>
            <w:vAlign w:val="bottom"/>
          </w:tcPr>
          <w:p>
            <w:pPr>
              <w:spacing w:after="0"/>
              <w:rPr>
                <w:sz w:val="17"/>
                <w:szCs w:val="17"/>
                <w:color w:val="auto"/>
              </w:rPr>
            </w:pPr>
          </w:p>
        </w:tc>
        <w:tc>
          <w:tcPr>
            <w:tcW w:w="13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20,093,055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25,644,914</w:t>
            </w:r>
          </w:p>
        </w:tc>
        <w:tc>
          <w:tcPr>
            <w:tcW w:w="8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8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Years Ended</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8260" w:type="dxa"/>
            <w:vAlign w:val="bottom"/>
          </w:tcPr>
          <w:p>
            <w:pPr>
              <w:spacing w:after="0"/>
              <w:rPr>
                <w:sz w:val="12"/>
                <w:szCs w:val="12"/>
                <w:color w:val="auto"/>
              </w:rPr>
            </w:pPr>
          </w:p>
        </w:tc>
        <w:tc>
          <w:tcPr>
            <w:tcW w:w="1500" w:type="dxa"/>
            <w:vAlign w:val="bottom"/>
            <w:gridSpan w:val="6"/>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gridSpan w:val="2"/>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7"/>
                <w:szCs w:val="17"/>
                <w:color w:val="auto"/>
              </w:rPr>
            </w:pPr>
          </w:p>
        </w:tc>
        <w:tc>
          <w:tcPr>
            <w:tcW w:w="12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w w:val="99"/>
              </w:rPr>
              <w:t>3,012,284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3,035,243</w:t>
            </w:r>
          </w:p>
        </w:tc>
        <w:tc>
          <w:tcPr>
            <w:tcW w:w="80" w:type="dxa"/>
            <w:vAlign w:val="bottom"/>
          </w:tcPr>
          <w:p>
            <w:pPr>
              <w:spacing w:after="0"/>
              <w:rPr>
                <w:sz w:val="17"/>
                <w:szCs w:val="17"/>
                <w:color w:val="auto"/>
              </w:rPr>
            </w:pPr>
          </w:p>
        </w:tc>
      </w:tr>
      <w:tr>
        <w:trPr>
          <w:trHeight w:val="27"/>
        </w:trPr>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(8.35)</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shares of common stock as if such conversion had occurred at January 1, 2019, inclusive of 5,321,864 shares of Series D convertible preferred stock issued in July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3,035,243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31,223,353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 In connection with the reissuance of these financial statements to reflect the 5.2651-for-1 reverse stock split as described in Note 2, the Company has evaluated subsequent events through September 21, 2020, the date the audited financial statements were available to be reissued.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7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73,278</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78,051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8,085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8,085</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651</w:t>
            </w:r>
          </w:p>
        </w:tc>
      </w:tr>
      <w:tr>
        <w:trPr>
          <w:trHeight w:val="210"/>
        </w:trPr>
        <w:tc>
          <w:tcPr>
            <w:tcW w:w="7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2,837</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2,146</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2,907</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8"/>
                <w:szCs w:val="18"/>
                <w:color w:val="auto"/>
              </w:rPr>
              <w:t>Convertible preferred stock, accumulated liquidation value of $169,385, $169,385, and $0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at December 31, 2019, June 30, 2020 (unaudited), and pro forma June 30,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(unaudited), respectively (see Note 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32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33,250,829, 33,250,829, and 1,000,000,000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2"/>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shares authorized; 3,046,200, 3,046,200, and 31,234,310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outstanding at December 31, 2019, June 30, 2020 (unaudited), and pro forma June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30, 2020 (unaudited),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244,551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(90,661)</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7"/>
        </w:trPr>
        <w:tc>
          <w:tcPr>
            <w:tcW w:w="73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(85,008)</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153,895</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103,033</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89,102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159,042</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6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6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3,979</w:t>
            </w:r>
          </w:p>
        </w:tc>
      </w:tr>
      <w:tr>
        <w:trPr>
          <w:trHeight w:val="216"/>
        </w:trPr>
        <w:tc>
          <w:tcPr>
            <w:tcW w:w="6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(15,739)</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10"/>
        </w:trPr>
        <w:tc>
          <w:tcPr>
            <w:tcW w:w="668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 — basic and diluted</w:t>
            </w:r>
          </w:p>
        </w:tc>
        <w:tc>
          <w:tcPr>
            <w:tcW w:w="1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(5.00)</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7"/>
              </w:rPr>
              <w:t>3,024,097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3,046,200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 - basic and diluted</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(0.49)</w:t>
            </w:r>
          </w:p>
        </w:tc>
      </w:tr>
      <w:tr>
        <w:trPr>
          <w:trHeight w:val="243"/>
        </w:trPr>
        <w:tc>
          <w:tcPr>
            <w:tcW w:w="668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31,234,310</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Borders>
              <w:right w:val="single" w:sz="8" w:color="auto"/>
            </w:tcBorders>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080" w:type="dxa"/>
            <w:vAlign w:val="bottom"/>
            <w:tcBorders>
              <w:right w:val="single" w:sz="8" w:color="auto"/>
            </w:tcBorders>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2080" w:type="dxa"/>
            <w:vAlign w:val="bottom"/>
            <w:tcBorders>
              <w:right w:val="single" w:sz="8" w:color="auto"/>
            </w:tcBorders>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3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2080" w:type="dxa"/>
            <w:vAlign w:val="bottom"/>
            <w:tcBorders>
              <w:right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6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60"/>
        </w:trPr>
        <w:tc>
          <w:tcPr>
            <w:tcW w:w="23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color w:val="auto"/>
              </w:rPr>
              <w:t>Balance at December 31,</w:t>
            </w: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17,396,640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107,228</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3,012,284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Exercise of stock options</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33,916</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(12,129)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17,396,640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107,228</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Balance at December 31,</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22,866,246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Stock-based compensation</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180"/>
        </w:trPr>
        <w:tc>
          <w:tcPr>
            <w:tcW w:w="2300" w:type="dxa"/>
            <w:vAlign w:val="bottom"/>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180"/>
              <w:spacing w:after="0"/>
              <w:rPr>
                <w:sz w:val="20"/>
                <w:szCs w:val="20"/>
                <w:color w:val="auto"/>
              </w:rPr>
            </w:pPr>
            <w:r>
              <w:rPr>
                <w:rFonts w:ascii="Arial" w:cs="Arial" w:eastAsia="Arial" w:hAnsi="Arial"/>
                <w:sz w:val="18"/>
                <w:szCs w:val="18"/>
                <w:color w:val="auto"/>
              </w:rPr>
              <w:t>investments (unaudited)</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5,648</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(90,661)</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Issuance of Series D</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Stock (unaudited)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5,321,864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69,970</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Conversion of convertible</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into</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28,188,110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(238,903)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28,188,110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238,903</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238,903</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Pro forma balance at</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June 30, 2020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31,234,310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244,551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(90,661)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153,895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36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(12,129)</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(1,205)</w:t>
            </w:r>
          </w:p>
        </w:tc>
      </w:tr>
      <w:tr>
        <w:trPr>
          <w:trHeight w:val="210"/>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(14,618)</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34,600</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4,773</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Unpaid offering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2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660" w:right="7200" w:hanging="544"/>
        <w:spacing w:after="0" w:line="360" w:lineRule="auto"/>
        <w:tabs>
          <w:tab w:leader="none" w:pos="309" w:val="left"/>
        </w:tabs>
        <w:numPr>
          <w:ilvl w:val="0"/>
          <w:numId w:val="1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Formation and Business of the Company Organization</w:t>
      </w:r>
    </w:p>
    <w:p>
      <w:pPr>
        <w:ind w:left="120" w:right="18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six months ended June 30, 2020, the Company incurred a net loss of $15,221 and used $15,034 of cash for operations. At June 30, 2020, the Company had accumulated deficit of $90,661. Cash, cash equivalents and short-term marketable securities at June 30, 2020 were $86,136.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0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2019, included elsewhere in this prospectus. Since the date of those financial statements, there have been no changes to its significant accounting policies except as noted below.</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The unaudited interim condensed financial statements have been prepared on the same basis as the audited financial statements. In the opinion of the Company’s management, the accompanying unaudited interim consolidated financial statements contain all adjustments that are necessary to present fairly the Company’s financial position as of June 30, 2020, the results of its operations and other comprehensive loss for the six months ended June 30, 2020 and 2019, convertible preferred stock and stockholders’ deficit for the six months ended June 30, 2020 and 2019 and cash flows for the six months ended June 30, 2020 and 2019. Such adjustments are of a normal and recurring nature. The results for the six months ended June 30, 2020 are not necessarily indicative of the results for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5" w:right="5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year ending December 31, 2020, or for any future period. These interim financial statements should be read in conjunction with the audited financial statements as of and for the year ended December 31, 2019, and the notes thereto, which are included elsewhere in this prospectus.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interm financial statements have been retroactively adjusted for all periods presented to give effect to the reverse stock split.</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six-months ended June 30, 2019 and 2020, the Company recorded $35 and $147 of amortization, respectively.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Company recorded $16 and $8 in other comprehensive income related to unrealized gains on marketable securities, net of tax for the six-months ended June 30, 2019 and 2020,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2020, inclusive of 5,321,864 shares of common stock issuable upon the conversion of the Company’s Series D convertible preferred stock (“Series D Preferred Stock”) issued in July 2020.</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Upon the closing of the Company’s qualified initial public offering (see Note 6), all of the outstanding shares of convertible preferred stock will automatically convert into shares of common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3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color w:val="auto"/>
        </w:rPr>
        <w:t>stock. The unaudited pro forma condensed balance sheet and the unaudited pro forma condensed statements of convertible preferred stock and stockholders’ (deficit) equity give pro forma effect to the issuance and sale in July 2020 of an aggregate of 5,321,864 shares of the Company’s Series D Preferred Stock for gross proceeds of $70,000 and the conversion of all issued and outstanding shares of convertible preferred stock as of June 30, 2020 into shares of common stock, inclusive of 5,321,864 shares of common stock issuable upon the conversion of the Company’s Series D Preferred Stock issued in July 2020. The shares of common stock expected to be issued and the proceeds expected to be received in the initial public offering (“IPO”) are excluded from such pro forma financial information.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Company capitalizes incremental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from the offering. If the Company terminates its plan for an IPO, any costs deferred will be expensed immediately. As of June 30, 2020, deferred offering costs were $1,475.</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0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beginning after December 15, 2021, and interim periods within fiscal years beginning after December 15, 2022 for all non-public entities, with early adoption permitted. The Company is currently assessing the impact that adopting this standard will have on its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equivalents. The Company’s marketable debt securities are carried at fair value with unrealized gains and losses. Any investments with unrealized losses are considered to be temporarily impaired.</w:t>
      </w:r>
    </w:p>
    <w:p>
      <w:pPr>
        <w:spacing w:after="0" w:line="145"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2019 and June 30, 2020:</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center"/>
              <w:ind w:right="880"/>
              <w:spacing w:after="0"/>
              <w:rPr>
                <w:sz w:val="20"/>
                <w:szCs w:val="20"/>
                <w:color w:val="auto"/>
              </w:rPr>
            </w:pPr>
            <w:r>
              <w:rPr>
                <w:rFonts w:ascii="Arial" w:cs="Arial" w:eastAsia="Arial" w:hAnsi="Arial"/>
                <w:sz w:val="14"/>
                <w:szCs w:val="14"/>
                <w:b w:val="1"/>
                <w:bCs w:val="1"/>
                <w:color w:val="auto"/>
              </w:rPr>
              <w:t>As of June 30, 2020 (unaudited)</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Quoted priced in</w:t>
            </w:r>
          </w:p>
        </w:tc>
        <w:tc>
          <w:tcPr>
            <w:tcW w:w="60" w:type="dxa"/>
            <w:vAlign w:val="bottom"/>
          </w:tcPr>
          <w:p>
            <w:pPr>
              <w:spacing w:after="0"/>
              <w:rPr>
                <w:sz w:val="12"/>
                <w:szCs w:val="12"/>
                <w:color w:val="auto"/>
              </w:rPr>
            </w:pPr>
          </w:p>
        </w:tc>
        <w:tc>
          <w:tcPr>
            <w:tcW w:w="14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48,657</w:t>
            </w:r>
          </w:p>
        </w:tc>
        <w:tc>
          <w:tcPr>
            <w:tcW w:w="126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48,657</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48,657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32,081</w:t>
            </w:r>
          </w:p>
        </w:tc>
        <w:tc>
          <w:tcPr>
            <w:tcW w:w="126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32,086</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32,086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80,738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$ 80,743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Quoted Priced in</w:t>
            </w:r>
          </w:p>
        </w:tc>
        <w:tc>
          <w:tcPr>
            <w:tcW w:w="148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1,680</w:t>
            </w:r>
          </w:p>
        </w:tc>
        <w:tc>
          <w:tcPr>
            <w:tcW w:w="10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97,819</w:t>
            </w:r>
          </w:p>
        </w:tc>
        <w:tc>
          <w:tcPr>
            <w:tcW w:w="10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99,499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75"/>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40" w:firstLine="523"/>
        <w:spacing w:after="0" w:line="24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Cash equivalents of $71.3 million as of December 31, 2019 consisted of money market funds of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corporate debt securities of $69.6 million. Cash equivalents of $72.7 million as of June 30, 2020 consisted of money market funds of $48.7 million and corporate debt securities of $24.0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380" w:firstLine="523"/>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$28.2 million and $8.1 million as of December 31, 2019 and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June 30,</w:t>
            </w:r>
          </w:p>
        </w:tc>
      </w:t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5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9"/>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w:t>
            </w:r>
          </w:p>
        </w:tc>
      </w:tr>
      <w:tr>
        <w:trPr>
          <w:trHeight w:val="27"/>
        </w:trPr>
        <w:tc>
          <w:tcPr>
            <w:tcW w:w="5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1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
        </w:trPr>
        <w:tc>
          <w:tcPr>
            <w:tcW w:w="5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six months ended June 30, 2019 and 2020 was $186 and $182,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 services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Convertible Preferred Stock</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As of June 30, 2020, the Company had an aggregate of 22,866,246 shares of Series Seed Preferred, Series A Preferred, Series B Preferred and Series C Preferred, (collectively, “Preferred Stock”) issued and outstanding.</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June 30, 2020, the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June 30,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jc w:val="both"/>
        <w:ind w:left="660" w:right="260" w:firstLine="523"/>
        <w:spacing w:after="0" w:line="248"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line="245" w:lineRule="auto"/>
        <w:rPr>
          <w:sz w:val="20"/>
          <w:szCs w:val="20"/>
          <w:color w:val="auto"/>
        </w:rPr>
      </w:pPr>
      <w:r>
        <w:rPr>
          <w:rFonts w:ascii="Arial" w:cs="Arial" w:eastAsia="Arial" w:hAnsi="Arial"/>
          <w:sz w:val="18"/>
          <w:szCs w:val="18"/>
          <w:color w:val="auto"/>
        </w:rPr>
        <w:t>Series B Preferred and $ 11.3121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64"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June 30, 2020, the conversion price for each share of Series Seed Preferred, Series A Preferred, Series B Preferred and Series C Preferred is $1.8517, $3.7266, $9.6093 and $11.3121, respectively.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4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right="20" w:firstLine="523"/>
        <w:spacing w:after="0" w:line="245"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240"/>
        <w:spacing w:after="0" w:line="276" w:lineRule="auto"/>
        <w:rPr>
          <w:sz w:val="20"/>
          <w:szCs w:val="20"/>
          <w:color w:val="auto"/>
        </w:rPr>
      </w:pPr>
      <w:r>
        <w:rPr>
          <w:rFonts w:ascii="Arial" w:cs="Arial" w:eastAsia="Arial" w:hAnsi="Arial"/>
          <w:sz w:val="18"/>
          <w:szCs w:val="18"/>
          <w:color w:val="auto"/>
        </w:rPr>
        <w:t>other actions that would alter the rights, preferences, and privileges of Preferred Stock or effect liquidation, dissolution or winding up of the Company.</w:t>
      </w:r>
    </w:p>
    <w:p>
      <w:pPr>
        <w:spacing w:after="0" w:line="37"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10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Common Stock</w:t>
      </w:r>
    </w:p>
    <w:p>
      <w:pPr>
        <w:spacing w:after="0" w:line="10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2019 and June 30, 2020, there were 3,046,200 and 3,046,200 shares issued and outstanding, respectively.</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June 30, 2020,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June 30, 2020,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4480" w:type="dxa"/>
            <w:vAlign w:val="bottom"/>
          </w:tcPr>
          <w:p>
            <w:pPr>
              <w:spacing w:after="0"/>
              <w:rPr>
                <w:sz w:val="15"/>
                <w:szCs w:val="15"/>
                <w:color w:val="auto"/>
              </w:rPr>
            </w:pPr>
          </w:p>
        </w:tc>
        <w:tc>
          <w:tcPr>
            <w:tcW w:w="512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4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5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2,767,868</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and outstanding</w:t>
            </w:r>
          </w:p>
        </w:tc>
        <w:tc>
          <w:tcPr>
            <w:tcW w:w="5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40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1,530,523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375,711</w:t>
            </w:r>
          </w:p>
        </w:tc>
        <w:tc>
          <w:tcPr>
            <w:tcW w:w="80" w:type="dxa"/>
            <w:vAlign w:val="bottom"/>
          </w:tcPr>
          <w:p>
            <w:pPr>
              <w:spacing w:after="0"/>
              <w:rPr>
                <w:sz w:val="17"/>
                <w:szCs w:val="17"/>
                <w:color w:val="auto"/>
              </w:rPr>
            </w:pP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27,175,437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27,175,369</w:t>
            </w:r>
          </w:p>
        </w:tc>
      </w:tr>
      <w:tr>
        <w:trPr>
          <w:trHeight w:val="20"/>
        </w:trPr>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2"/>
        </w:trPr>
        <w:tc>
          <w:tcPr>
            <w:tcW w:w="4480" w:type="dxa"/>
            <w:vAlign w:val="bottom"/>
          </w:tcPr>
          <w:p>
            <w:pPr>
              <w:spacing w:after="0"/>
              <w:rPr>
                <w:sz w:val="24"/>
                <w:szCs w:val="24"/>
                <w:color w:val="auto"/>
              </w:rPr>
            </w:pPr>
          </w:p>
        </w:tc>
        <w:tc>
          <w:tcPr>
            <w:tcW w:w="5280" w:type="dxa"/>
            <w:vAlign w:val="bottom"/>
            <w:gridSpan w:val="3"/>
          </w:tcPr>
          <w:p>
            <w:pPr>
              <w:jc w:val="right"/>
              <w:ind w:right="4080"/>
              <w:spacing w:after="0"/>
              <w:rPr>
                <w:sz w:val="20"/>
                <w:szCs w:val="20"/>
                <w:color w:val="auto"/>
              </w:rPr>
            </w:pPr>
            <w:r>
              <w:rPr>
                <w:rFonts w:ascii="Arial" w:cs="Arial" w:eastAsia="Arial" w:hAnsi="Arial"/>
                <w:sz w:val="18"/>
                <w:szCs w:val="18"/>
                <w:color w:val="auto"/>
              </w:rPr>
              <w:t>F-38</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Stock Plan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2013, the Company adopted the 2013 Stock Plan (the “Plan”). As of June 30, 2020, there were 4,437,507 shares of common stock authorized and 375,711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5" w:right="49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Available</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697,042</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2,685,615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1"/>
              </w:rPr>
              <w:t>2.00</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249,758</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3.53</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(133,589)</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2.95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(33,916)</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3.00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1,530,523</w:t>
            </w: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2,767,868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1"/>
              </w:rPr>
              <w:t>2.05</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(1,191,563)</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1,191,563</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4.00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36,751</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(36,819)</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1.37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June 30, 2020 (unaudited)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375,711</w:t>
            </w: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3,922,612</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2.66</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2020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Vested (unaudited)</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2,140,224</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1.79</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6.27</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Exercisable (unaudited)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2,324,779</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1.90</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6.36</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aggregate intrinsic value of options vested and expected to vest and exercisable as of June 30, 2020 is calculated based on the difference between the exercise price and the current fair value of our common stock. The intrinsic value of options exercised in 2019 was $20. There were no stock option exercises in 2020.</w:t>
      </w:r>
    </w:p>
    <w:p>
      <w:pPr>
        <w:spacing w:after="0" w:line="16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At June 30, 2020, the total compensation cost related to nonvested awards not yet recognized is $3,694. The weighted-average period over which the nonvested awards is expected to be recognized is 2.9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Stock options granted generally vest over two to four years. The unrecognized compensation cost as of June 30, 2020 is expected to be recognized over a weighted-average amortization period of 2.9 years. No income tax benefits have been recognized relating to stock-based compensation expenses and no tax benefits have been realized from exercised stock options.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5"/>
                <w:szCs w:val="15"/>
                <w:color w:val="auto"/>
              </w:rPr>
            </w:pPr>
          </w:p>
        </w:tc>
      </w:tr>
      <w:tr>
        <w:trPr>
          <w:trHeight w:val="140"/>
        </w:trPr>
        <w:tc>
          <w:tcPr>
            <w:tcW w:w="7160" w:type="dxa"/>
            <w:vAlign w:val="bottom"/>
          </w:tcPr>
          <w:p>
            <w:pPr>
              <w:spacing w:after="0"/>
              <w:rPr>
                <w:sz w:val="12"/>
                <w:szCs w:val="12"/>
                <w:color w:val="auto"/>
              </w:rPr>
            </w:pPr>
          </w:p>
        </w:tc>
        <w:tc>
          <w:tcPr>
            <w:tcW w:w="1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June 30, 2020</w:t>
            </w:r>
          </w:p>
        </w:tc>
      </w:tr>
      <w:tr>
        <w:trPr>
          <w:trHeight w:val="177"/>
        </w:trPr>
        <w:tc>
          <w:tcPr>
            <w:tcW w:w="7160" w:type="dxa"/>
            <w:vAlign w:val="bottom"/>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 average grant-date fair value of common stock</w:t>
            </w:r>
          </w:p>
        </w:tc>
        <w:tc>
          <w:tcPr>
            <w:tcW w:w="1860" w:type="dxa"/>
            <w:vAlign w:val="bottom"/>
            <w:tcBorders>
              <w:top w:val="single" w:sz="8" w:color="auto"/>
            </w:tcBorders>
            <w:gridSpan w:val="2"/>
            <w:shd w:val="clear" w:color="auto" w:fill="CCEEFF"/>
          </w:tcPr>
          <w:p>
            <w:pPr>
              <w:jc w:val="right"/>
              <w:ind w:right="615"/>
              <w:spacing w:after="0" w:line="196" w:lineRule="exact"/>
              <w:rPr>
                <w:sz w:val="20"/>
                <w:szCs w:val="20"/>
                <w:color w:val="auto"/>
              </w:rPr>
            </w:pPr>
            <w:r>
              <w:rPr>
                <w:rFonts w:ascii="Arial" w:cs="Arial" w:eastAsia="Arial" w:hAnsi="Arial"/>
                <w:sz w:val="18"/>
                <w:szCs w:val="18"/>
                <w:color w:val="auto"/>
              </w:rPr>
              <w:t>$3.53</w:t>
            </w:r>
          </w:p>
        </w:tc>
        <w:tc>
          <w:tcPr>
            <w:tcW w:w="1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$4.00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2.51%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1.51%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6.40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15"/>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72.64%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73.85%</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37"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nor in the six-month period ended June 30, 2020 for this option grant. The unrecognized compensation cost associated with this award was $305, a portion of which will be cumulatively caught-up upon achievement of the liquidity event.</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41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62"/>
        </w:trPr>
        <w:tc>
          <w:tcPr>
            <w:tcW w:w="4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4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r>
      <w:tr>
        <w:trPr>
          <w:trHeight w:val="203"/>
        </w:trPr>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w:t>
            </w:r>
          </w:p>
        </w:tc>
      </w:tr>
      <w:tr>
        <w:trPr>
          <w:trHeight w:val="20"/>
        </w:trPr>
        <w:tc>
          <w:tcPr>
            <w:tcW w:w="4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4480" w:type="dxa"/>
            <w:vAlign w:val="bottom"/>
            <w:gridSpan w:val="2"/>
          </w:tcPr>
          <w:p>
            <w:pPr>
              <w:jc w:val="right"/>
              <w:ind w:right="2836"/>
              <w:spacing w:after="0"/>
              <w:rPr>
                <w:sz w:val="20"/>
                <w:szCs w:val="20"/>
                <w:color w:val="auto"/>
              </w:rPr>
            </w:pPr>
            <w:r>
              <w:rPr>
                <w:rFonts w:ascii="Arial" w:cs="Arial" w:eastAsia="Arial" w:hAnsi="Arial"/>
                <w:sz w:val="18"/>
                <w:szCs w:val="18"/>
                <w:color w:val="auto"/>
              </w:rPr>
              <w:t>F-41</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During the six months ended June 30, 2019 and 2020, the Company recorded a full valuation allowance on federal and state deferred tax assets since management does not forecast the Company to be in a taxable position in the near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Net Loss per Share and Unaudited Pro Forma Net Loss Per Share</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80" w:type="dxa"/>
            <w:vAlign w:val="bottom"/>
          </w:tcPr>
          <w:p>
            <w:pPr>
              <w:spacing w:after="0"/>
              <w:rPr>
                <w:sz w:val="15"/>
                <w:szCs w:val="15"/>
                <w:color w:val="auto"/>
              </w:rPr>
            </w:pPr>
          </w:p>
        </w:tc>
        <w:tc>
          <w:tcPr>
            <w:tcW w:w="2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80" w:type="dxa"/>
            <w:vAlign w:val="bottom"/>
          </w:tcPr>
          <w:p>
            <w:pPr>
              <w:spacing w:after="0"/>
              <w:rPr>
                <w:sz w:val="12"/>
                <w:szCs w:val="12"/>
                <w:color w:val="auto"/>
              </w:rPr>
            </w:pPr>
          </w:p>
        </w:tc>
        <w:tc>
          <w:tcPr>
            <w:tcW w:w="1280" w:type="dxa"/>
            <w:vAlign w:val="bottom"/>
            <w:tcBorders>
              <w:top w:val="single" w:sz="8" w:color="auto"/>
            </w:tcBorders>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9"/>
              </w:rPr>
              <w:t>June 30,</w:t>
            </w:r>
          </w:p>
        </w:tc>
        <w:tc>
          <w:tcPr>
            <w:tcW w:w="11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r>
      <w:tr>
        <w:trPr>
          <w:trHeight w:val="162"/>
        </w:trPr>
        <w:tc>
          <w:tcPr>
            <w:tcW w:w="8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8480" w:type="dxa"/>
            <w:vAlign w:val="bottom"/>
          </w:tcPr>
          <w:p>
            <w:pPr>
              <w:spacing w:after="0"/>
              <w:rPr>
                <w:sz w:val="15"/>
                <w:szCs w:val="15"/>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2,698,543</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20,105,983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26,799,658</w:t>
            </w:r>
          </w:p>
        </w:tc>
        <w:tc>
          <w:tcPr>
            <w:tcW w:w="8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Company’s convertible preferred stock nor restricted stock subject to future vesting participates in losses.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9"/>
              </w:rPr>
              <w:t>June 30,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7"/>
              <w:spacing w:after="0" w:line="14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84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842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3,024,097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3,046,200</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w:t>
            </w:r>
          </w:p>
        </w:tc>
      </w:tr>
    </w:tbl>
    <w:p>
      <w:pPr>
        <w:spacing w:after="0" w:line="193"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7"/>
          <w:szCs w:val="17"/>
          <w:color w:val="auto"/>
        </w:rPr>
        <w:t>The unaudited pro forma basic and diluted net loss per share of common stock has been prepared to give effect to the conversion of all outstanding shares of convertible preferred stock into shares of common stock as if such conversion had occurred at January 1, 2020, inclusive of 5,321,864 shares of common stock issuable upon the conversion of Series D Preferred Stock issued in July 2020.</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9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3,046,200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31,234,310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368"/>
        </w:trPr>
        <w:tc>
          <w:tcPr>
            <w:tcW w:w="9880" w:type="dxa"/>
            <w:vAlign w:val="bottom"/>
          </w:tcPr>
          <w:p>
            <w:pPr>
              <w:ind w:left="532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04"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Company has a consulting agreement with a member of the Board of Directors. Consulting fees paid in the six months ended June 30, 2019 and 2020 was $50 and $56, respectively. There were no amounts owed under the consulting agreement at December 31, 2019 or June 30,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10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Subsequent events have been evaluated through July 31, 2020, which is the date the financial statements were issued. In connection with the reissuance of these unaudited interim financial statements to reflect the 5.2651-for-1 reverse stock split as described in Note 2, the Company has evaluated subsequent events through September 21, 2020, the date the unaudited interim financial statements were available to be reissued.</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July 2020, the Company issued 5,321,864 shares of Series D Preferred Stock at a price of $13.1533 per share, resulting in gross proceeds of $70,000. In July 2020, the Company amended its certificate of incorporation such that it is now authorized to issue 66,516,771 shares of capital stock, including 38,317,839 shares of common stock, 1,657,903 shares of Series Seed Preferred Stock, 8,076,985 shares of Series A Preferred Stock, 7,672,560 shares of Series B Preferred Stock, 5,469,611 shares of Series C Preferred Stock and 5,321,870 shares of Series D Preferred Stock.</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11,765,000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2" w:lineRule="auto"/>
        <w:rPr>
          <w:sz w:val="20"/>
          <w:szCs w:val="20"/>
          <w:color w:val="auto"/>
        </w:rPr>
      </w:pPr>
      <w:r>
        <w:rPr>
          <w:rFonts w:ascii="Arial" w:cs="Arial" w:eastAsia="Arial" w:hAnsi="Arial"/>
          <w:sz w:val="18"/>
          <w:szCs w:val="18"/>
          <w:b w:val="1"/>
          <w:bCs w:val="1"/>
          <w:color w:val="auto"/>
        </w:rPr>
        <w:t>Through and including October 19,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389890</wp:posOffset>
            </wp:positionV>
            <wp:extent cx="6995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449580</wp:posOffset>
            </wp:positionV>
            <wp:extent cx="699516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020"/>
      </w:cols>
      <w:pgMar w:left="320" w:top="45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1)"/>
      <w:numFmt w:val="decimal"/>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1)"/>
      <w:numFmt w:val="lowerRoman"/>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
      <w:numFmt w:val="bullet"/>
      <w:start w:val="1"/>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
      <w:numFmt w:val="bullet"/>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1)"/>
      <w:numFmt w:val="lowerRoman"/>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1)"/>
      <w:numFmt w:val="decimal"/>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1)"/>
      <w:numFmt w:val="decimal"/>
      <w:start w:val="1"/>
    </w:lvl>
  </w:abstractNum>
  <w:abstractNum w:abstractNumId="105">
    <w:nsid w:val="7C58FD05"/>
    <w:multiLevelType w:val="hybridMultilevel"/>
    <w:lvl w:ilvl="0">
      <w:lvlJc w:val="left"/>
      <w:lvlText w:val="(%1)"/>
      <w:numFmt w:val="decimal"/>
      <w:start w:val="5"/>
    </w:lvl>
  </w:abstractNum>
  <w:abstractNum w:abstractNumId="106">
    <w:nsid w:val="23D86AAC"/>
    <w:multiLevelType w:val="hybridMultilevel"/>
    <w:lvl w:ilvl="0">
      <w:lvlJc w:val="left"/>
      <w:lvlText w:val="(%1)"/>
      <w:numFmt w:val="lowerRoman"/>
      <w:start w:val="2"/>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decimal"/>
      <w:start w:val="2"/>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lowerRoman"/>
      <w:start w:val="2"/>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2020-09-25T15:06:02Z</dcterms:created>
  <dcterms:modified xsi:type="dcterms:W3CDTF">2020-09-25T15:06:02Z</dcterms:modified>
</cp:coreProperties>
</file>