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15" w:lineRule="exact"/>
        <w:rPr>
          <w:sz w:val="24"/>
          <w:szCs w:val="24"/>
          <w:color w:val="auto"/>
        </w:rPr>
      </w:pPr>
    </w:p>
    <w:p>
      <w:pPr>
        <w:jc w:val="both"/>
        <w:ind w:left="340" w:right="340" w:hanging="262"/>
        <w:spacing w:after="0" w:line="182" w:lineRule="auto"/>
        <w:tabs>
          <w:tab w:leader="none" w:pos="340" w:val="left"/>
        </w:tabs>
        <w:numPr>
          <w:ilvl w:val="0"/>
          <w:numId w:val="1"/>
        </w:numPr>
        <w:rPr>
          <w:rFonts w:ascii="Times New Roman" w:cs="Times New Roman" w:eastAsia="Times New Roman" w:hAnsi="Times New Roman"/>
          <w:sz w:val="25"/>
          <w:szCs w:val="25"/>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-247650</wp:posOffset>
            </wp:positionV>
            <wp:extent cx="113030" cy="161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030" cy="1619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3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34290</wp:posOffset>
            </wp:positionV>
            <wp:extent cx="6969760" cy="172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212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00" w:space="380"/>
            <w:col w:w="850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Boxer Capital, LLC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11682 EL CAMINO REAL</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PMV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PMVP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09/25/2020</w:t>
      </w:r>
    </w:p>
    <w:p>
      <w:pPr>
        <w:spacing w:after="0" w:line="20" w:lineRule="exact"/>
        <w:rPr>
          <w:sz w:val="24"/>
          <w:szCs w:val="24"/>
          <w:color w:val="auto"/>
        </w:rPr>
      </w:pPr>
      <w:r>
        <w:rPr>
          <w:sz w:val="24"/>
          <w:szCs w:val="24"/>
          <w:color w:val="auto"/>
        </w:rPr>
        <w:br w:type="column"/>
      </w:r>
    </w:p>
    <w:p>
      <w:pPr>
        <w:ind w:left="-4" w:right="660" w:firstLine="4"/>
        <w:spacing w:after="0" w:line="255"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516" w:type="dxa"/>
        <w:tblCellMar>
          <w:top w:w="0" w:type="dxa"/>
          <w:left w:w="0" w:type="dxa"/>
          <w:bottom w:w="0" w:type="dxa"/>
          <w:right w:w="0" w:type="dxa"/>
        </w:tblCellMar>
      </w:tblPr>
      <w:tr>
        <w:trPr>
          <w:trHeight w:val="171"/>
        </w:trPr>
        <w:tc>
          <w:tcPr>
            <w:tcW w:w="108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X</w:t>
            </w:r>
          </w:p>
        </w:tc>
        <w:tc>
          <w:tcPr>
            <w:tcW w:w="880" w:type="dxa"/>
            <w:vAlign w:val="bottom"/>
          </w:tcPr>
          <w:p>
            <w:pPr>
              <w:ind w:left="1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108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10"/>
                <w:szCs w:val="10"/>
                <w:color w:val="auto"/>
              </w:rPr>
            </w:pP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0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16"/>
        <w:spacing w:after="0"/>
        <w:rPr>
          <w:sz w:val="20"/>
          <w:szCs w:val="20"/>
          <w:color w:val="auto"/>
        </w:rPr>
      </w:pPr>
      <w:r>
        <w:rPr>
          <w:rFonts w:ascii="Times New Roman" w:cs="Times New Roman" w:eastAsia="Times New Roman" w:hAnsi="Times New Roman"/>
          <w:sz w:val="17"/>
          <w:szCs w:val="17"/>
          <w:color w:val="0000FF"/>
        </w:rPr>
        <w:t>Former 10% Owner</w:t>
      </w:r>
    </w:p>
    <w:p>
      <w:pPr>
        <w:spacing w:after="0" w:line="434" w:lineRule="exact"/>
        <w:rPr>
          <w:sz w:val="24"/>
          <w:szCs w:val="24"/>
          <w:color w:val="auto"/>
        </w:rPr>
      </w:pPr>
    </w:p>
    <w:p>
      <w:pPr>
        <w:sectPr>
          <w:pgSz w:w="11900" w:h="16838" w:orient="portrait"/>
          <w:cols w:equalWidth="0" w:num="3">
            <w:col w:w="3200" w:space="720"/>
            <w:col w:w="3104" w:space="720"/>
            <w:col w:w="3336"/>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40" w:type="dxa"/>
            <w:vAlign w:val="bottom"/>
            <w:gridSpan w:val="10"/>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2"/>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3680" w:type="dxa"/>
            <w:vAlign w:val="bottom"/>
            <w:gridSpan w:val="1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5"/>
            <w:vMerge w:val="restart"/>
          </w:tcPr>
          <w:p>
            <w:pPr>
              <w:ind w:left="20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92130</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w w:val="81"/>
              </w:rPr>
              <w:t>X</w:t>
            </w:r>
          </w:p>
        </w:tc>
        <w:tc>
          <w:tcPr>
            <w:tcW w:w="20" w:type="dxa"/>
            <w:vAlign w:val="bottom"/>
          </w:tcPr>
          <w:p>
            <w:pPr>
              <w:spacing w:after="0"/>
              <w:rPr>
                <w:sz w:val="9"/>
                <w:szCs w:val="9"/>
                <w:color w:val="auto"/>
              </w:rPr>
            </w:pPr>
          </w:p>
        </w:tc>
        <w:tc>
          <w:tcPr>
            <w:tcW w:w="300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300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16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7"/>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760"/>
              <w:spacing w:after="0" w:line="122"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1980" w:type="dxa"/>
            <w:vAlign w:val="bottom"/>
            <w:gridSpan w:val="5"/>
          </w:tcPr>
          <w:p>
            <w:pPr>
              <w:ind w:lef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4"/>
          </w:tcPr>
          <w:p>
            <w:pPr>
              <w:jc w:val="center"/>
              <w:ind w:left="59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650"/>
              <w:spacing w:after="0"/>
              <w:rPr>
                <w:sz w:val="20"/>
                <w:szCs w:val="20"/>
                <w:color w:val="auto"/>
              </w:rPr>
            </w:pPr>
            <w:r>
              <w:rPr>
                <w:rFonts w:ascii="Times New Roman" w:cs="Times New Roman" w:eastAsia="Times New Roman" w:hAnsi="Times New Roman"/>
                <w:sz w:val="17"/>
                <w:szCs w:val="17"/>
                <w:color w:val="0000FF"/>
                <w:w w:val="95"/>
              </w:rPr>
              <w:t>09/25/2020</w:t>
            </w: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gridSpan w:val="2"/>
          </w:tcPr>
          <w:p>
            <w:pPr>
              <w:jc w:val="center"/>
              <w:ind w:left="95"/>
              <w:spacing w:after="0"/>
              <w:rPr>
                <w:sz w:val="20"/>
                <w:szCs w:val="20"/>
                <w:color w:val="auto"/>
              </w:rPr>
            </w:pPr>
            <w:r>
              <w:rPr>
                <w:rFonts w:ascii="Times New Roman" w:cs="Times New Roman" w:eastAsia="Times New Roman" w:hAnsi="Times New Roman"/>
                <w:sz w:val="17"/>
                <w:szCs w:val="17"/>
                <w:color w:val="0000FF"/>
                <w:w w:val="97"/>
              </w:rPr>
              <w:t>950,000</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54"/>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18</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950,000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40"/>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(1)</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650"/>
              <w:spacing w:after="0"/>
              <w:rPr>
                <w:sz w:val="20"/>
                <w:szCs w:val="20"/>
                <w:color w:val="auto"/>
              </w:rPr>
            </w:pPr>
            <w:r>
              <w:rPr>
                <w:rFonts w:ascii="Times New Roman" w:cs="Times New Roman" w:eastAsia="Times New Roman" w:hAnsi="Times New Roman"/>
                <w:sz w:val="17"/>
                <w:szCs w:val="17"/>
                <w:color w:val="0000FF"/>
                <w:w w:val="95"/>
              </w:rPr>
              <w:t>09/29/2020</w:t>
            </w: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80" w:type="dxa"/>
            <w:vAlign w:val="bottom"/>
            <w:tcBorders>
              <w:bottom w:val="single" w:sz="8" w:color="2C2C2C"/>
            </w:tcBorders>
            <w:gridSpan w:val="2"/>
          </w:tcPr>
          <w:p>
            <w:pPr>
              <w:jc w:val="center"/>
              <w:ind w:left="95"/>
              <w:spacing w:after="0"/>
              <w:rPr>
                <w:sz w:val="20"/>
                <w:szCs w:val="20"/>
                <w:color w:val="auto"/>
              </w:rPr>
            </w:pPr>
            <w:r>
              <w:rPr>
                <w:rFonts w:ascii="Times New Roman" w:cs="Times New Roman" w:eastAsia="Times New Roman" w:hAnsi="Times New Roman"/>
                <w:sz w:val="17"/>
                <w:szCs w:val="17"/>
                <w:color w:val="0000FF"/>
                <w:w w:val="97"/>
              </w:rPr>
              <w:t>586,099</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1,536,099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40"/>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(1)</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650"/>
              <w:spacing w:after="0"/>
              <w:rPr>
                <w:sz w:val="20"/>
                <w:szCs w:val="20"/>
                <w:color w:val="auto"/>
              </w:rPr>
            </w:pPr>
            <w:r>
              <w:rPr>
                <w:rFonts w:ascii="Times New Roman" w:cs="Times New Roman" w:eastAsia="Times New Roman" w:hAnsi="Times New Roman"/>
                <w:sz w:val="17"/>
                <w:szCs w:val="17"/>
                <w:color w:val="0000FF"/>
                <w:w w:val="95"/>
              </w:rPr>
              <w:t>09/29/2020</w:t>
            </w: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80" w:type="dxa"/>
            <w:vAlign w:val="bottom"/>
            <w:tcBorders>
              <w:bottom w:val="single" w:sz="8" w:color="2C2C2C"/>
            </w:tcBorders>
            <w:gridSpan w:val="2"/>
          </w:tcPr>
          <w:p>
            <w:pPr>
              <w:jc w:val="center"/>
              <w:ind w:left="95"/>
              <w:spacing w:after="0"/>
              <w:rPr>
                <w:sz w:val="20"/>
                <w:szCs w:val="20"/>
                <w:color w:val="auto"/>
              </w:rPr>
            </w:pPr>
            <w:r>
              <w:rPr>
                <w:rFonts w:ascii="Times New Roman" w:cs="Times New Roman" w:eastAsia="Times New Roman" w:hAnsi="Times New Roman"/>
                <w:sz w:val="17"/>
                <w:szCs w:val="17"/>
                <w:color w:val="0000FF"/>
                <w:w w:val="97"/>
              </w:rPr>
              <w:t>732,137</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2,268,236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40"/>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(1)</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40" w:type="dxa"/>
            <w:vAlign w:val="bottom"/>
            <w:gridSpan w:val="3"/>
            <w:vMerge w:val="restart"/>
          </w:tcPr>
          <w:p>
            <w:pPr>
              <w:jc w:val="center"/>
              <w:ind w:left="650"/>
              <w:spacing w:after="0"/>
              <w:rPr>
                <w:sz w:val="20"/>
                <w:szCs w:val="20"/>
                <w:color w:val="auto"/>
              </w:rPr>
            </w:pPr>
            <w:r>
              <w:rPr>
                <w:rFonts w:ascii="Times New Roman" w:cs="Times New Roman" w:eastAsia="Times New Roman" w:hAnsi="Times New Roman"/>
                <w:sz w:val="17"/>
                <w:szCs w:val="17"/>
                <w:color w:val="0000FF"/>
                <w:w w:val="95"/>
              </w:rPr>
              <w:t>09/29/2020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center"/>
              <w:ind w:left="175"/>
              <w:spacing w:after="0"/>
              <w:rPr>
                <w:sz w:val="20"/>
                <w:szCs w:val="20"/>
                <w:color w:val="auto"/>
              </w:rPr>
            </w:pPr>
            <w:r>
              <w:rPr>
                <w:rFonts w:ascii="Times New Roman" w:cs="Times New Roman" w:eastAsia="Times New Roman" w:hAnsi="Times New Roman"/>
                <w:sz w:val="17"/>
                <w:szCs w:val="17"/>
                <w:color w:val="0000FF"/>
                <w:w w:val="98"/>
              </w:rPr>
              <w:t>32,708</w:t>
            </w:r>
          </w:p>
        </w:tc>
        <w:tc>
          <w:tcPr>
            <w:tcW w:w="80" w:type="dxa"/>
            <w:vAlign w:val="bottom"/>
          </w:tcPr>
          <w:p>
            <w:pPr>
              <w:spacing w:after="0"/>
              <w:rPr>
                <w:sz w:val="21"/>
                <w:szCs w:val="21"/>
                <w:color w:val="auto"/>
              </w:rPr>
            </w:pP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left="54"/>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32,708</w:t>
            </w:r>
          </w:p>
        </w:tc>
        <w:tc>
          <w:tcPr>
            <w:tcW w:w="280" w:type="dxa"/>
            <w:vAlign w:val="bottom"/>
          </w:tcPr>
          <w:p>
            <w:pPr>
              <w:spacing w:after="0"/>
              <w:rPr>
                <w:sz w:val="21"/>
                <w:szCs w:val="21"/>
                <w:color w:val="auto"/>
              </w:rPr>
            </w:pPr>
          </w:p>
        </w:tc>
        <w:tc>
          <w:tcPr>
            <w:tcW w:w="640" w:type="dxa"/>
            <w:vAlign w:val="bottom"/>
            <w:vMerge w:val="restart"/>
          </w:tcPr>
          <w:p>
            <w:pPr>
              <w:jc w:val="center"/>
              <w:ind w:right="3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40" w:type="dxa"/>
            <w:vAlign w:val="bottom"/>
            <w:gridSpan w:val="3"/>
            <w:vMerge w:val="restart"/>
          </w:tcPr>
          <w:p>
            <w:pPr>
              <w:jc w:val="center"/>
              <w:ind w:left="650"/>
              <w:spacing w:after="0"/>
              <w:rPr>
                <w:sz w:val="20"/>
                <w:szCs w:val="20"/>
                <w:color w:val="auto"/>
              </w:rPr>
            </w:pPr>
            <w:r>
              <w:rPr>
                <w:rFonts w:ascii="Times New Roman" w:cs="Times New Roman" w:eastAsia="Times New Roman" w:hAnsi="Times New Roman"/>
                <w:sz w:val="17"/>
                <w:szCs w:val="17"/>
                <w:color w:val="0000FF"/>
                <w:w w:val="95"/>
              </w:rPr>
              <w:t>09/29/2020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center"/>
              <w:ind w:left="175"/>
              <w:spacing w:after="0"/>
              <w:rPr>
                <w:sz w:val="20"/>
                <w:szCs w:val="20"/>
                <w:color w:val="auto"/>
              </w:rPr>
            </w:pPr>
            <w:r>
              <w:rPr>
                <w:rFonts w:ascii="Times New Roman" w:cs="Times New Roman" w:eastAsia="Times New Roman" w:hAnsi="Times New Roman"/>
                <w:sz w:val="17"/>
                <w:szCs w:val="17"/>
                <w:color w:val="0000FF"/>
                <w:w w:val="98"/>
              </w:rPr>
              <w:t>28,129</w:t>
            </w:r>
          </w:p>
        </w:tc>
        <w:tc>
          <w:tcPr>
            <w:tcW w:w="80" w:type="dxa"/>
            <w:vAlign w:val="bottom"/>
          </w:tcPr>
          <w:p>
            <w:pPr>
              <w:spacing w:after="0"/>
              <w:rPr>
                <w:sz w:val="21"/>
                <w:szCs w:val="21"/>
                <w:color w:val="auto"/>
              </w:rPr>
            </w:pP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left="54"/>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60,837</w:t>
            </w:r>
          </w:p>
        </w:tc>
        <w:tc>
          <w:tcPr>
            <w:tcW w:w="280" w:type="dxa"/>
            <w:vAlign w:val="bottom"/>
          </w:tcPr>
          <w:p>
            <w:pPr>
              <w:spacing w:after="0"/>
              <w:rPr>
                <w:sz w:val="21"/>
                <w:szCs w:val="21"/>
                <w:color w:val="auto"/>
              </w:rPr>
            </w:pPr>
          </w:p>
        </w:tc>
        <w:tc>
          <w:tcPr>
            <w:tcW w:w="640" w:type="dxa"/>
            <w:vAlign w:val="bottom"/>
            <w:vMerge w:val="restart"/>
          </w:tcPr>
          <w:p>
            <w:pPr>
              <w:jc w:val="center"/>
              <w:ind w:right="3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3"/>
                <w:szCs w:val="13"/>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1"/>
                <w:szCs w:val="11"/>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20"/>
              <w:spacing w:after="0"/>
              <w:rPr>
                <w:sz w:val="20"/>
                <w:szCs w:val="20"/>
                <w:color w:val="auto"/>
              </w:rPr>
            </w:pPr>
            <w:r>
              <w:rPr>
                <w:rFonts w:ascii="Arial" w:cs="Arial" w:eastAsia="Arial" w:hAnsi="Arial"/>
                <w:sz w:val="11"/>
                <w:szCs w:val="11"/>
                <w:b w:val="1"/>
                <w:bCs w:val="1"/>
                <w:color w:val="auto"/>
              </w:rPr>
              <w:t>Direct (D)</w:t>
            </w:r>
          </w:p>
        </w:tc>
        <w:tc>
          <w:tcPr>
            <w:tcW w:w="160" w:type="dxa"/>
            <w:vAlign w:val="bottom"/>
          </w:tcPr>
          <w:p>
            <w:pPr>
              <w:spacing w:after="0"/>
              <w:rPr>
                <w:sz w:val="11"/>
                <w:szCs w:val="11"/>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jc w:val="center"/>
              <w:ind w:right="75"/>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35"/>
              <w:spacing w:after="0"/>
              <w:rPr>
                <w:sz w:val="20"/>
                <w:szCs w:val="20"/>
                <w:color w:val="auto"/>
              </w:rPr>
            </w:pPr>
            <w:r>
              <w:rPr>
                <w:rFonts w:ascii="Times New Roman" w:cs="Times New Roman" w:eastAsia="Times New Roman" w:hAnsi="Times New Roman"/>
                <w:sz w:val="11"/>
                <w:szCs w:val="11"/>
                <w:color w:val="008000"/>
                <w:w w:val="93"/>
              </w:rPr>
              <w:t>(2)</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7"/>
              </w:rPr>
              <w:t>586,099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restart"/>
          </w:tcPr>
          <w:p>
            <w:pPr>
              <w:jc w:val="center"/>
              <w:ind w:left="140"/>
              <w:spacing w:after="0"/>
              <w:rPr>
                <w:sz w:val="20"/>
                <w:szCs w:val="20"/>
                <w:color w:val="auto"/>
              </w:rPr>
            </w:pPr>
            <w:r>
              <w:rPr>
                <w:rFonts w:ascii="Times New Roman" w:cs="Times New Roman" w:eastAsia="Times New Roman" w:hAnsi="Times New Roman"/>
                <w:sz w:val="25"/>
                <w:szCs w:val="25"/>
                <w:color w:val="0000FF"/>
                <w:w w:val="80"/>
                <w:vertAlign w:val="subscript"/>
              </w:rPr>
              <w:t>D</w:t>
            </w:r>
            <w:r>
              <w:rPr>
                <w:rFonts w:ascii="Times New Roman" w:cs="Times New Roman" w:eastAsia="Times New Roman" w:hAnsi="Times New Roman"/>
                <w:sz w:val="11"/>
                <w:szCs w:val="11"/>
                <w:color w:val="008000"/>
                <w:w w:val="80"/>
              </w:rPr>
              <w:t>(1)</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Preferred</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09/29/2020</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0000FF"/>
              </w:rPr>
              <w:t>C</w:t>
            </w:r>
          </w:p>
        </w:tc>
        <w:tc>
          <w:tcPr>
            <w:tcW w:w="960" w:type="dxa"/>
            <w:vAlign w:val="bottom"/>
            <w:gridSpan w:val="3"/>
          </w:tcPr>
          <w:p>
            <w:pPr>
              <w:jc w:val="center"/>
              <w:ind w:left="240"/>
              <w:spacing w:after="0" w:line="128" w:lineRule="exact"/>
              <w:rPr>
                <w:sz w:val="20"/>
                <w:szCs w:val="20"/>
                <w:color w:val="auto"/>
              </w:rPr>
            </w:pPr>
            <w:r>
              <w:rPr>
                <w:rFonts w:ascii="Times New Roman" w:cs="Times New Roman" w:eastAsia="Times New Roman" w:hAnsi="Times New Roman"/>
                <w:sz w:val="13"/>
                <w:szCs w:val="13"/>
                <w:color w:val="0000FF"/>
                <w:w w:val="99"/>
              </w:rPr>
              <w:t>586,099</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1"/>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ind w:left="40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35"/>
              <w:spacing w:after="0"/>
              <w:rPr>
                <w:sz w:val="20"/>
                <w:szCs w:val="20"/>
                <w:color w:val="auto"/>
              </w:rPr>
            </w:pPr>
            <w:r>
              <w:rPr>
                <w:rFonts w:ascii="Times New Roman" w:cs="Times New Roman" w:eastAsia="Times New Roman" w:hAnsi="Times New Roman"/>
                <w:sz w:val="11"/>
                <w:szCs w:val="11"/>
                <w:color w:val="008000"/>
                <w:w w:val="93"/>
              </w:rPr>
              <w:t>(2)</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32,708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Preferred</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09/29/2020</w:t>
            </w: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w:t>
            </w:r>
          </w:p>
        </w:tc>
        <w:tc>
          <w:tcPr>
            <w:tcW w:w="960" w:type="dxa"/>
            <w:vAlign w:val="bottom"/>
            <w:gridSpan w:val="3"/>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4"/>
              </w:rPr>
              <w:t>32,708</w:t>
            </w:r>
          </w:p>
        </w:tc>
        <w:tc>
          <w:tcPr>
            <w:tcW w:w="7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vMerge w:val="restart"/>
          </w:tcPr>
          <w:p>
            <w:pPr>
              <w:jc w:val="center"/>
              <w:ind w:right="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4"/>
                <w:szCs w:val="4"/>
                <w:color w:val="auto"/>
              </w:rPr>
            </w:pPr>
          </w:p>
        </w:tc>
        <w:tc>
          <w:tcPr>
            <w:tcW w:w="64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w w:val="91"/>
              </w:rPr>
              <w:t>I</w:t>
            </w:r>
          </w:p>
        </w:tc>
        <w:tc>
          <w:tcPr>
            <w:tcW w:w="16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gridSpan w:val="4"/>
            <w:vMerge w:val="restart"/>
          </w:tcPr>
          <w:p>
            <w:pPr>
              <w:ind w:left="40"/>
              <w:spacing w:after="0" w:line="153"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(3)</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35"/>
              <w:spacing w:after="0"/>
              <w:rPr>
                <w:sz w:val="20"/>
                <w:szCs w:val="20"/>
                <w:color w:val="auto"/>
              </w:rPr>
            </w:pPr>
            <w:r>
              <w:rPr>
                <w:rFonts w:ascii="Times New Roman" w:cs="Times New Roman" w:eastAsia="Times New Roman" w:hAnsi="Times New Roman"/>
                <w:sz w:val="11"/>
                <w:szCs w:val="11"/>
                <w:color w:val="008000"/>
                <w:w w:val="93"/>
              </w:rPr>
              <w:t>(2)</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7"/>
              </w:rPr>
              <w:t>732,137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restart"/>
          </w:tcPr>
          <w:p>
            <w:pPr>
              <w:jc w:val="center"/>
              <w:ind w:left="140"/>
              <w:spacing w:after="0"/>
              <w:rPr>
                <w:sz w:val="20"/>
                <w:szCs w:val="20"/>
                <w:color w:val="auto"/>
              </w:rPr>
            </w:pPr>
            <w:r>
              <w:rPr>
                <w:rFonts w:ascii="Times New Roman" w:cs="Times New Roman" w:eastAsia="Times New Roman" w:hAnsi="Times New Roman"/>
                <w:sz w:val="25"/>
                <w:szCs w:val="25"/>
                <w:color w:val="0000FF"/>
                <w:w w:val="80"/>
                <w:vertAlign w:val="subscript"/>
              </w:rPr>
              <w:t>D</w:t>
            </w:r>
            <w:r>
              <w:rPr>
                <w:rFonts w:ascii="Times New Roman" w:cs="Times New Roman" w:eastAsia="Times New Roman" w:hAnsi="Times New Roman"/>
                <w:sz w:val="11"/>
                <w:szCs w:val="11"/>
                <w:color w:val="008000"/>
                <w:w w:val="80"/>
              </w:rPr>
              <w:t>(1)</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Preferred</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09/29/2020</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0000FF"/>
              </w:rPr>
              <w:t>C</w:t>
            </w:r>
          </w:p>
        </w:tc>
        <w:tc>
          <w:tcPr>
            <w:tcW w:w="960" w:type="dxa"/>
            <w:vAlign w:val="bottom"/>
            <w:gridSpan w:val="3"/>
          </w:tcPr>
          <w:p>
            <w:pPr>
              <w:jc w:val="center"/>
              <w:ind w:left="240"/>
              <w:spacing w:after="0" w:line="128" w:lineRule="exact"/>
              <w:rPr>
                <w:sz w:val="20"/>
                <w:szCs w:val="20"/>
                <w:color w:val="auto"/>
              </w:rPr>
            </w:pPr>
            <w:r>
              <w:rPr>
                <w:rFonts w:ascii="Times New Roman" w:cs="Times New Roman" w:eastAsia="Times New Roman" w:hAnsi="Times New Roman"/>
                <w:sz w:val="13"/>
                <w:szCs w:val="13"/>
                <w:color w:val="0000FF"/>
                <w:w w:val="99"/>
              </w:rPr>
              <w:t>732,137</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1"/>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ind w:left="40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35"/>
              <w:spacing w:after="0"/>
              <w:rPr>
                <w:sz w:val="20"/>
                <w:szCs w:val="20"/>
                <w:color w:val="auto"/>
              </w:rPr>
            </w:pPr>
            <w:r>
              <w:rPr>
                <w:rFonts w:ascii="Times New Roman" w:cs="Times New Roman" w:eastAsia="Times New Roman" w:hAnsi="Times New Roman"/>
                <w:sz w:val="11"/>
                <w:szCs w:val="11"/>
                <w:color w:val="008000"/>
                <w:w w:val="93"/>
              </w:rPr>
              <w:t>(2)</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28,129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Preferred</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09/29/2020</w:t>
            </w: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w:t>
            </w:r>
          </w:p>
        </w:tc>
        <w:tc>
          <w:tcPr>
            <w:tcW w:w="960" w:type="dxa"/>
            <w:vAlign w:val="bottom"/>
            <w:gridSpan w:val="3"/>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4"/>
              </w:rPr>
              <w:t>28,129</w:t>
            </w:r>
          </w:p>
        </w:tc>
        <w:tc>
          <w:tcPr>
            <w:tcW w:w="7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vMerge w:val="restart"/>
          </w:tcPr>
          <w:p>
            <w:pPr>
              <w:jc w:val="center"/>
              <w:ind w:right="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4"/>
                <w:szCs w:val="4"/>
                <w:color w:val="auto"/>
              </w:rPr>
            </w:pPr>
          </w:p>
        </w:tc>
        <w:tc>
          <w:tcPr>
            <w:tcW w:w="64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w w:val="91"/>
              </w:rPr>
              <w:t>I</w:t>
            </w:r>
          </w:p>
        </w:tc>
        <w:tc>
          <w:tcPr>
            <w:tcW w:w="16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gridSpan w:val="4"/>
            <w:vMerge w:val="restart"/>
          </w:tcPr>
          <w:p>
            <w:pPr>
              <w:ind w:left="40"/>
              <w:spacing w:after="0" w:line="153"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(3)</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5"/>
          </w:tcPr>
          <w:p>
            <w:pPr>
              <w:ind w:left="60"/>
              <w:spacing w:after="0" w:line="228"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40" w:type="dxa"/>
            <w:vAlign w:val="bottom"/>
            <w:gridSpan w:val="4"/>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Boxer Capital, LLC</w:t>
              </w:r>
            </w:hyperlink>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8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11682 EL CAMINO REAL</w:t>
            </w: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SUITE 320</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4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92130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20" w:type="dxa"/>
            <w:vAlign w:val="bottom"/>
            <w:tcBorders>
              <w:bottom w:val="single" w:sz="8" w:color="2C2C2C"/>
            </w:tcBorders>
            <w:gridSpan w:val="5"/>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00" w:type="dxa"/>
            <w:vAlign w:val="bottom"/>
            <w:gridSpan w:val="5"/>
          </w:tcPr>
          <w:p>
            <w:pPr>
              <w:ind w:left="20"/>
              <w:spacing w:after="0"/>
              <w:rPr>
                <w:rFonts w:ascii="Times New Roman" w:cs="Times New Roman" w:eastAsia="Times New Roman" w:hAnsi="Times New Roman"/>
                <w:sz w:val="20"/>
                <w:szCs w:val="20"/>
                <w:u w:val="single" w:color="auto"/>
                <w:color w:val="0000EE"/>
              </w:rPr>
            </w:pPr>
            <w:hyperlink r:id="rId15">
              <w:r>
                <w:rPr>
                  <w:rFonts w:ascii="Times New Roman" w:cs="Times New Roman" w:eastAsia="Times New Roman" w:hAnsi="Times New Roman"/>
                  <w:sz w:val="20"/>
                  <w:szCs w:val="20"/>
                  <w:u w:val="single" w:color="auto"/>
                  <w:color w:val="0000EE"/>
                </w:rPr>
                <w:t>Boxer Asset Management Inc.</w:t>
              </w:r>
            </w:hyperlink>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8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-7285990</wp:posOffset>
            </wp:positionV>
            <wp:extent cx="7034530" cy="7681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4530" cy="7681595"/>
                    </a:xfrm>
                    <a:prstGeom prst="rect">
                      <a:avLst/>
                    </a:prstGeom>
                    <a:noFill/>
                  </pic:spPr>
                </pic:pic>
              </a:graphicData>
            </a:graphic>
          </wp:anchor>
        </w:drawing>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CAY HOUSE, EP TAYLOR DRIVE N7776</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LYFORD CAY</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C5</w:t>
            </w:r>
          </w:p>
        </w:tc>
        <w:tc>
          <w:tcPr>
            <w:tcW w:w="16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C5</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PROVIDENCE</w:t>
            </w:r>
          </w:p>
        </w:tc>
        <w:tc>
          <w:tcPr>
            <w:tcW w:w="1200" w:type="dxa"/>
            <w:vAlign w:val="bottom"/>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8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0"/>
        </w:trPr>
        <w:tc>
          <w:tcPr>
            <w:tcW w:w="8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gridSpan w:val="2"/>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7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80" w:type="dxa"/>
            <w:vAlign w:val="bottom"/>
          </w:tcPr>
          <w:p>
            <w:pPr>
              <w:spacing w:after="0"/>
              <w:rPr>
                <w:sz w:val="23"/>
                <w:szCs w:val="23"/>
                <w:color w:val="auto"/>
              </w:rPr>
            </w:pPr>
          </w:p>
        </w:tc>
        <w:tc>
          <w:tcPr>
            <w:tcW w:w="1420" w:type="dxa"/>
            <w:vAlign w:val="bottom"/>
          </w:tcPr>
          <w:p>
            <w:pPr>
              <w:ind w:left="2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LEWIS JOSEPH</w:t>
              </w:r>
            </w:hyperlink>
          </w:p>
        </w:tc>
        <w:tc>
          <w:tcPr>
            <w:tcW w:w="1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8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Arial" w:cs="Arial" w:eastAsia="Arial" w:hAnsi="Arial"/>
                <w:sz w:val="13"/>
                <w:szCs w:val="13"/>
                <w:color w:val="auto"/>
              </w:rPr>
              <w:t>(Last)</w:t>
            </w:r>
          </w:p>
        </w:tc>
        <w:tc>
          <w:tcPr>
            <w:tcW w:w="1200" w:type="dxa"/>
            <w:vAlign w:val="bottom"/>
          </w:tcPr>
          <w:p>
            <w:pPr>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293370</wp:posOffset>
            </wp:positionH>
            <wp:positionV relativeFrom="page">
              <wp:posOffset>88900</wp:posOffset>
            </wp:positionV>
            <wp:extent cx="2781300" cy="6055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81300" cy="605599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0000FF"/>
        </w:rPr>
        <w:t>C/O CAY HOUSE, EP TAYLOR DRIVE N7776</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LYFORD CAY</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w:t>
            </w: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C5</w:t>
            </w:r>
          </w:p>
        </w:tc>
        <w:tc>
          <w:tcPr>
            <w:tcW w:w="16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C5</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PROVIDENCE</w:t>
            </w:r>
          </w:p>
        </w:tc>
        <w:tc>
          <w:tcPr>
            <w:tcW w:w="1300" w:type="dxa"/>
            <w:vAlign w:val="bottom"/>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8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(City)</w:t>
            </w:r>
          </w:p>
        </w:tc>
        <w:tc>
          <w:tcPr>
            <w:tcW w:w="1300" w:type="dxa"/>
            <w:vAlign w:val="bottom"/>
          </w:tcPr>
          <w:p>
            <w:pPr>
              <w:ind w:left="1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0"/>
        </w:trPr>
        <w:tc>
          <w:tcPr>
            <w:tcW w:w="8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gridSpan w:val="2"/>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7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80" w:type="dxa"/>
            <w:vAlign w:val="bottom"/>
          </w:tcPr>
          <w:p>
            <w:pPr>
              <w:spacing w:after="0"/>
              <w:rPr>
                <w:sz w:val="23"/>
                <w:szCs w:val="23"/>
                <w:color w:val="auto"/>
              </w:rPr>
            </w:pPr>
          </w:p>
        </w:tc>
        <w:tc>
          <w:tcPr>
            <w:tcW w:w="2620" w:type="dxa"/>
            <w:vAlign w:val="bottom"/>
            <w:gridSpan w:val="2"/>
          </w:tcPr>
          <w:p>
            <w:pPr>
              <w:ind w:left="2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MVA Investors, LLC</w:t>
              </w:r>
            </w:hyperlink>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8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11682 EL CAMINO REAL</w:t>
            </w: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320</w:t>
            </w: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3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92130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8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(City)</w:t>
            </w:r>
          </w:p>
        </w:tc>
        <w:tc>
          <w:tcPr>
            <w:tcW w:w="1300" w:type="dxa"/>
            <w:vAlign w:val="bottom"/>
          </w:tcPr>
          <w:p>
            <w:pPr>
              <w:ind w:left="1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0"/>
        </w:trPr>
        <w:tc>
          <w:tcPr>
            <w:tcW w:w="2700" w:type="dxa"/>
            <w:vAlign w:val="bottom"/>
            <w:tcBorders>
              <w:bottom w:val="single" w:sz="8" w:color="2C2C2C"/>
            </w:tcBorders>
            <w:gridSpan w:val="3"/>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7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80" w:type="dxa"/>
            <w:vAlign w:val="bottom"/>
          </w:tcPr>
          <w:p>
            <w:pPr>
              <w:spacing w:after="0"/>
              <w:rPr>
                <w:sz w:val="23"/>
                <w:szCs w:val="23"/>
                <w:color w:val="auto"/>
              </w:rPr>
            </w:pPr>
          </w:p>
        </w:tc>
        <w:tc>
          <w:tcPr>
            <w:tcW w:w="1320" w:type="dxa"/>
            <w:vAlign w:val="bottom"/>
          </w:tcPr>
          <w:p>
            <w:pPr>
              <w:ind w:left="2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Davis Aaron I.</w:t>
              </w:r>
            </w:hyperlink>
          </w:p>
        </w:tc>
        <w:tc>
          <w:tcPr>
            <w:tcW w:w="13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8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11682 EL CAMINO REAL</w:t>
            </w: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320</w:t>
            </w: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3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92130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8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(City)</w:t>
            </w:r>
          </w:p>
        </w:tc>
        <w:tc>
          <w:tcPr>
            <w:tcW w:w="1300" w:type="dxa"/>
            <w:vAlign w:val="bottom"/>
          </w:tcPr>
          <w:p>
            <w:pPr>
              <w:ind w:left="1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20"/>
        <w:spacing w:after="0" w:line="238" w:lineRule="auto"/>
        <w:tabs>
          <w:tab w:leader="none" w:pos="14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Boxer Capital, LLC ("Boxer Capital") which may be deemed to be a member of a "group" for purposes of Section 13(d) of the Securities Exchange Act of 1934, as amended, consisting of (i) Boxer Capital, (ii) Boxer Asset Management Inc., (iii) MVA Investors, LLC ("MVA Investors") (iv) Aaron I. Davis, and (v) Joe Lewis (collectively, the "Boxer Group"). Each member of the Boxer Group other than Boxer Capital disclaims beneficial ownership of these securities to the extent it does not have a pecuniary interest therein.</w:t>
      </w:r>
    </w:p>
    <w:p>
      <w:pPr>
        <w:spacing w:after="0" w:line="26" w:lineRule="exact"/>
        <w:rPr>
          <w:rFonts w:ascii="Times New Roman" w:cs="Times New Roman" w:eastAsia="Times New Roman" w:hAnsi="Times New Roman"/>
          <w:sz w:val="13"/>
          <w:szCs w:val="13"/>
          <w:color w:val="008000"/>
        </w:rPr>
      </w:pPr>
    </w:p>
    <w:p>
      <w:pPr>
        <w:ind w:left="20"/>
        <w:spacing w:after="0" w:line="250" w:lineRule="auto"/>
        <w:tabs>
          <w:tab w:leader="none" w:pos="14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each of the Series C Preferred Stock and Series D Preferred Stock shall automatically convert into shares of Common Stock on a one to one basis immediately prior to the completion of the Issuer's initial public offering of Common Stock and have no expiration date.</w:t>
      </w:r>
    </w:p>
    <w:p>
      <w:pPr>
        <w:spacing w:after="0" w:line="19" w:lineRule="exact"/>
        <w:rPr>
          <w:rFonts w:ascii="Times New Roman" w:cs="Times New Roman" w:eastAsia="Times New Roman" w:hAnsi="Times New Roman"/>
          <w:sz w:val="13"/>
          <w:szCs w:val="13"/>
          <w:color w:val="008000"/>
        </w:rPr>
      </w:pPr>
    </w:p>
    <w:p>
      <w:pPr>
        <w:ind w:left="20" w:right="180"/>
        <w:spacing w:after="0" w:line="250" w:lineRule="auto"/>
        <w:tabs>
          <w:tab w:leader="none" w:pos="14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MVA Investors. Each member of the Boxer Group other than MVA Investors disclaims beneficial ownership of these securities to the extent it or he does not have a pecuniary interest therein.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80"/>
          </w:cols>
          <w:pgMar w:left="480" w:top="250" w:right="539" w:bottom="1440" w:gutter="0" w:footer="0" w:header="0"/>
        </w:sectPr>
      </w:pPr>
    </w:p>
    <w:p>
      <w:pPr>
        <w:spacing w:after="0" w:line="12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Boxer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-10160</wp:posOffset>
            </wp:positionV>
            <wp:extent cx="1167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Aaron I. Davis,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354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3016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Boxer 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-3175</wp:posOffset>
            </wp:positionV>
            <wp:extent cx="1330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Jason C. Callender,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11169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3498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4988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-10160</wp:posOffset>
            </wp:positionV>
            <wp:extent cx="8172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817245"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MVA Investors,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-10160</wp:posOffset>
            </wp:positionV>
            <wp:extent cx="12242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Aaron I. Davis,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3544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3016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-10160</wp:posOffset>
            </wp:positionV>
            <wp:extent cx="747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4739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0"/>
          <w:szCs w:val="20"/>
          <w:color w:val="auto"/>
        </w:rPr>
      </w:pPr>
    </w:p>
    <w:p>
      <w:pPr>
        <w:sectPr>
          <w:pgSz w:w="11900" w:h="16838" w:orient="portrait"/>
          <w:cols w:equalWidth="0" w:num="2">
            <w:col w:w="8720" w:space="60"/>
            <w:col w:w="2100"/>
          </w:cols>
          <w:pgMar w:left="480" w:top="250" w:right="5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520"/>
        <w:spacing w:after="0" w:line="330" w:lineRule="auto"/>
        <w:tabs>
          <w:tab w:leader="none" w:pos="15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25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13" Type="http://schemas.openxmlformats.org/officeDocument/2006/relationships/hyperlink" Target="http://www.sec.gov/cgi-bin/browse-edgar?action=getcompany&amp;CIK=0001465837" TargetMode="External"/><Relationship Id="rId14"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465836" TargetMode="External"/><Relationship Id="rId17" Type="http://schemas.openxmlformats.org/officeDocument/2006/relationships/hyperlink" Target="http://www.sec.gov/cgi-bin/browse-edgar?action=getcompany&amp;CIK=0001015747" TargetMode="External"/><Relationship Id="rId19" Type="http://schemas.openxmlformats.org/officeDocument/2006/relationships/hyperlink" Target="http://www.sec.gov/cgi-bin/browse-edgar?action=getcompany&amp;CIK=0001468223" TargetMode="External"/><Relationship Id="rId20" Type="http://schemas.openxmlformats.org/officeDocument/2006/relationships/hyperlink" Target="http://www.sec.gov/cgi-bin/browse-edgar?action=getcompany&amp;CIK=0001465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2020-09-29T16:34:23Z</dcterms:created>
  <dcterms:modified xsi:type="dcterms:W3CDTF">2020-09-29T16:34:23Z</dcterms:modified>
</cp:coreProperties>
</file>