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w:t>
      </w: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0"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fiscal year ended December 31, 2024</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ind w:left="480" w:hanging="459"/>
        <w:spacing w:after="0" w:line="190" w:lineRule="auto"/>
        <w:tabs>
          <w:tab w:leader="none" w:pos="480" w:val="left"/>
        </w:tabs>
        <w:numPr>
          <w:ilvl w:val="0"/>
          <w:numId w:val="2"/>
        </w:numPr>
        <w:rPr>
          <w:rFonts w:ascii="MS PGothic" w:cs="MS PGothic" w:eastAsia="MS PGothic" w:hAnsi="MS PGothic"/>
          <w:sz w:val="8"/>
          <w:szCs w:val="8"/>
          <w:color w:val="auto"/>
          <w:highlight w:val="black"/>
        </w:rPr>
      </w:pPr>
      <w:r>
        <w:rPr>
          <w:rFonts w:ascii="Times New Roman" w:cs="Times New Roman" w:eastAsia="Times New Roman" w:hAnsi="Times New Roman"/>
          <w:sz w:val="8"/>
          <w:szCs w:val="8"/>
          <w:b w:val="1"/>
          <w:bCs w:val="1"/>
          <w:color w:val="auto"/>
        </w:rPr>
        <w:t>TRANSITION REPORT PURSUANT TO SECTION 13 OR 15(d) OF THE SECURITIES EXCHANGE ACT OF 1934 FOR THE TRANSITION</w:t>
      </w:r>
    </w:p>
    <w:p>
      <w:pPr>
        <w:spacing w:after="0" w:line="18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PMV PHARMACEUTICALS, INC.</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00" w:type="dxa"/>
            <w:vAlign w:val="bottom"/>
            <w:gridSpan w:val="2"/>
          </w:tcPr>
          <w:p>
            <w:pPr>
              <w:jc w:val="center"/>
              <w:ind w:left="106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500" w:type="dxa"/>
            <w:vAlign w:val="bottom"/>
            <w:gridSpan w:val="3"/>
          </w:tcPr>
          <w:p>
            <w:pPr>
              <w:jc w:val="right"/>
              <w:ind w:right="2313"/>
              <w:spacing w:after="0"/>
              <w:rPr>
                <w:sz w:val="20"/>
                <w:szCs w:val="20"/>
                <w:color w:val="auto"/>
              </w:rPr>
            </w:pPr>
            <w:r>
              <w:rPr>
                <w:rFonts w:ascii="Times New Roman" w:cs="Times New Roman" w:eastAsia="Times New Roman" w:hAnsi="Times New Roman"/>
                <w:sz w:val="18"/>
                <w:szCs w:val="18"/>
                <w:b w:val="1"/>
                <w:bCs w:val="1"/>
                <w:color w:val="auto"/>
              </w:rPr>
              <w:t>46-3218129</w:t>
            </w:r>
          </w:p>
        </w:tc>
        <w:tc>
          <w:tcPr>
            <w:tcW w:w="0" w:type="dxa"/>
            <w:vAlign w:val="bottom"/>
          </w:tcPr>
          <w:p>
            <w:pPr>
              <w:spacing w:after="0"/>
              <w:rPr>
                <w:sz w:val="1"/>
                <w:szCs w:val="1"/>
                <w:color w:val="auto"/>
              </w:rPr>
            </w:pPr>
          </w:p>
        </w:tc>
      </w:tr>
      <w:tr>
        <w:trPr>
          <w:trHeight w:val="135"/>
        </w:trPr>
        <w:tc>
          <w:tcPr>
            <w:tcW w:w="4500" w:type="dxa"/>
            <w:vAlign w:val="bottom"/>
            <w:gridSpan w:val="2"/>
          </w:tcPr>
          <w:p>
            <w:pPr>
              <w:jc w:val="center"/>
              <w:ind w:left="104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Pr>
          <w:p>
            <w:pPr>
              <w:jc w:val="center"/>
              <w:ind w:right="117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500" w:type="dxa"/>
            <w:vAlign w:val="bottom"/>
            <w:gridSpan w:val="2"/>
          </w:tcPr>
          <w:p>
            <w:pPr>
              <w:jc w:val="center"/>
              <w:ind w:left="106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jc w:val="center"/>
              <w:ind w:right="117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64"/>
        </w:trPr>
        <w:tc>
          <w:tcPr>
            <w:tcW w:w="4500" w:type="dxa"/>
            <w:vAlign w:val="bottom"/>
            <w:gridSpan w:val="2"/>
          </w:tcPr>
          <w:p>
            <w:pPr>
              <w:jc w:val="center"/>
              <w:ind w:left="1063"/>
              <w:spacing w:after="0"/>
              <w:rPr>
                <w:sz w:val="20"/>
                <w:szCs w:val="20"/>
                <w:color w:val="auto"/>
              </w:rPr>
            </w:pPr>
            <w:r>
              <w:rPr>
                <w:rFonts w:ascii="Times New Roman" w:cs="Times New Roman" w:eastAsia="Times New Roman" w:hAnsi="Times New Roman"/>
                <w:sz w:val="18"/>
                <w:szCs w:val="18"/>
                <w:b w:val="1"/>
                <w:bCs w:val="1"/>
                <w:color w:val="auto"/>
                <w:w w:val="99"/>
              </w:rPr>
              <w:t>400 Alexander Park Drive, Suite 301</w:t>
            </w: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500" w:type="dxa"/>
            <w:vAlign w:val="bottom"/>
            <w:gridSpan w:val="2"/>
          </w:tcPr>
          <w:p>
            <w:pPr>
              <w:jc w:val="center"/>
              <w:ind w:left="1043"/>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500" w:type="dxa"/>
            <w:vAlign w:val="bottom"/>
            <w:gridSpan w:val="3"/>
          </w:tcPr>
          <w:p>
            <w:pPr>
              <w:jc w:val="right"/>
              <w:ind w:right="2513"/>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166"/>
        </w:trPr>
        <w:tc>
          <w:tcPr>
            <w:tcW w:w="4500" w:type="dxa"/>
            <w:vAlign w:val="bottom"/>
            <w:gridSpan w:val="2"/>
          </w:tcPr>
          <w:p>
            <w:pPr>
              <w:jc w:val="center"/>
              <w:ind w:left="106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jc w:val="center"/>
              <w:ind w:right="117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86"/>
        </w:trPr>
        <w:tc>
          <w:tcPr>
            <w:tcW w:w="11240" w:type="dxa"/>
            <w:vAlign w:val="bottom"/>
            <w:gridSpan w:val="7"/>
          </w:tcPr>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tc>
        <w:tc>
          <w:tcPr>
            <w:tcW w:w="0" w:type="dxa"/>
            <w:vAlign w:val="bottom"/>
          </w:tcPr>
          <w:p>
            <w:pPr>
              <w:spacing w:after="0"/>
              <w:rPr>
                <w:sz w:val="1"/>
                <w:szCs w:val="1"/>
                <w:color w:val="auto"/>
              </w:rPr>
            </w:pPr>
          </w:p>
        </w:tc>
      </w:tr>
      <w:tr>
        <w:trPr>
          <w:trHeight w:val="54"/>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4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PMVP</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6" w:lineRule="exact"/>
        <w:rPr>
          <w:sz w:val="24"/>
          <w:szCs w:val="24"/>
          <w:color w:val="auto"/>
        </w:rPr>
      </w:pPr>
    </w:p>
    <w:p>
      <w:pPr>
        <w:ind w:right="4020"/>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spacing w:after="0" w:line="24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8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2"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Stock Market on June 28, 2024 (the last business day of the Registrant’s most recently completed second fiscal quarter), was $81,704,068.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3, 2025 was 51,933,604.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26" w:lineRule="exact"/>
        <w:rPr>
          <w:sz w:val="24"/>
          <w:szCs w:val="24"/>
          <w:color w:val="auto"/>
        </w:rPr>
      </w:pPr>
    </w:p>
    <w:p>
      <w:pPr>
        <w:ind w:right="120"/>
        <w:spacing w:after="0" w:line="270"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0" w:type="dxa"/>
            <w:vAlign w:val="bottom"/>
            <w:gridSpan w:val="10"/>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4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94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1"/>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7"/>
                <w:szCs w:val="17"/>
                <w:color w:val="auto"/>
              </w:rPr>
            </w:pPr>
          </w:p>
        </w:tc>
        <w:tc>
          <w:tcPr>
            <w:tcW w:w="860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Financial Statements and Supplementary Data</w:t>
            </w:r>
          </w:p>
        </w:tc>
        <w:tc>
          <w:tcPr>
            <w:tcW w:w="20" w:type="dxa"/>
            <w:vAlign w:val="bottom"/>
            <w:tcBorders>
              <w:bottom w:val="single" w:sz="8" w:color="0000EE"/>
            </w:tcBorders>
          </w:tcPr>
          <w:p>
            <w:pPr>
              <w:spacing w:after="0"/>
              <w:rPr>
                <w:sz w:val="17"/>
                <w:szCs w:val="17"/>
                <w:color w:val="auto"/>
              </w:rPr>
            </w:pP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1"/>
          </w:tcPr>
          <w:p>
            <w:pPr>
              <w:spacing w:after="0"/>
              <w:rPr>
                <w:sz w:val="17"/>
                <w:szCs w:val="17"/>
                <w:color w:val="auto"/>
              </w:rPr>
            </w:pP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3"/>
          </w:tcPr>
          <w:p>
            <w:pPr>
              <w:spacing w:after="0"/>
              <w:rPr>
                <w:sz w:val="17"/>
                <w:szCs w:val="17"/>
                <w:color w:val="auto"/>
              </w:rPr>
            </w:pPr>
          </w:p>
        </w:tc>
        <w:tc>
          <w:tcPr>
            <w:tcW w:w="520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and plans for our product candidates, planned preclinical studies and clinical trials, future results of clinical trials, future and expected research and development costs, regulatory strategy and approvals, timing and likelihood of success, as well as plans and objectives of management for future operations, are forward-looking statements.</w:t>
      </w:r>
    </w:p>
    <w:p>
      <w:pPr>
        <w:spacing w:after="0" w:line="187" w:lineRule="exact"/>
        <w:rPr>
          <w:sz w:val="20"/>
          <w:szCs w:val="20"/>
          <w:color w:val="auto"/>
        </w:rPr>
      </w:pPr>
    </w:p>
    <w:p>
      <w:pPr>
        <w:jc w:val="both"/>
        <w:ind w:right="300" w:firstLine="64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68" w:lineRule="exact"/>
        <w:rPr>
          <w:sz w:val="20"/>
          <w:szCs w:val="20"/>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40" w:right="300" w:hanging="288"/>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40" w:right="420" w:hanging="288"/>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the proceeds from the ATM Program (as defined below);</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40" w:right="160" w:hanging="288"/>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940" w:right="500"/>
        <w:spacing w:after="0" w:line="282" w:lineRule="auto"/>
        <w:rPr>
          <w:sz w:val="20"/>
          <w:szCs w:val="20"/>
          <w:color w:val="auto"/>
        </w:rPr>
      </w:pPr>
      <w:r>
        <w:rPr>
          <w:rFonts w:ascii="Times New Roman" w:cs="Times New Roman" w:eastAsia="Times New Roman" w:hAnsi="Times New Roman"/>
          <w:sz w:val="18"/>
          <w:szCs w:val="18"/>
          <w:color w:val="auto"/>
        </w:rPr>
        <w:t>product candidates, including our intention to seek accelerated approval for rezatapopt, our lead product candidate, for a tumor-agnostic indication;</w:t>
      </w:r>
    </w:p>
    <w:p>
      <w:pPr>
        <w:spacing w:after="0" w:line="54" w:lineRule="exact"/>
        <w:rPr>
          <w:sz w:val="20"/>
          <w:szCs w:val="20"/>
          <w:color w:val="auto"/>
        </w:rPr>
      </w:pPr>
    </w:p>
    <w:p>
      <w:pPr>
        <w:ind w:left="940" w:right="240" w:hanging="288"/>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40" w:hanging="288"/>
        <w:spacing w:after="0" w:line="261"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and the conflict in the Middle East, the impact of other disruptions resulting from public health epidemics, macroeconomic events such as global supply chain challenges, elevated inflation and interest rates and monetary policy changes, instability in the global banking system, or other related disruptions on our business and the execution of our clinical trials.</w:t>
      </w:r>
    </w:p>
    <w:p>
      <w:pPr>
        <w:spacing w:after="0" w:line="18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16"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Our lead product candidate, rezatapopt, is an orally available small molecule designed to potently and selectively correct p53 misfolding caused by a specific p53 mutation, Y220C, while sparing wild-type p53. The p53 Y220C mutation is associated with approximately 1% of all cancers, including breast, non-small cell lung cancer, or NSCLC, colorectal, pancreatic and ovarian cancers. Rezatapopt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U.S. Food and Drug Administration, or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American Association for Cancer Research, or AACR, the National Cancer Institute, or NCI, and the European Organisation for Research and Treatment of Cancer, or EORTC, International Conference on Molecular Targets and Cancer Therapeutics Annual Meeting. We dosed our first patient in the pivotal Phase 2 monotherapy portion of the PYNNACLE study in the first quarter of 2024. We are continuing to dose patients in the pivotal Phase 2 monotherapy portion of our PYNNACLE trial, and have activated over 90% of sites globally across the U.S., U.K., Europe and Asia-Pacific.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or MDACC, and the Memorial Sloan Kettering Cancer Center, or MSK, to support an investigator-initiated Phase 1b study, which is designed to assess the safety, tolerability, pharmacokinetics, and preliminary efficacy of rezatapopt monotherapy in combination with azacitidine in relapsed or refractory, or R/R, acute myeloid leukemia, or AML, and myelodysplastic syndromes, or MDS, patients harboring a TP53 Y220C mutation. MDACC dosed its first patient for this Phase 1b study in the first quarter of 2025.</w:t>
      </w:r>
    </w:p>
    <w:p>
      <w:pPr>
        <w:spacing w:after="0" w:line="189"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genomic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Rezatapopt and Pipeline</w:t>
      </w:r>
    </w:p>
    <w:p>
      <w:pPr>
        <w:spacing w:after="0" w:line="229"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orally available, potent and highly selective small molecule product candidates that target p53 mutations or other p53-related cancers.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180340</wp:posOffset>
            </wp:positionV>
            <wp:extent cx="4860290" cy="2186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6029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hanging="288"/>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Discovery, we screen compounds against biological assays to identify lead compounds.</w:t>
      </w:r>
    </w:p>
    <w:p>
      <w:pPr>
        <w:spacing w:after="0" w:line="117"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Lead Optimization, we modify the lead compound to improve potency, selectivity, pharmacokinetic and toxicity parameters and physical chemical properties important for clinical development.</w:t>
      </w:r>
    </w:p>
    <w:p>
      <w:pPr>
        <w:spacing w:after="0" w:line="53" w:lineRule="exact"/>
        <w:rPr>
          <w:rFonts w:ascii="Times New Roman" w:cs="Times New Roman" w:eastAsia="Times New Roman" w:hAnsi="Times New Roman"/>
          <w:sz w:val="18"/>
          <w:szCs w:val="18"/>
          <w:color w:val="auto"/>
        </w:rPr>
      </w:pPr>
    </w:p>
    <w:p>
      <w:pPr>
        <w:ind w:left="940" w:right="720" w:hanging="288"/>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IND-Enabling Studies, we conduct preclinical studies, in accordance with Good Laboratory Practice, or GLP, required for an IND submission to the FDA.</w:t>
      </w:r>
    </w:p>
    <w:p>
      <w:pPr>
        <w:spacing w:after="0" w:line="202"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Our lead product candidate, rezatapopt, is designed to be an orally available small molecule that structurally corrects the mutant p53 protein with the Y220C mutation. The p53 Y220C mutation results from tyrosine being substituted by a cysteine at amino acid position 220 and is associated with approximately 1% of all cancers, including breast, NSCLC, colorectal, pancreatic and ovarian cancers. There are currently no products approved by the FDA that selectively target the p53 Y220C mutation.</w:t>
      </w:r>
    </w:p>
    <w:p>
      <w:pPr>
        <w:spacing w:after="0" w:line="180"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Rezatapopt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rezatapopt has shown selective on-target activity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primarily functions in cells with the p53 Y220C mutation) and exhibited robust anti-tumor activity evidenced by potent tumor growth inhibition, or TGI, and strong tumor regression as a single agent.</w:t>
      </w:r>
    </w:p>
    <w:p>
      <w:pPr>
        <w:spacing w:after="0" w:line="18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initiated a Phase 1/2 clinical trial, PYNNACLE, in October 2020 for our lead product candidate, rezatapopt. In October 2020, we were granted FDA Fast Track designation of rezatapopt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Meeting. We dosed our first patient in the pivotal Phase 2 monotherapy portion of the PYNNACLE study in the first quarter of 2024.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vision is to become a leading precision oncology company by designing, developing and commercializing novel precision medicines for every patient with a p53-driven tumor.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64" w:lineRule="exact"/>
        <w:rPr>
          <w:sz w:val="20"/>
          <w:szCs w:val="20"/>
          <w:color w:val="auto"/>
        </w:rPr>
      </w:pPr>
    </w:p>
    <w:p>
      <w:pPr>
        <w:ind w:left="940" w:right="140" w:hanging="288"/>
        <w:spacing w:after="0" w:line="255"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Advancing our lead product candidate, rezatapopt, as a tumor-agnostic, oral small molecule therapy for cancer patients</w:t>
      </w:r>
      <w:r>
        <w:rPr>
          <w:rFonts w:ascii="Times New Roman" w:cs="Times New Roman" w:eastAsia="Times New Roman" w:hAnsi="Times New Roman"/>
          <w:sz w:val="18"/>
          <w:szCs w:val="18"/>
          <w:color w:val="auto"/>
        </w:rPr>
        <w:t>.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rezatapopt to be an orally available, tumor-agnostic therapeutic and, if approved, we believe it could become the first agent to address the p53 Y220C mutation-defined patient population. In October 2020, we initiated a Phase 1/2 clinical trial for rezatapopt in multiple solid tumors with the p53 Y220C mutation. We are conducting our clinical trials in this genomically-defined patient population and leverage learnings from recently approved tumor-agnostic drugs to inform the clinical and regulatory pathways for rezatapopt. In October 2023, we presented our Phase 1 clinical data for rezatapopt and observed partial responses across multiple tumor types. The pivotal Phase 2 monotherapy portion of our PYNNACLE trial initiated in the first quarter of 2024, and we expect to provide interim Phase 2 data by mid-2025.</w:t>
      </w:r>
    </w:p>
    <w:p>
      <w:pPr>
        <w:spacing w:after="0" w:line="76" w:lineRule="exact"/>
        <w:rPr>
          <w:rFonts w:ascii="Times New Roman" w:cs="Times New Roman" w:eastAsia="Times New Roman" w:hAnsi="Times New Roman"/>
          <w:sz w:val="18"/>
          <w:szCs w:val="18"/>
          <w:color w:val="auto"/>
        </w:rPr>
      </w:pPr>
    </w:p>
    <w:p>
      <w:pPr>
        <w:ind w:left="940" w:right="80" w:hanging="288"/>
        <w:spacing w:after="0" w:line="25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Leveraging the advantages of precision medicine and our expertise in p53 biology to pursue accelerated approval of our product candidates</w:t>
      </w:r>
      <w:r>
        <w:rPr>
          <w:rFonts w:ascii="Times New Roman" w:cs="Times New Roman" w:eastAsia="Times New Roman" w:hAnsi="Times New Roman"/>
          <w:sz w:val="18"/>
          <w:szCs w:val="18"/>
          <w:color w:val="auto"/>
        </w:rPr>
        <w:t>. For our lead product candidate, rezatapopt, we are actively working with physicians and leading clinical trial institutions to enroll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the p53 Y220C mutation identified via NGS in our Phase 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the potential to serve as a predictive marker of efficacy, thereby providing clear decision points for clinical development and efficient advancement of our product candidates towards approval. Based on our encouraging PYNNACLE clinical results, we plan to seek breakthrough therapy designation from the FDA for rezatapopt, which, if granted, is intended to expedite clinical development and regulatory review. We intend to maximize the benefit of our product candidates by pursuing a tumor-agnostic approach.</w:t>
      </w:r>
    </w:p>
    <w:p>
      <w:pPr>
        <w:spacing w:after="0" w:line="80" w:lineRule="exact"/>
        <w:rPr>
          <w:rFonts w:ascii="Times New Roman" w:cs="Times New Roman" w:eastAsia="Times New Roman" w:hAnsi="Times New Roman"/>
          <w:sz w:val="18"/>
          <w:szCs w:val="18"/>
          <w:color w:val="auto"/>
        </w:rPr>
      </w:pPr>
    </w:p>
    <w:p>
      <w:pPr>
        <w:ind w:left="940" w:right="100" w:hanging="288"/>
        <w:spacing w:after="0" w:line="25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Identifying and exploring combination therapy approaches for our product candidates</w:t>
      </w:r>
      <w:r>
        <w:rPr>
          <w:rFonts w:ascii="Times New Roman" w:cs="Times New Roman" w:eastAsia="Times New Roman" w:hAnsi="Times New Roman"/>
          <w:sz w:val="18"/>
          <w:szCs w:val="18"/>
          <w:color w:val="auto"/>
        </w:rPr>
        <w:t>. Though rezatapopt has demonstrated clear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robust tumor regression as a single agent in preclinical animal models and clinical proof of concept,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deoxyribonucleic acid, or DNA, damage and upregulate p53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80" w:lineRule="exact"/>
        <w:rPr>
          <w:rFonts w:ascii="Times New Roman" w:cs="Times New Roman" w:eastAsia="Times New Roman" w:hAnsi="Times New Roman"/>
          <w:sz w:val="18"/>
          <w:szCs w:val="18"/>
          <w:color w:val="auto"/>
        </w:rPr>
      </w:pPr>
    </w:p>
    <w:p>
      <w:pPr>
        <w:ind w:left="940" w:right="20" w:hanging="288"/>
        <w:spacing w:after="0" w:line="26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Harnessing the power of our precision oncology platform to discover and develop additional differentiated product candidates. </w:t>
      </w:r>
      <w:r>
        <w:rPr>
          <w:rFonts w:ascii="Times New Roman" w:cs="Times New Roman" w:eastAsia="Times New Roman" w:hAnsi="Times New Roman"/>
          <w:sz w:val="18"/>
          <w:szCs w:val="18"/>
          <w:color w:val="auto"/>
        </w:rPr>
        <w:t>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extensive in-house expertise, deep understanding of chemistry and decades of experience researching the p53 protein, we believe that we will be able to leverage and apply foundational knowledge from the advancement of rezatapopt to the discovery and development of additional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on Targeted Therapies</w:t>
      </w:r>
    </w:p>
    <w:p>
      <w:pPr>
        <w:spacing w:after="0" w:line="229" w:lineRule="exact"/>
        <w:rPr>
          <w:sz w:val="20"/>
          <w:szCs w:val="20"/>
          <w:color w:val="auto"/>
        </w:rPr>
      </w:pPr>
    </w:p>
    <w:p>
      <w:pPr>
        <w:ind w:right="60" w:firstLine="659"/>
        <w:spacing w:after="0" w:line="261" w:lineRule="auto"/>
        <w:rPr>
          <w:sz w:val="20"/>
          <w:szCs w:val="20"/>
          <w:color w:val="auto"/>
        </w:rPr>
      </w:pPr>
      <w:r>
        <w:rPr>
          <w:rFonts w:ascii="Times New Roman" w:cs="Times New Roman" w:eastAsia="Times New Roman" w:hAnsi="Times New Roman"/>
          <w:sz w:val="18"/>
          <w:szCs w:val="18"/>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8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Recent advances in genomic sequencing and a better understanding of the genomic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Qinlock, in GIST (Deciphera); Krazati and Lumakras in KRAS G12C mutated NSCLC (Mirati and Amgen); Augtyro in ROS1 positive NSCLC tumors (Turning Point); and Bizengri in NSCLC and pancreatic tumors with a NRG1-positive gene fusion (Merus) all received approvals within five years of first dosing in humans. This time period is significantly reduced compared to conventional drug development timelines. Despite this progress, a recent analysis found that only 16% of patients with metastatic cancer have tumors with genomic profiles eligible for treatment with an approved targeted agent, which leaves a large opportunity for precision oncology.</w:t>
      </w:r>
    </w:p>
    <w:p>
      <w:pPr>
        <w:spacing w:after="0" w:line="187"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genomic mutation that defines the disease, as opposed to the tumor type. These include the aforementioned Vitrakvi, Rozlytrek and Augtyro approvals in NTRK gene fusion-positive solid tumors as well as KEYTRUDA and Jemperli, respectively, approval in metastatic microsatellite instability-high or deficient mismatch repair solid tumors. KEYTRUDA is also approved in tumor mutational burden-high-(TMB-H) solid tumors. In addition, the combination of Taflinar and Mekinist was approved for BRAF V600E mutation positive unresectable or metastatic solid tumors (with the exception of colorectal cancer). In addition, Retevmo was approved for RET gene fusion-positive solid tumors and Enhertu was approved for HER2-Positive (IHC 3+) unresectable or metastatic solid tumors. We believe that these approvals represent a fundamental shift in the development of targeted therapies and will increasingly lead to cancer being characterized for treatment in a genomic, rather than in a tumor-specific, manner, based on a biological rationale.</w:t>
      </w:r>
    </w:p>
    <w:p>
      <w:pPr>
        <w:spacing w:after="0" w:line="194"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widespread recognition that cancer is a genetic disease, as much as it is a disease defined by histology or anatomical location, has driven the increased use of genomic sequencing, which is now employed by approximately 75% of oncologists in the United States. As DNA sequencing technology advances, the availability of well-defined genomic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genomic sequencing are leading to transformations in the discovery and development of new targeted oncology drugs.</w:t>
      </w:r>
    </w:p>
    <w:p>
      <w:pPr>
        <w:spacing w:after="0" w:line="187"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an effective way to address p53-driven cancers is by targeting individual p53 mutations using a precision oncology approach and significantly expanding the scope of patients who can benefit from targeted therapies.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Product Candidate and Development Programs</w:t>
      </w:r>
    </w:p>
    <w:p>
      <w:pPr>
        <w:spacing w:after="0" w:line="229" w:lineRule="exact"/>
        <w:rPr>
          <w:sz w:val="20"/>
          <w:szCs w:val="20"/>
          <w:color w:val="auto"/>
        </w:rPr>
      </w:pPr>
    </w:p>
    <w:p>
      <w:pPr>
        <w:ind w:right="760" w:firstLine="644"/>
        <w:spacing w:after="0" w:line="282"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 small molecule product candidates.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114300</wp:posOffset>
            </wp:positionV>
            <wp:extent cx="4860290" cy="2186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6029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40" w:hanging="28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Discovery, we screen compounds against biological assays to identify lead compounds.</w:t>
      </w:r>
    </w:p>
    <w:p>
      <w:pPr>
        <w:spacing w:after="0" w:line="117"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Lead Optimization, we modify the lead compound to improve potency, selectivity, pharmacokinetic and toxicity parameters and physical chemical properties important for clinical development.</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IND-Enabling Studies, we conduct preclinical studies, in accordance with GLP required for an IND submission to the FDA.</w:t>
      </w:r>
    </w:p>
    <w:p>
      <w:pPr>
        <w:spacing w:after="0" w:line="22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expect to initially seek approval of our product candidates in most instances, including with rezatapopt, at least as a second line therapy or for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Rezatapopt: A Selective Structural Corrector of p53 Y220C Mutations</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P53 is the most widely mutated gene in human cancers. The vast majority of these mutations occur as a result of missense mutations that are found in the DNA binding domain. P53 Y220C mutations are found in approximately 1% of all cancers. This particular mutation is expressed in a large variety of solid tumors, including breast, NSCLC, colorectal, pancreatic and ovarian cancers. Our lead product candidate, rezatapopt, is designed to be an orally available small molecule that structurally corrects a p53 protein containing the Y220C mutation and restores wild-type p53 function.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94"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83"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w:t>
      </w:r>
    </w:p>
    <w:p>
      <w:pPr>
        <w:spacing w:after="0" w:line="203"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of Rezatapopt</w:t>
      </w:r>
    </w:p>
    <w:p>
      <w:pPr>
        <w:spacing w:after="0" w:line="135" w:lineRule="exact"/>
        <w:rPr>
          <w:sz w:val="20"/>
          <w:szCs w:val="20"/>
          <w:color w:val="auto"/>
        </w:rPr>
      </w:pPr>
    </w:p>
    <w:p>
      <w:pPr>
        <w:jc w:val="both"/>
        <w:ind w:right="140" w:firstLine="644"/>
        <w:spacing w:after="0" w:line="266" w:lineRule="auto"/>
        <w:rPr>
          <w:sz w:val="20"/>
          <w:szCs w:val="20"/>
          <w:color w:val="auto"/>
        </w:rPr>
      </w:pPr>
      <w:r>
        <w:rPr>
          <w:rFonts w:ascii="Times New Roman" w:cs="Times New Roman" w:eastAsia="Times New Roman" w:hAnsi="Times New Roman"/>
          <w:sz w:val="18"/>
          <w:szCs w:val="18"/>
          <w:color w:val="auto"/>
        </w:rPr>
        <w:t>We initiated a Phase 1/2 clinical trial, PYNNACLE, for rezatapopt in October 2020. In addition, we were granted FDA Fast Track designation of rezatapopt for the treatment of patients with locally advanced or metastatic solid tumors with a p53 Y220C mutation in October 2020. We dosed our first patient in this clinical trial in the fourth quarter of 2020.</w:t>
      </w:r>
    </w:p>
    <w:p>
      <w:pPr>
        <w:spacing w:after="0" w:line="214" w:lineRule="exact"/>
        <w:rPr>
          <w:sz w:val="20"/>
          <w:szCs w:val="20"/>
          <w:color w:val="auto"/>
        </w:rPr>
      </w:pPr>
    </w:p>
    <w:p>
      <w:pPr>
        <w:ind w:right="20" w:firstLine="64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1 Completion. </w:t>
      </w:r>
      <w:r>
        <w:rPr>
          <w:rFonts w:ascii="Times New Roman" w:cs="Times New Roman" w:eastAsia="Times New Roman" w:hAnsi="Times New Roman"/>
          <w:sz w:val="18"/>
          <w:szCs w:val="18"/>
          <w:color w:val="auto"/>
        </w:rPr>
        <w:t>In July 2023, we concluded our End of Phase 1 meeting with the FDA with alignment on the recommended Phase 2 dose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elements of the single arm, Phase 2 registrational portion of the PYNNACLE study. In October 2023, we presented our updated Phase 1 clinical data for rezatapopt at the 2023 AACR-NCI-EORTC International Conference on Molecular Targets and Cancer Therapeutics Meeting.</w:t>
      </w:r>
    </w:p>
    <w:p>
      <w:pPr>
        <w:spacing w:after="0" w:line="202"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The updated Phase 1 data, as of a September 5, 2023 data cutoff date, included enrollment of 67 patients with the p53 Y220C mutation, 51 of whom had measurable disease of which 38 were also KRAS wild type. Patients in the study had a median age of 63 (range of 32-84 years of age) with a range of tumor types and were heavily pretreated with a median of three prior lines of therapy. Of these patients, 38 patients with measurable disease and were KRAS wild type, were treated in the efficacious dose range, which was defined as a dose from 1150mg QD to 1500mg BID. In the efficacious dose range, confirmed partial responses were observed per investigator assessment (RECIST v1.1) in 13 patients (34%) across multiple different tumor types including breast, endometrial, ovarian, small cell lung and prostate cancer. After the data cutoff date, a confirmed partial response was also observed in a head and neck cancer patient. Best response of stable disease, or SD, or confirmed partial response was observed in 33 of the 38 patients (87%) in the efficacious dose range. We also evaluated patients at the recommended Phase 2 dose of 2000 mg QD. Among the 16 patients treated at the recommended Phase 2 dose level, confirmed partial responses were observed per investigator assessment (RECIST v1.1) in 6 patients (38%) across multiple tumor types, including those noted above. Best response of SD or confirmed partial response was observed in 14 of the 16 patients (88%).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1040765</wp:posOffset>
            </wp:positionV>
            <wp:extent cx="5023485" cy="2623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02348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20" w:firstLine="644"/>
        <w:spacing w:after="0" w:line="266" w:lineRule="auto"/>
        <w:rPr>
          <w:sz w:val="20"/>
          <w:szCs w:val="20"/>
          <w:color w:val="auto"/>
        </w:rPr>
      </w:pPr>
      <w:r>
        <w:rPr>
          <w:rFonts w:ascii="Times New Roman" w:cs="Times New Roman" w:eastAsia="Times New Roman" w:hAnsi="Times New Roman"/>
          <w:sz w:val="18"/>
          <w:szCs w:val="18"/>
          <w:color w:val="auto"/>
        </w:rPr>
        <w:t>Rezatapopt was observed to be generally well-tolerated (across 67 patients treated with rezatapopt monotherapy as of September 5, 2023). The majority of adverse events were mild or moderate (Grade 1 or 2) in severity with the most frequent adverse events being nausea, vomiting, aspartate transaminase, or AST,/alanine transaminase, or ALT, increase, anemia, blood creatinine increase and fatigue.</w:t>
      </w:r>
    </w:p>
    <w:p>
      <w:pPr>
        <w:spacing w:after="0" w:line="214"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Phase 2 and Combination Studies. </w:t>
      </w:r>
      <w:r>
        <w:rPr>
          <w:rFonts w:ascii="Times New Roman" w:cs="Times New Roman" w:eastAsia="Times New Roman" w:hAnsi="Times New Roman"/>
          <w:sz w:val="18"/>
          <w:szCs w:val="18"/>
          <w:color w:val="auto"/>
        </w:rPr>
        <w:t>We dosed our first patient in the pivotal Phase 2 monotherapy portion of the PYNNACLE study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2024. We are continuing to dose patients in the study, and have activated over 90% of sites globally across the U.S., U.K., Europe and Asia-Pacific.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229"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In addition to our rezatapopt program, we are focused on developing a pipeline of product candidates targeting other p53 mutations or p53-related targets. These programs have been developed using our precision oncology platform and expertise.</w:t>
      </w:r>
    </w:p>
    <w:p>
      <w:pPr>
        <w:spacing w:after="0" w:line="16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are able to utilize the same general principles and similar drug discovery methods developed from our rezatapopt, p53 Y220C, program to facilitate the development of additional new product candidates. We study the structural and functional properties of the target. We use assays, screens, preclinical model systems and biomarkers to assess and optimize selective small molecules. By leveraging our team’s depth of expertise around p53, we are positioned to accelerate our efforts to expand the pipeline of therapies that target p53 or other p53-related cancers.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7"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therapies targeting p53 mutations and other p53-related cancers.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Jacobio Pharmaceuticals, Frontier Medicines, Nutshell Therapeutics, Scorpion Therapeutics and AstraZeneca,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Kartos Therapeutics, Kymera Therapeutics, Otsuka Pharmaceuticals, Novartis and Roche, including testing MDM2 inhibitors in combination with a variety of other anti-cancer agents.</w:t>
      </w:r>
    </w:p>
    <w:p>
      <w:pPr>
        <w:spacing w:after="0" w:line="192"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genomically-defined cancers. If rezatapopt or our future product candidates do not offer sustainable advantages over competing products, we may otherwise not be able to successfully compete against current and future competitors.</w:t>
      </w:r>
    </w:p>
    <w:p>
      <w:pPr>
        <w:spacing w:after="0" w:line="18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0" w:lineRule="exact"/>
        <w:rPr>
          <w:sz w:val="20"/>
          <w:szCs w:val="20"/>
          <w:color w:val="auto"/>
        </w:rPr>
      </w:pPr>
    </w:p>
    <w:p>
      <w:pPr>
        <w:ind w:right="400" w:firstLine="644"/>
        <w:spacing w:after="0" w:line="261"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manufacture of our product candidates undergoing preclinical and clinical testing, as well as for commercial manufacture if our product candidates receive marketing approval.</w:t>
      </w:r>
    </w:p>
    <w:p>
      <w:pPr>
        <w:spacing w:after="0" w:line="176"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76"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 In May 2024, we entered into a partnership with Foundation Medicine, Inc. to develop Foundation Medicine’s tissue-based comprehensive genomic profiling test, FoundationOne®CDx, as a companion diagnostic for rezatapopt. 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76" w:lineRule="exact"/>
        <w:rPr>
          <w:sz w:val="20"/>
          <w:szCs w:val="20"/>
          <w:color w:val="auto"/>
        </w:rPr>
      </w:pPr>
    </w:p>
    <w:p>
      <w:pPr>
        <w:ind w:right="220" w:firstLine="644"/>
        <w:spacing w:after="0" w:line="261" w:lineRule="auto"/>
        <w:rPr>
          <w:sz w:val="20"/>
          <w:szCs w:val="20"/>
          <w:color w:val="auto"/>
        </w:rPr>
      </w:pPr>
      <w:r>
        <w:rPr>
          <w:rFonts w:ascii="Times New Roman" w:cs="Times New Roman" w:eastAsia="Times New Roman" w:hAnsi="Times New Roman"/>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8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7"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205"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8"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87"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February 21, 2025, we owned nine issued U.S. patents and nine granted foreign patents relating to methods of use and composition of matter of PMV compounds, including rezatapopt, at least 10 pending U.S. patent applications, and at least 40 pending foreign patent applications, each of which relates to methods of use and composition of matter of PMV compounds. The nine issued U.S. patents are expected to expire between 2037 and 2043, without taking into account any possible patent term adjustment or extensions.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54" w:lineRule="exact"/>
        <w:rPr>
          <w:sz w:val="20"/>
          <w:szCs w:val="20"/>
          <w:color w:val="auto"/>
        </w:rPr>
      </w:pPr>
    </w:p>
    <w:p>
      <w:pPr>
        <w:ind w:left="960" w:right="720" w:hanging="29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FDA’s good laboratory practice requirements and other applicable regulations;</w:t>
      </w:r>
    </w:p>
    <w:p>
      <w:pPr>
        <w:spacing w:after="0" w:line="53"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960" w:right="20" w:hanging="29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new drug application, or NDA, after completion of all pivotal trials;</w:t>
      </w:r>
    </w:p>
    <w:p>
      <w:pPr>
        <w:spacing w:after="0" w:line="11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to accept the filing for substantive review;</w:t>
      </w:r>
    </w:p>
    <w:p>
      <w:pPr>
        <w:spacing w:after="0" w:line="11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960" w:right="200" w:hanging="29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6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22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unacceptable safety risk for subjects or other grounds, such as no demonstration of efficacy. There are also requirements governing the reporting of ongoing clinical studies and clinical study results to public registries.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940" w:right="100" w:hanging="288"/>
        <w:spacing w:after="0" w:line="258"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5" w:lineRule="exact"/>
        <w:rPr>
          <w:rFonts w:ascii="Times New Roman" w:cs="Times New Roman" w:eastAsia="Times New Roman" w:hAnsi="Times New Roman"/>
          <w:sz w:val="18"/>
          <w:szCs w:val="18"/>
          <w:color w:val="auto"/>
        </w:rPr>
      </w:pPr>
    </w:p>
    <w:p>
      <w:pPr>
        <w:ind w:left="940" w:right="20" w:hanging="288"/>
        <w:spacing w:after="0" w:line="266"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7" w:lineRule="exact"/>
        <w:rPr>
          <w:rFonts w:ascii="Times New Roman" w:cs="Times New Roman" w:eastAsia="Times New Roman" w:hAnsi="Times New Roman"/>
          <w:sz w:val="18"/>
          <w:szCs w:val="18"/>
          <w:color w:val="auto"/>
        </w:rPr>
      </w:pPr>
    </w:p>
    <w:p>
      <w:pPr>
        <w:jc w:val="both"/>
        <w:ind w:left="940" w:hanging="288"/>
        <w:spacing w:after="0" w:line="289"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8" w:lineRule="exact"/>
        <w:rPr>
          <w:sz w:val="20"/>
          <w:szCs w:val="20"/>
          <w:color w:val="auto"/>
        </w:rPr>
      </w:pPr>
    </w:p>
    <w:p>
      <w:pPr>
        <w:ind w:right="360" w:firstLine="644"/>
        <w:spacing w:after="0" w:line="261" w:lineRule="auto"/>
        <w:rPr>
          <w:sz w:val="20"/>
          <w:szCs w:val="20"/>
          <w:color w:val="auto"/>
        </w:rPr>
      </w:pPr>
      <w:r>
        <w:rPr>
          <w:rFonts w:ascii="Times New Roman" w:cs="Times New Roman" w:eastAsia="Times New Roman" w:hAnsi="Times New Roman"/>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80"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8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83"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incidence of a serious suspected adverse reaction compared to that listed in the protocol or investigator brochure.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Review and Approval Process</w:t>
      </w:r>
    </w:p>
    <w:p>
      <w:pPr>
        <w:spacing w:after="0" w:line="121"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92"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9"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7"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2"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9"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post-approval study requirements and setting forth procedures for the FDA to withdraw a product on an expedited basis for non-compliance with post-approval requirements.</w:t>
      </w:r>
    </w:p>
    <w:p>
      <w:pPr>
        <w:spacing w:after="0" w:line="162"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92"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940" w:hanging="28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17"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ind w:left="940" w:hanging="28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940" w:right="260" w:hanging="288"/>
        <w:spacing w:after="0" w:line="282"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92"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83"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9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9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right="80" w:firstLine="644"/>
        <w:spacing w:after="0" w:line="269" w:lineRule="auto"/>
        <w:rPr>
          <w:sz w:val="20"/>
          <w:szCs w:val="20"/>
          <w:color w:val="auto"/>
        </w:rPr>
      </w:pPr>
      <w:r>
        <w:rPr>
          <w:rFonts w:ascii="Times New Roman" w:cs="Times New Roman" w:eastAsia="Times New Roman" w:hAnsi="Times New Roman"/>
          <w:sz w:val="17"/>
          <w:szCs w:val="17"/>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w:t>
      </w:r>
    </w:p>
    <w:p>
      <w:pPr>
        <w:spacing w:after="0" w:line="3" w:lineRule="exact"/>
        <w:rPr>
          <w:sz w:val="20"/>
          <w:szCs w:val="20"/>
          <w:color w:val="auto"/>
        </w:rPr>
      </w:pPr>
    </w:p>
    <w:p>
      <w:pPr>
        <w:jc w:val="both"/>
        <w:ind w:right="14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80"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Trump administration may lead to new policies, changes in the regulations, or disruptions to the operations of federal agencies, any of which may impact our clinical development plans.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87"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risk of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90"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9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Trump administration will impact the ACA and our business.</w:t>
      </w:r>
    </w:p>
    <w:p>
      <w:pPr>
        <w:spacing w:after="0" w:line="188"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effective April 1, 2013, which will remain in effect through 2032, unless additional Congressional action is taken.</w:t>
      </w:r>
    </w:p>
    <w:p>
      <w:pPr>
        <w:spacing w:after="0" w:line="176" w:lineRule="exact"/>
        <w:rPr>
          <w:sz w:val="20"/>
          <w:szCs w:val="20"/>
          <w:color w:val="auto"/>
        </w:rPr>
      </w:pPr>
    </w:p>
    <w:p>
      <w:pPr>
        <w:ind w:right="620" w:firstLine="644"/>
        <w:spacing w:after="0" w:line="266"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review the relationship between pricing and manufacturer patient programs and reform government program reimbursement methodologies for pharmaceutical products. Specifically, there have been several recent U.S. Presidential executive orders,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are unconstitutional. The impact of these judicial challenges and future government reform measures on us and the pharmaceutical industry as a whole is unclear.</w:t>
      </w:r>
    </w:p>
    <w:p>
      <w:pPr>
        <w:spacing w:after="0" w:line="189"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 xml:space="preserve">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(or decision to grant a De Novo classification request if there is no predicate device), and premarket approval, or PMA approval. In January 2024, FDA announced its plans to reclassify certain high-risk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as Class II devices. As such, to the extent we or our collaborators develop a companion diagnostic, it may be regulated as a Class II or Class III medical device, depending on its intended use and technical characteristics, among other factors.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process</w:t>
      </w:r>
    </w:p>
    <w:p>
      <w:pPr>
        <w:spacing w:after="0" w:line="12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87"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94"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process</w:t>
      </w:r>
    </w:p>
    <w:p>
      <w:pPr>
        <w:spacing w:after="0" w:line="121"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7"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760" w:firstLine="644"/>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181818"/>
        </w:rPr>
        <w:t>March 3, 2025</w:t>
      </w:r>
      <w:r>
        <w:rPr>
          <w:rFonts w:ascii="Times New Roman" w:cs="Times New Roman" w:eastAsia="Times New Roman" w:hAnsi="Times New Roman"/>
          <w:sz w:val="18"/>
          <w:szCs w:val="18"/>
          <w:color w:val="auto"/>
        </w:rPr>
        <w:t>, we had 47 full-time employees, including 14 employees with Ph.D., M.D. or Pharm.D. degrees. Of these full-time employees, 36 employees are engaged in research and development activities.</w:t>
      </w:r>
    </w:p>
    <w:p>
      <w:pPr>
        <w:spacing w:after="0" w:line="162"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consider our relationship with our employees to be good.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though the granting of stock-based and cash-based compensation awards, to increase stockholder value and our success by motivating such individuals to perform to the best of their abilities and achieve our objectives.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22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that meets periodically, with oversight by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nominating and corporate governance committee of our board of directors. Our ESG Working Group oversees our sustainability efforts, and we have documented our initiatives in our 2024 ESG Highlights Report, which is available on our website at ir.pmvpharma.com. The content provided in our 2024 ESG Highlights Report or accessible through our website is not incorporated by reference as part of this Annual Report on Form 10-K.</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18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659"/>
        <w:spacing w:after="0" w:line="253" w:lineRule="auto"/>
        <w:rPr>
          <w:sz w:val="20"/>
          <w:szCs w:val="20"/>
          <w:color w:val="auto"/>
        </w:rPr>
      </w:pPr>
      <w:r>
        <w:rPr>
          <w:rFonts w:ascii="Times New Roman" w:cs="Times New Roman" w:eastAsia="Times New Roman" w:hAnsi="Times New Roman"/>
          <w:sz w:val="18"/>
          <w:szCs w:val="18"/>
          <w:color w:val="auto"/>
        </w:rPr>
        <w:t>Our Internet address is www.pmvpharma.com.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with the Securities and Exchange Commission, or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ir.pmvpharma.com as soon as reasonably practicable after we electronically file or furnish such information with the SEC.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64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appearing elsewhere in this Annual Report on Form 10-K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51" w:lineRule="exact"/>
        <w:rPr>
          <w:sz w:val="20"/>
          <w:szCs w:val="20"/>
          <w:color w:val="auto"/>
        </w:rPr>
      </w:pPr>
    </w:p>
    <w:p>
      <w:pPr>
        <w:ind w:left="940" w:right="260" w:hanging="288"/>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3" w:lineRule="exact"/>
        <w:rPr>
          <w:rFonts w:ascii="Times New Roman" w:cs="Times New Roman" w:eastAsia="Times New Roman" w:hAnsi="Times New Roman"/>
          <w:sz w:val="18"/>
          <w:szCs w:val="18"/>
          <w:color w:val="auto"/>
        </w:rPr>
      </w:pPr>
    </w:p>
    <w:p>
      <w:pPr>
        <w:ind w:left="940" w:right="100" w:hanging="288"/>
        <w:spacing w:after="0" w:line="26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940" w:hanging="288"/>
        <w:spacing w:after="0" w:line="26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940" w:hanging="288"/>
        <w:spacing w:after="0" w:line="261"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preclinical and clinical development is focused on the development of precision medicines for patients with genomically defined cancers, which is a rapidly evolving area of science, and the approach we are taking to discover and develop drugs targeting p53 hotspot mutations and other p53-related cancers is novel, may never lead to marketable products and may not ultimately represent a significant market;</w:t>
      </w:r>
    </w:p>
    <w:p>
      <w:pPr>
        <w:spacing w:after="0" w:line="71" w:lineRule="exact"/>
        <w:rPr>
          <w:rFonts w:ascii="Times New Roman" w:cs="Times New Roman" w:eastAsia="Times New Roman" w:hAnsi="Times New Roman"/>
          <w:sz w:val="18"/>
          <w:szCs w:val="18"/>
          <w:color w:val="auto"/>
        </w:rPr>
      </w:pPr>
    </w:p>
    <w:p>
      <w:pPr>
        <w:ind w:left="940" w:right="20" w:hanging="288"/>
        <w:spacing w:after="0" w:line="261"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71" w:lineRule="exact"/>
        <w:rPr>
          <w:rFonts w:ascii="Times New Roman" w:cs="Times New Roman" w:eastAsia="Times New Roman" w:hAnsi="Times New Roman"/>
          <w:sz w:val="18"/>
          <w:szCs w:val="18"/>
          <w:color w:val="auto"/>
        </w:rPr>
      </w:pPr>
    </w:p>
    <w:p>
      <w:pPr>
        <w:ind w:left="940" w:right="360" w:hanging="288"/>
        <w:spacing w:after="0" w:line="312"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1" w:lineRule="exact"/>
        <w:rPr>
          <w:rFonts w:ascii="Times New Roman" w:cs="Times New Roman" w:eastAsia="Times New Roman" w:hAnsi="Times New Roman"/>
          <w:sz w:val="17"/>
          <w:szCs w:val="17"/>
          <w:color w:val="auto"/>
        </w:rPr>
      </w:pPr>
    </w:p>
    <w:p>
      <w:pPr>
        <w:ind w:left="940" w:right="220" w:hanging="288"/>
        <w:spacing w:after="0" w:line="312"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31" w:lineRule="exact"/>
        <w:rPr>
          <w:rFonts w:ascii="Times New Roman" w:cs="Times New Roman" w:eastAsia="Times New Roman" w:hAnsi="Times New Roman"/>
          <w:sz w:val="17"/>
          <w:szCs w:val="17"/>
          <w:color w:val="auto"/>
        </w:rPr>
      </w:pPr>
    </w:p>
    <w:p>
      <w:pPr>
        <w:ind w:left="940" w:right="60" w:hanging="288"/>
        <w:spacing w:after="0" w:line="261"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or will be delayed in commercializing, our product candidates, and our ability to generate revenue will be materially impaired;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9" w:name="page30"/>
    <w:bookmarkEnd w:id="29"/>
    <w:p>
      <w:pPr>
        <w:spacing w:after="0" w:line="86" w:lineRule="exact"/>
        <w:rPr>
          <w:sz w:val="20"/>
          <w:szCs w:val="20"/>
          <w:color w:val="auto"/>
        </w:rPr>
      </w:pPr>
    </w:p>
    <w:p>
      <w:pPr>
        <w:jc w:val="both"/>
        <w:ind w:left="940" w:right="80" w:hanging="288"/>
        <w:spacing w:after="0" w:line="266"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rFonts w:ascii="Times New Roman" w:cs="Times New Roman" w:eastAsia="Times New Roman" w:hAnsi="Times New Roman"/>
          <w:sz w:val="18"/>
          <w:szCs w:val="18"/>
          <w:color w:val="auto"/>
        </w:rPr>
      </w:pPr>
    </w:p>
    <w:p>
      <w:pPr>
        <w:ind w:left="940" w:right="140" w:hanging="288"/>
        <w:spacing w:after="0" w:line="266"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 and</w:t>
      </w:r>
    </w:p>
    <w:p>
      <w:pPr>
        <w:spacing w:after="0" w:line="67" w:lineRule="exact"/>
        <w:rPr>
          <w:rFonts w:ascii="Times New Roman" w:cs="Times New Roman" w:eastAsia="Times New Roman" w:hAnsi="Times New Roman"/>
          <w:sz w:val="18"/>
          <w:szCs w:val="18"/>
          <w:color w:val="auto"/>
        </w:rPr>
      </w:pPr>
    </w:p>
    <w:p>
      <w:pPr>
        <w:ind w:left="940" w:right="400" w:hanging="288"/>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Business, Financial Condition, Results of Operations and Need for Additional Capital</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Our lead product candidate, rezatapopt, received authorization to proceed under an IND with the FDA in September 2020 and then received Fast Track designation in October 2020. In the fourth quarter of 2020, we initiated patient dosing in our Phase 1/2 clinical trial of rezatapopt. We announced preliminary results from the Phase 1/2 clinical trial of rezatapopt in June 2022. In October 2023, we announced updated Phase 1 results from the Phase 1/2 clinical trial of rezatapopt, and we dosed our first patient in the pivotal Phase 2 monotherapy portion of the trial in the first quarter of 2024. In October 2024, we discontinued enrollment in the Phase 1b combination arm of the PYNNACLE trial evaluating rezatapopt in combination with Merck and Co.’s anti-PD-1 therapy KEYTRUDA® (pembrolizumab) in patients with advanced solid tumors harboring a TP53 Y220C mutation. We have not demonstrated an ability to successfully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7"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5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process of developing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 our initial public offering and our at-the-market equity offering program.</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incurred significant net losses in each period since we commenced operations in March 2013. Our net losses were $58.7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 million for the years ended December 31, 2024 and 2023, respectively. As of December 31, 2024, we had an accumulated deficit of $368.7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losses have resulted from expenses incurred in connection with our research and development programs and from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costs associated with our operations. Additionally, the net losses we incur may fluctuate significantly from quarter to quarter such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period-to-period comparison of our results of operations may not be a good indicator of our future performance.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17" w:lineRule="exact"/>
        <w:rPr>
          <w:sz w:val="20"/>
          <w:szCs w:val="20"/>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IND applications for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demonstrate adequate efficacy or an acceptable safety profile in our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3" w:lineRule="exact"/>
        <w:rPr>
          <w:rFonts w:ascii="Times New Roman" w:cs="Times New Roman" w:eastAsia="Times New Roman" w:hAnsi="Times New Roman"/>
          <w:sz w:val="18"/>
          <w:szCs w:val="18"/>
          <w:color w:val="auto"/>
        </w:rPr>
      </w:pPr>
    </w:p>
    <w:p>
      <w:pPr>
        <w:ind w:left="940" w:right="440" w:hanging="288"/>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93" w:lineRule="exact"/>
        <w:rPr>
          <w:sz w:val="20"/>
          <w:szCs w:val="20"/>
          <w:color w:val="auto"/>
        </w:rPr>
      </w:pPr>
    </w:p>
    <w:p>
      <w:pPr>
        <w:ind w:right="380" w:firstLine="64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announced preliminary results for our Phase 1/2 clinical trial of our lead product candidate, rezatapopt, in June 2022, and announced updated Phase 1 results in October 2023. We are continuing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82" w:lineRule="exact"/>
        <w:rPr>
          <w:sz w:val="20"/>
          <w:szCs w:val="20"/>
          <w:color w:val="auto"/>
        </w:rPr>
      </w:pPr>
    </w:p>
    <w:p>
      <w:pPr>
        <w:ind w:left="940" w:right="440" w:hanging="288"/>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our clinical trials for our lead product candidate, rezatapopt,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67" w:lineRule="exact"/>
        <w:rPr>
          <w:rFonts w:ascii="Times New Roman" w:cs="Times New Roman" w:eastAsia="Times New Roman" w:hAnsi="Times New Roman"/>
          <w:sz w:val="18"/>
          <w:szCs w:val="18"/>
          <w:color w:val="auto"/>
        </w:rPr>
      </w:pPr>
    </w:p>
    <w:p>
      <w:pPr>
        <w:ind w:left="940" w:right="340" w:hanging="288"/>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rezatapopt and our future product candidates;</w:t>
      </w:r>
    </w:p>
    <w:p>
      <w:pPr>
        <w:spacing w:after="0" w:line="53" w:lineRule="exact"/>
        <w:rPr>
          <w:rFonts w:ascii="Times New Roman" w:cs="Times New Roman" w:eastAsia="Times New Roman" w:hAnsi="Times New Roman"/>
          <w:sz w:val="18"/>
          <w:szCs w:val="18"/>
          <w:color w:val="auto"/>
        </w:rPr>
      </w:pPr>
    </w:p>
    <w:p>
      <w:pPr>
        <w:ind w:left="940" w:right="680" w:hanging="288"/>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and receive authorization to proceed under INDs or comparable applications;</w:t>
      </w:r>
    </w:p>
    <w:p>
      <w:pPr>
        <w:spacing w:after="0" w:line="53" w:lineRule="exact"/>
        <w:rPr>
          <w:rFonts w:ascii="Times New Roman" w:cs="Times New Roman" w:eastAsia="Times New Roman" w:hAnsi="Times New Roman"/>
          <w:sz w:val="18"/>
          <w:szCs w:val="18"/>
          <w:color w:val="auto"/>
        </w:rPr>
      </w:pPr>
    </w:p>
    <w:p>
      <w:pPr>
        <w:ind w:left="940" w:right="320" w:hanging="288"/>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940" w:right="80" w:hanging="288"/>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7" w:lineRule="exact"/>
        <w:rPr>
          <w:rFonts w:ascii="Times New Roman" w:cs="Times New Roman" w:eastAsia="Times New Roman" w:hAnsi="Times New Roman"/>
          <w:sz w:val="18"/>
          <w:szCs w:val="18"/>
          <w:color w:val="auto"/>
        </w:rPr>
      </w:pPr>
    </w:p>
    <w:p>
      <w:pPr>
        <w:ind w:left="940" w:right="140" w:hanging="288"/>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comparable foreign regulatory authorities;</w:t>
      </w:r>
    </w:p>
    <w:p>
      <w:pPr>
        <w:spacing w:after="0" w:line="117" w:lineRule="exact"/>
        <w:rPr>
          <w:rFonts w:ascii="Times New Roman" w:cs="Times New Roman" w:eastAsia="Times New Roman" w:hAnsi="Times New Roman"/>
          <w:sz w:val="18"/>
          <w:szCs w:val="18"/>
          <w:color w:val="auto"/>
        </w:rPr>
      </w:pPr>
    </w:p>
    <w:p>
      <w:pPr>
        <w:ind w:left="940" w:right="280" w:hanging="288"/>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3" w:lineRule="exact"/>
        <w:rPr>
          <w:rFonts w:ascii="Times New Roman" w:cs="Times New Roman" w:eastAsia="Times New Roman" w:hAnsi="Times New Roman"/>
          <w:sz w:val="18"/>
          <w:szCs w:val="18"/>
          <w:color w:val="auto"/>
        </w:rPr>
      </w:pPr>
    </w:p>
    <w:p>
      <w:pPr>
        <w:ind w:left="940" w:right="120" w:hanging="288"/>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3" w:lineRule="exact"/>
        <w:rPr>
          <w:rFonts w:ascii="Times New Roman" w:cs="Times New Roman" w:eastAsia="Times New Roman" w:hAnsi="Times New Roman"/>
          <w:sz w:val="18"/>
          <w:szCs w:val="18"/>
          <w:color w:val="auto"/>
        </w:rPr>
      </w:pPr>
    </w:p>
    <w:p>
      <w:pPr>
        <w:ind w:left="940" w:right="340" w:hanging="288"/>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requirements;</w:t>
      </w:r>
    </w:p>
    <w:p>
      <w:pPr>
        <w:spacing w:after="0" w:line="67" w:lineRule="exact"/>
        <w:rPr>
          <w:rFonts w:ascii="Times New Roman" w:cs="Times New Roman" w:eastAsia="Times New Roman" w:hAnsi="Times New Roman"/>
          <w:sz w:val="18"/>
          <w:szCs w:val="18"/>
          <w:color w:val="auto"/>
        </w:rPr>
      </w:pPr>
    </w:p>
    <w:p>
      <w:pPr>
        <w:ind w:left="940" w:hanging="288"/>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to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93"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rezatapopt,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8"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As of December 31, 2024, we had $183.3 million in cash, cash equivalents, and marketable securities. Although we believe that our available cash, cash equivalents, and marketable securities will be sufficient to fund our planned operations at least through the end of 2026,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This belief also does not reflect the possibility that we may not be able to access a portion of our existing cash and cash equivalents due to market conditions.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United States, or that any bank or financial institution with which we do business will be able to obtain needed liquidity from other banks, government institutions or by acquisition in the event of a failure or liquidity crisis.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940" w:right="40" w:hanging="288"/>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product candidates or any future product candidates we choose to pursue, and conducting preclinical studies and clinical trials, including our clinical trials of rezatapopt;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 candidates we develop or acquire;</w:t>
      </w:r>
    </w:p>
    <w:p>
      <w:pPr>
        <w:spacing w:after="0" w:line="117"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and/or other payments we are required to make pursuant to any future license or collaboration agreements;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or any future product candidates and any products we successfully commercialize;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our product candidates, if approved for sale, including marketing, sales and distribution costs;</w:t>
      </w:r>
    </w:p>
    <w:p>
      <w:pPr>
        <w:spacing w:after="0" w:line="117" w:lineRule="exact"/>
        <w:rPr>
          <w:rFonts w:ascii="Times New Roman" w:cs="Times New Roman" w:eastAsia="Times New Roman" w:hAnsi="Times New Roman"/>
          <w:sz w:val="18"/>
          <w:szCs w:val="18"/>
          <w:color w:val="auto"/>
        </w:rPr>
      </w:pPr>
    </w:p>
    <w:p>
      <w:pPr>
        <w:ind w:left="940" w:right="300" w:hanging="288"/>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our intellectual property portfolio;</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 and</w:t>
      </w:r>
    </w:p>
    <w:p>
      <w:pPr>
        <w:spacing w:after="0" w:line="117" w:lineRule="exact"/>
        <w:rPr>
          <w:rFonts w:ascii="Times New Roman" w:cs="Times New Roman" w:eastAsia="Times New Roman" w:hAnsi="Times New Roman"/>
          <w:sz w:val="18"/>
          <w:szCs w:val="18"/>
          <w:color w:val="auto"/>
        </w:rPr>
      </w:pPr>
    </w:p>
    <w:p>
      <w:pPr>
        <w:ind w:left="940" w:right="360" w:hanging="288"/>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global pandemic or other public health emergencies on our operations, which may exacerbate the magnitude of the factors discussed above.</w:t>
      </w:r>
    </w:p>
    <w:p>
      <w:pPr>
        <w:spacing w:after="0" w:line="162"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inflation expectations, rising interest rates and the disruptions to and volatility in the credit and financial markets in the United States and worldwide resulting from a global pandemic or other public health emergencies, geopolitical tensions (such as the Ukraine-Russia war, the conflict in the Middle East and trade restrictions between the U.S. and China) among other global conditions affecting financial markets.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discovery and product development is focused on the development of precision medicines for patients with genomically defined cancers, which is a rapidly evolving area of science, and the approach we are taking to discover and develop drugs targeting p53 is novel, may never lead to marketable products and may not ultimately represent a significant market.</w:t>
      </w:r>
    </w:p>
    <w:p>
      <w:pPr>
        <w:spacing w:after="0" w:line="67"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The discovery and development of precision medicines for patients with genomically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94"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Further, even if our approach is successful in showing clinical benefit for tumors harboring the p53 mutation targeted by our lead product candidate, rezatapopt, we may never successfully identify additional product candidates for targeting p53 through our platform. Therefore, we do not know if our approach of treating patients with genomically defined cancers will be successful, and if our approach is unsuccessful, our business will be materially adversely affected.</w:t>
      </w:r>
    </w:p>
    <w:p>
      <w:pPr>
        <w:spacing w:after="0" w:line="18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addition, because our approach targets genomically defined cancer patients and not specific tumors based on tumor or cancer types, we are pursuing a tumor-agnostic development strategy (i.e.,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For example, in October 2024, we discontinued enrollment in the Phase 1b combination arm of the PYNNACLE trial evaluating rezatapopt in combination with Merck and Co.’s anti-PD-1 therapy KEYTRUDA® (pembrolizumab) in patients with advanced solid tumors harboring a TP53 Y220C mutation. We subsequently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azacitidine in R/R AML and MDS patients harboring a TP53 Y220C mutation. If our Phase 1/2 trial for rezatapopt does not support a tumor-agnostic indication, but we observe clinical benefit in certain tumor or cancer types, we may decide to pursue a tumor- or cancer-specific indication which may require additional clinical trials. Further, even if our Phase 1/2 trial for rezatapopt is successful, the FDA may not agree that such study can serve as a pivotal study, which would require us to conduct additional clinical trials prior to approval.</w:t>
      </w:r>
    </w:p>
    <w:p>
      <w:pPr>
        <w:spacing w:after="0" w:line="29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6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We allocate the majority of our efforts and financial resources to the development of our lead product candidate, rezatapopt. Our future success is dependent on our ability to timely and successfully complete clinical trials, obtain marketing approval for and successfully commercialize rezatapopt.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rezatapopt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0" w:lineRule="exact"/>
        <w:rPr>
          <w:sz w:val="20"/>
          <w:szCs w:val="20"/>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our ongoing clinical trials;</w:t>
      </w:r>
    </w:p>
    <w:p>
      <w:pPr>
        <w:spacing w:after="0" w:line="117" w:lineRule="exact"/>
        <w:rPr>
          <w:rFonts w:ascii="Times New Roman" w:cs="Times New Roman" w:eastAsia="Times New Roman" w:hAnsi="Times New Roman"/>
          <w:sz w:val="18"/>
          <w:szCs w:val="18"/>
          <w:color w:val="auto"/>
        </w:rPr>
      </w:pPr>
    </w:p>
    <w:p>
      <w:pPr>
        <w:ind w:left="940" w:right="280" w:hanging="288"/>
        <w:spacing w:after="0" w:line="266"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our business operations and product candidate research and development, and adapt to any changes in the regulatory approval process, manufacturing supply or clinical trial requirements and timing stemming from a global pandemic or other public health emergencies;</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authorization to proceed under INDs for our planned clinical trials or future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of our tumor-agnostic development strategy;</w:t>
      </w:r>
    </w:p>
    <w:p>
      <w:pPr>
        <w:spacing w:after="0" w:line="117" w:lineRule="exact"/>
        <w:rPr>
          <w:rFonts w:ascii="Times New Roman" w:cs="Times New Roman" w:eastAsia="Times New Roman" w:hAnsi="Times New Roman"/>
          <w:sz w:val="18"/>
          <w:szCs w:val="18"/>
          <w:color w:val="auto"/>
        </w:rPr>
      </w:pPr>
    </w:p>
    <w:p>
      <w:pPr>
        <w:ind w:left="940" w:right="320" w:hanging="288"/>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patient enrollment in and completion of additional preclinical and clinical trials of our product candidates on a timely basis;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with third party collaborators of companion diagnostics for use with our product candidates;</w:t>
      </w:r>
    </w:p>
    <w:p>
      <w:pPr>
        <w:spacing w:after="0" w:line="117" w:lineRule="exact"/>
        <w:rPr>
          <w:rFonts w:ascii="Times New Roman" w:cs="Times New Roman" w:eastAsia="Times New Roman" w:hAnsi="Times New Roman"/>
          <w:sz w:val="18"/>
          <w:szCs w:val="18"/>
          <w:color w:val="auto"/>
        </w:rPr>
      </w:pPr>
    </w:p>
    <w:p>
      <w:pPr>
        <w:ind w:left="940" w:right="420" w:hanging="288"/>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for our product candidates that are satisfactory to the FDA or any foreign regulatory authority for marketing approval;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left="940" w:right="140" w:hanging="288"/>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our product candidates and any companion diagnostics from applicable regulatory authorities, which must be approved contemporaneously;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3" w:lineRule="exact"/>
        <w:rPr>
          <w:rFonts w:ascii="Times New Roman" w:cs="Times New Roman" w:eastAsia="Times New Roman" w:hAnsi="Times New Roman"/>
          <w:sz w:val="18"/>
          <w:szCs w:val="18"/>
          <w:color w:val="auto"/>
        </w:rPr>
      </w:pPr>
    </w:p>
    <w:p>
      <w:pPr>
        <w:ind w:left="940" w:right="360" w:hanging="288"/>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22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80"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9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51"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testing and earlier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67"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rezatapopt will perform in its clinical trials as rezatapopt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97" w:lineRule="exact"/>
        <w:rPr>
          <w:sz w:val="20"/>
          <w:szCs w:val="20"/>
          <w:color w:val="auto"/>
        </w:rPr>
      </w:pPr>
    </w:p>
    <w:p>
      <w:pPr>
        <w:ind w:right="540" w:firstLine="644"/>
        <w:spacing w:after="0" w:line="282"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of our product candidates.</w:t>
      </w:r>
    </w:p>
    <w:p>
      <w:pPr>
        <w:spacing w:after="0" w:line="162"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Even if we succeed in developing and commercializing our product candidates, we may never generate sufficient or sustainable revenue to enable us to be profitable.</w:t>
      </w:r>
    </w:p>
    <w:p>
      <w:pPr>
        <w:spacing w:after="0" w:line="2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use existing commercial diagnostic tests or develop, in collaborations or partnerships with third parties, novel companion diagnostics for some of our current or future product candidates. If we or our collaboration partners are unable to successfully develop, validate and obtain approval for such companion diagnostics, or experience significant delays in doing so, we may not realize the full commercial potential of our future product candidates.</w:t>
      </w:r>
    </w:p>
    <w:p>
      <w:pPr>
        <w:spacing w:after="0" w:line="7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genomic sequencing, or to develop novel companion diagnostics in collaboration with partners.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94" w:lineRule="exact"/>
        <w:rPr>
          <w:sz w:val="20"/>
          <w:szCs w:val="20"/>
          <w:color w:val="auto"/>
        </w:rPr>
      </w:pPr>
    </w:p>
    <w:p>
      <w:pPr>
        <w:ind w:right="280" w:firstLine="644"/>
        <w:spacing w:after="0" w:line="261" w:lineRule="auto"/>
        <w:rPr>
          <w:sz w:val="20"/>
          <w:szCs w:val="20"/>
          <w:color w:val="auto"/>
        </w:rPr>
      </w:pPr>
      <w:r>
        <w:rPr>
          <w:rFonts w:ascii="Times New Roman" w:cs="Times New Roman" w:eastAsia="Times New Roman" w:hAnsi="Times New Roman"/>
          <w:sz w:val="18"/>
          <w:szCs w:val="18"/>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8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have little experience as a company in the development of diagnostics. As such, we expect to rely on partners for the design, development and manufacture of appropriate diagnostics to pair with our current or future product candidates. For example, in May 2024, we entered into a collaboration agreement with Foundation Medicine, Inc. for the development of Foundation Medicine’s tissue-based comprehensive genomic profiling test, FoundationOne®CDx, as a companion diagnostic for rezatapopt.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92"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 xml:space="preserve">Companion diagnostics are subject to regulation by the FDA and comparable foreign regulatory authorities outside the United States as medical devices (or in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xml:space="preserve"> diagnostic devices) and require separate regulatory approval or clearance prior to commercialization. Moreover, the FDA generally requires the contemporaneous approval of companion diagnostics and the associated therapeutic. Changes in the FDA leadership, regulatory actions and other actions under the Trump administration, including changes in the FDA’s regulation of diagnostic tests, may impact our development of a companion diagnostic for our product candidates and result in delays in regulatory approval.</w:t>
      </w:r>
    </w:p>
    <w:p>
      <w:pPr>
        <w:spacing w:after="0" w:line="183"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75" w:lineRule="exact"/>
        <w:rPr>
          <w:sz w:val="20"/>
          <w:szCs w:val="20"/>
          <w:color w:val="auto"/>
        </w:rPr>
      </w:pPr>
    </w:p>
    <w:p>
      <w:pPr>
        <w:ind w:left="940" w:right="840" w:hanging="288"/>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940" w:right="20" w:hanging="288"/>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approval of our current product candidates and any future product candidates that require companion diagnostics on a timely basis or at all.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adversely impacted.</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pandemics or other public health concerns and/or emergencies in the United States and the rest of the world that disrupt normal operations could materially adversely impact our business, results of operations and financial condition, including our preclinical studies and clinical trials.</w:t>
      </w:r>
    </w:p>
    <w:p>
      <w:pPr>
        <w:spacing w:after="0" w:line="51"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We may experience disruptions that could severely impact our business and clinical trials due to global pandemics, public health concerns or other public emergencies, including:</w:t>
      </w:r>
    </w:p>
    <w:p>
      <w:pPr>
        <w:spacing w:after="0" w:line="54" w:lineRule="exact"/>
        <w:rPr>
          <w:sz w:val="20"/>
          <w:szCs w:val="20"/>
          <w:color w:val="auto"/>
        </w:rPr>
      </w:pPr>
    </w:p>
    <w:p>
      <w:pPr>
        <w:ind w:left="940" w:hanging="288"/>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940" w:right="60" w:hanging="288"/>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940" w:right="140" w:hanging="288"/>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86"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18"/>
          <w:szCs w:val="18"/>
          <w:color w:val="auto"/>
        </w:rPr>
        <w:t>clinical trial subject visits and study procedures (such as endoscopies that are deemed non-essential), which may impact the integrity of subject data and clinical study endpoints;</w:t>
      </w:r>
    </w:p>
    <w:p>
      <w:pPr>
        <w:spacing w:after="0" w:line="54" w:lineRule="exact"/>
        <w:rPr>
          <w:sz w:val="20"/>
          <w:szCs w:val="20"/>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940" w:right="560" w:hanging="288"/>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940" w:right="480" w:hanging="288"/>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site procedures and requirements as well as regulatory requirements for conducting clinical trials during the pandemic.</w:t>
      </w:r>
    </w:p>
    <w:p>
      <w:pPr>
        <w:spacing w:after="0" w:line="266"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ultimate impact of a global pandemic or other public health emergency on our business operations is difficult to forecast and highly uncertain, and there can be no assurance that we will be able to avoid a material impact on our business from such global pandemic or other public health emergency or their consequences, including disruption to our business and downturns in business sentiment generally or in our industry. To the extent a global pandemic or other public health emergency adversely affects our business, financial condition and results of operations, it may also have the effect of heightening many of the risks described in this “Risk factors” section.</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5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rezatapopt will require patients to have the specific p53 Y220C mutation. If we are unable to locate a sufficient number of such patients, our clinical trial and development plans could be delayed.</w:t>
      </w:r>
    </w:p>
    <w:p>
      <w:pPr>
        <w:spacing w:after="0" w:line="210"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8" w:lineRule="exact"/>
        <w:rPr>
          <w:sz w:val="20"/>
          <w:szCs w:val="20"/>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jc w:val="both"/>
        <w:ind w:left="940" w:right="680" w:hanging="288"/>
        <w:spacing w:after="0" w:line="266"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left="940" w:right="840" w:hanging="288"/>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clinical trials due to a global pandemic or other public health emergencies;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940" w:right="120" w:hanging="288"/>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other health conditions, or, because they may be late-stage cancer patients, will not survive the full terms of the clinical trials.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1"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9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p53 hotspot mutations we are targeting, who may have their tumors genomically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 directly or indirectly. A variety of risks associated with marketing our product candidates, if approved, internationally may materially adversely affect our business.</w:t>
      </w:r>
    </w:p>
    <w:p>
      <w:pPr>
        <w:spacing w:after="0" w:line="5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associated with business operations we conduct internationally, as well as indirect impacts from our relationships with collaborators, partners, or contractors who conduct business internationally. To the extent we seek regulatory approval of any of our product candidates outside of the United States, we expect that we will be subject to additional risks related to our operations in foreign countries. Accordingly, our future results could be harmed directly or indirectly by a variety of factors, including:</w:t>
      </w:r>
    </w:p>
    <w:p>
      <w:pPr>
        <w:spacing w:after="0" w:line="72" w:lineRule="exact"/>
        <w:rPr>
          <w:sz w:val="20"/>
          <w:szCs w:val="20"/>
          <w:color w:val="auto"/>
        </w:rPr>
      </w:pPr>
    </w:p>
    <w:p>
      <w:pPr>
        <w:ind w:left="940" w:right="460" w:hanging="288"/>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changes in existing regulatory requirements, or implementation of new regulatory requirements or policies that impact our clinical development and business operations in foreign countries;</w:t>
      </w:r>
    </w:p>
    <w:p>
      <w:pPr>
        <w:spacing w:after="0" w:line="53"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our clinical trials or our interpretation of data from preclinical studies or clinical trials;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left="940" w:right="140" w:hanging="288"/>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our clinical data insufficient for approval;</w:t>
      </w:r>
    </w:p>
    <w:p>
      <w:pPr>
        <w:spacing w:after="0" w:line="53" w:lineRule="exact"/>
        <w:rPr>
          <w:rFonts w:ascii="Times New Roman" w:cs="Times New Roman" w:eastAsia="Times New Roman" w:hAnsi="Times New Roman"/>
          <w:sz w:val="18"/>
          <w:szCs w:val="18"/>
          <w:color w:val="auto"/>
        </w:rPr>
      </w:pPr>
    </w:p>
    <w:p>
      <w:pPr>
        <w:ind w:left="940" w:right="140" w:hanging="288"/>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 global pandemic or other public health emergencies on our ability to produce our product candidates and conduct clinical trials in foreign countries;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940" w:right="60" w:hanging="288"/>
        <w:spacing w:after="0" w:line="254"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other measures that restrict business, trade, or use of government funding for any product or service rendered by certain companies based in China or Chinese-owned U.S. companies due to national security concerns or geopolitical issues, and our reliance on such Chinese companies, including CROs, contract manufacturing organization, or CMOs, suppliers, and other vendors or contractors based in China. For example, proposed legislation in Congress known as the BIOSECURE Act, or similar legislation, could limit our ability to work with CROs or CMOs in China and would restrict the purchase of services or products from certain specified companies in China. This new or proposed legislation, or similar legislation in the future, could adversely impact our current or future third-party arrangements with certain companies, including those in China or Chinese-owned U.S. companies, which could delay or impact clinical trials and consequently delay or obstruct successful commercialization of our drug candidates;</w:t>
      </w:r>
    </w:p>
    <w:p>
      <w:pPr>
        <w:spacing w:after="0" w:line="83" w:lineRule="exact"/>
        <w:rPr>
          <w:rFonts w:ascii="Times New Roman" w:cs="Times New Roman" w:eastAsia="Times New Roman" w:hAnsi="Times New Roman"/>
          <w:sz w:val="18"/>
          <w:szCs w:val="18"/>
          <w:color w:val="auto"/>
        </w:rPr>
      </w:pPr>
    </w:p>
    <w:p>
      <w:pPr>
        <w:ind w:left="940" w:right="380" w:hanging="288"/>
        <w:spacing w:after="0" w:line="261"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or other potentially new measures that, for national security or geopolitical reasons, affect the transfer of certain types of data abroad, including to China; for example, the Department of Justice recently issued a final rule which takes effect in April 2025 that places limitations, and in some cases prohibitions, on certain transfers of sensitive personal data to business partners located in China and other designated countries, or with other specified links to China and other designated countries;</w:t>
      </w:r>
    </w:p>
    <w:p>
      <w:pPr>
        <w:spacing w:after="0" w:line="71"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940" w:right="480" w:hanging="288"/>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940" w:right="520" w:hanging="288"/>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940" w:hanging="288"/>
        <w:spacing w:after="0" w:line="258"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 production or supply shortages resulting directly or indirectly from any events affecting raw material supply or manufacturing capabilities abroad, including, but not limited to, impacts due to the ongoing Ukraine-Russia war or the conflict in the Middle East, addition of certain suppliers or companies to the Unverified List under the Export Administration Regulations, implementation of other export controls, restrictions or sanctions that can impact the supply chain, our business, or business operations of our suppliers, contractors or partners;</w:t>
      </w:r>
    </w:p>
    <w:p>
      <w:pPr>
        <w:spacing w:after="0" w:line="75" w:lineRule="exact"/>
        <w:rPr>
          <w:rFonts w:ascii="Times New Roman" w:cs="Times New Roman" w:eastAsia="Times New Roman" w:hAnsi="Times New Roman"/>
          <w:sz w:val="18"/>
          <w:szCs w:val="18"/>
          <w:color w:val="auto"/>
        </w:rPr>
      </w:pPr>
    </w:p>
    <w:p>
      <w:pPr>
        <w:ind w:left="940" w:right="40" w:hanging="288"/>
        <w:spacing w:after="0" w:line="266"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directly or indirectly from geo-political actions, conflicts and terrorism; and supply and other disruptions resulting from the impact of public health epidemics on our strategic partners, third-party manufacturers, suppliers and other third parties upon which we rely.</w:t>
      </w:r>
    </w:p>
    <w:p>
      <w:pPr>
        <w:spacing w:after="0" w:line="176" w:lineRule="exact"/>
        <w:rPr>
          <w:sz w:val="20"/>
          <w:szCs w:val="20"/>
          <w:color w:val="auto"/>
        </w:rPr>
      </w:pPr>
    </w:p>
    <w:p>
      <w:pPr>
        <w:ind w:right="400" w:firstLine="64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business, financial condition, and results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7"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In particular, we are aware of molecules in development that also are being explored for p53 upregulation/activation in various stages of preclinical or clinical development being tested by Jacobio Pharmaceuticals, Frontier Medicines, Nutshell Therapeutics, Scorpion Therapeutics and AstraZeneca,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Kartos Therapeutics, Kymera Therapeutics, Otsuka Pharmaceutical, Novartis and Roche, including testing MDM2 inhibitors in combination with a variety of other anti-cancer agents.</w:t>
      </w:r>
    </w:p>
    <w:p>
      <w:pPr>
        <w:spacing w:after="0" w:line="187"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genomically-defined cancers. If rezatapopt or our future product candidates do not offer sustainable advantages over competing products, we may otherwise not be able to successfully compete against current and future competitors.</w:t>
      </w:r>
    </w:p>
    <w:p>
      <w:pPr>
        <w:spacing w:after="0" w:line="18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0"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94"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298"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51" w:lineRule="exact"/>
        <w:rPr>
          <w:sz w:val="20"/>
          <w:szCs w:val="20"/>
          <w:color w:val="auto"/>
        </w:rPr>
      </w:pPr>
    </w:p>
    <w:p>
      <w:pPr>
        <w:ind w:right="420" w:firstLine="644"/>
        <w:spacing w:after="0" w:line="258" w:lineRule="auto"/>
        <w:rPr>
          <w:sz w:val="20"/>
          <w:szCs w:val="20"/>
          <w:color w:val="auto"/>
        </w:rPr>
      </w:pPr>
      <w:r>
        <w:rPr>
          <w:rFonts w:ascii="Times New Roman" w:cs="Times New Roman" w:eastAsia="Times New Roman" w:hAnsi="Times New Roman"/>
          <w:sz w:val="18"/>
          <w:szCs w:val="18"/>
          <w:color w:val="auto"/>
        </w:rPr>
        <w:t>Our future operating results are dependent on our ability to successfully discover, develop, obtain regulatory approval for and commercialize product candidates beyond our lead product candidate, rezatapopt,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83"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4" w:lineRule="exact"/>
        <w:rPr>
          <w:sz w:val="20"/>
          <w:szCs w:val="20"/>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w:t>
      </w:r>
    </w:p>
    <w:p>
      <w:pPr>
        <w:spacing w:after="0" w:line="225"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2" w:lineRule="exact"/>
        <w:rPr>
          <w:sz w:val="20"/>
          <w:szCs w:val="20"/>
          <w:color w:val="auto"/>
        </w:rPr>
      </w:pPr>
    </w:p>
    <w:p>
      <w:pPr>
        <w:jc w:val="both"/>
        <w:ind w:right="600" w:firstLine="644"/>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8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While our lead product candidate, rezatapopt, is still in clinical development and although it has been generally well-tolerated per our preliminary and updated data releases, as is the case with all oncology drugs, it is likely that there may be significant side effects associated with its use. rezatapopt or future product candidates may be used in populations for which safety concerns may be reviewed by regulatory agencies. In addition, we are collaborating with MD Anderson and MSK to support an investigator-initiated Phase 1b study, which is designed to assess the safety, tolerability, pharmacokinetics, and preliminary efficacy of rezatapopt monotherapy in combination with azacitidine in R/R AML and MDS patients harboring a TP53 Y220C mutation, and we may study rezatapopt in combination with other additional therapies, which may exacerbate adverse events associated with the therapy. Further, our product candidates will be used in patients that have weakened immune systems, which may exacerbate any potential side effects associated with their use. Patients treated with rezatapopt or any of our future product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rezatapopt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87"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develop our current or future product candidates in combination with other therapies, which exposes us to additional risks.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October 2024,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azacitidine in R/R AML and MDS patients harboring a TP53 Y220C mutation. We intend to develop our current or future product candidates in combination with one or more other approved cancer therapies or therapies in development. Patients may not be able to tolerate rezatapopt or any of our future product candidates in combination with other therapies or dosing of rezatapopt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92" w:lineRule="exact"/>
        <w:rPr>
          <w:sz w:val="20"/>
          <w:szCs w:val="20"/>
          <w:color w:val="auto"/>
        </w:rPr>
      </w:pPr>
    </w:p>
    <w:p>
      <w:pPr>
        <w:ind w:right="440" w:firstLine="644"/>
        <w:spacing w:after="0" w:line="266" w:lineRule="auto"/>
        <w:rPr>
          <w:sz w:val="20"/>
          <w:szCs w:val="20"/>
          <w:color w:val="auto"/>
        </w:rPr>
      </w:pPr>
      <w:r>
        <w:rPr>
          <w:rFonts w:ascii="Times New Roman" w:cs="Times New Roman" w:eastAsia="Times New Roman" w:hAnsi="Times New Roman"/>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76"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rezatapopt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development and commercialization efforts would be impaired, which would have an adverse effect on our business, financial condition, results of operations and growth prospects.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9"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183"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51" w:lineRule="exact"/>
        <w:rPr>
          <w:sz w:val="20"/>
          <w:szCs w:val="20"/>
          <w:color w:val="auto"/>
        </w:rPr>
      </w:pPr>
    </w:p>
    <w:p>
      <w:pPr>
        <w:ind w:right="460" w:firstLine="644"/>
        <w:spacing w:after="0" w:line="266" w:lineRule="auto"/>
        <w:rPr>
          <w:sz w:val="20"/>
          <w:szCs w:val="20"/>
          <w:color w:val="auto"/>
        </w:rPr>
      </w:pPr>
      <w:r>
        <w:rPr>
          <w:rFonts w:ascii="Times New Roman" w:cs="Times New Roman" w:eastAsia="Times New Roman" w:hAnsi="Times New Roman"/>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68" w:lineRule="exact"/>
        <w:rPr>
          <w:sz w:val="20"/>
          <w:szCs w:val="20"/>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cancer medicines;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6" w:lineRule="exact"/>
        <w:rPr>
          <w:sz w:val="20"/>
          <w:szCs w:val="20"/>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62"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180"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72"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9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84" w:lineRule="exact"/>
        <w:rPr>
          <w:sz w:val="20"/>
          <w:szCs w:val="20"/>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9"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95"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third-party payors for any approved products that we develop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could have a material adverse effect on our business, financial condition and results of operations, our ability to raise capital needed to commercialize products and our overall financial condition.</w:t>
      </w:r>
    </w:p>
    <w:p>
      <w:pPr>
        <w:spacing w:after="0" w:line="162"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9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6" w:lineRule="exact"/>
        <w:rPr>
          <w:sz w:val="20"/>
          <w:szCs w:val="20"/>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4"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7"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6"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9"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Regulatory Process and Other Legal Compliance Matters</w:t>
      </w:r>
    </w:p>
    <w:p>
      <w:pPr>
        <w:spacing w:after="0" w:line="22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rezatapopt, we must demonstrate through lengthy, complex and expensive preclinical studies and clinical trials that our product candidates are both safe and effective for each targeted indication.</w:t>
      </w:r>
    </w:p>
    <w:p>
      <w:pPr>
        <w:spacing w:after="0" w:line="183" w:lineRule="exact"/>
        <w:rPr>
          <w:sz w:val="20"/>
          <w:szCs w:val="20"/>
          <w:color w:val="auto"/>
        </w:rPr>
      </w:pPr>
    </w:p>
    <w:p>
      <w:pPr>
        <w:ind w:right="320" w:firstLine="644"/>
        <w:spacing w:after="0" w:line="266"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6" w:lineRule="exact"/>
        <w:rPr>
          <w:sz w:val="20"/>
          <w:szCs w:val="20"/>
          <w:color w:val="auto"/>
        </w:rPr>
      </w:pPr>
    </w:p>
    <w:p>
      <w:pPr>
        <w:ind w:right="260" w:firstLine="644"/>
        <w:spacing w:after="0" w:line="274" w:lineRule="auto"/>
        <w:rPr>
          <w:sz w:val="20"/>
          <w:szCs w:val="20"/>
          <w:color w:val="auto"/>
        </w:rPr>
      </w:pPr>
      <w:r>
        <w:rPr>
          <w:rFonts w:ascii="Times New Roman" w:cs="Times New Roman" w:eastAsia="Times New Roman" w:hAnsi="Times New Roman"/>
          <w:sz w:val="17"/>
          <w:szCs w:val="17"/>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the FDA issued various COVID-19 related guidance documents for trial sponsors and manufacturers during the COVID-19 national and public health emergencies, and may do so in response to other public health concerns in the future.</w:t>
      </w:r>
    </w:p>
    <w:p>
      <w:pPr>
        <w:spacing w:after="0" w:line="17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79" w:lineRule="exact"/>
        <w:rPr>
          <w:sz w:val="20"/>
          <w:szCs w:val="20"/>
          <w:color w:val="auto"/>
        </w:rPr>
      </w:pPr>
    </w:p>
    <w:p>
      <w:pPr>
        <w:jc w:val="both"/>
        <w:ind w:left="940" w:right="420" w:hanging="288"/>
        <w:spacing w:after="0" w:line="289"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the design or implementation of our clinical trials, including our Phase 1/2 clinical trial design for rezatapopt, or require us to modify the design of our clinical trials, including additional procedures and contingency measures in response to the COVID-19 pandemic or as required by clinical sites, IRBs, FDA or other regulatory authorities;</w:t>
      </w:r>
    </w:p>
    <w:p>
      <w:pPr>
        <w:spacing w:after="0" w:line="49" w:lineRule="exact"/>
        <w:rPr>
          <w:rFonts w:ascii="Times New Roman" w:cs="Times New Roman" w:eastAsia="Times New Roman" w:hAnsi="Times New Roman"/>
          <w:sz w:val="17"/>
          <w:szCs w:val="17"/>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tumor-agnostic development strategy;</w:t>
      </w:r>
    </w:p>
    <w:p>
      <w:pPr>
        <w:spacing w:after="0" w:line="117" w:lineRule="exact"/>
        <w:rPr>
          <w:rFonts w:ascii="Times New Roman" w:cs="Times New Roman" w:eastAsia="Times New Roman" w:hAnsi="Times New Roman"/>
          <w:sz w:val="18"/>
          <w:szCs w:val="18"/>
          <w:color w:val="auto"/>
        </w:rPr>
      </w:pPr>
    </w:p>
    <w:p>
      <w:pPr>
        <w:ind w:left="940" w:right="40" w:hanging="288"/>
        <w:spacing w:after="0" w:line="282"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940" w:right="120" w:hanging="288"/>
        <w:spacing w:after="0" w:line="282"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53" w:lineRule="exact"/>
        <w:rPr>
          <w:rFonts w:ascii="Times New Roman" w:cs="Times New Roman" w:eastAsia="Times New Roman" w:hAnsi="Times New Roman"/>
          <w:sz w:val="18"/>
          <w:szCs w:val="18"/>
          <w:color w:val="auto"/>
        </w:rPr>
      </w:pPr>
    </w:p>
    <w:p>
      <w:pPr>
        <w:ind w:left="940" w:right="500" w:hanging="288"/>
        <w:spacing w:after="0" w:line="282"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fail to approve companion diagnostic tests that may be required for our product candidates;</w:t>
      </w:r>
    </w:p>
    <w:p>
      <w:pPr>
        <w:spacing w:after="0" w:line="53"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left="940" w:hanging="288"/>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940" w:right="20" w:hanging="288"/>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940" w:right="460" w:hanging="288"/>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940" w:right="700" w:hanging="288"/>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3" w:lineRule="exact"/>
        <w:rPr>
          <w:rFonts w:ascii="Times New Roman" w:cs="Times New Roman" w:eastAsia="Times New Roman" w:hAnsi="Times New Roman"/>
          <w:sz w:val="18"/>
          <w:szCs w:val="18"/>
          <w:color w:val="auto"/>
        </w:rPr>
      </w:pPr>
    </w:p>
    <w:p>
      <w:pPr>
        <w:ind w:left="940" w:right="180" w:hanging="288"/>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6"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9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67"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exclusivity period can be reduced to six years if a drug no longer meets the criteria for ODD or if the drug is sufficiently profitable so that market exclusivity is no longer justified.</w:t>
      </w:r>
    </w:p>
    <w:p>
      <w:pPr>
        <w:spacing w:after="0" w:line="16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90"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Further,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In view of the overturn of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this landmark Supreme Court decision may invite various stakeholders to bring lawsuits against the FDA to challenge longstanding decisions and policies, including regulatory exclusivities, which could lead to uncertainties in the industry. Further, changes in the leadership of the FDA and other federal agencies under the Trump administration may lead to new policies and changes in the regulations and operations of the FDA, which may impact our clinical development plans. It is unclear how future litigation, legislation, agency decisions, and administrative actions will impact the scope of the orphan drug exclusivity.</w:t>
      </w:r>
    </w:p>
    <w:p>
      <w:pPr>
        <w:spacing w:after="0" w:line="29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or maintain breakthrough therapy or Fast Track designations for our current 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72"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rezatapopt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rezatapopt,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87"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3"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 In addition, the Food and Drug Omnibus Reform Act made several changes to the FDA’s authorities and its regulatory framework, including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30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2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lead product candidate, rezatapopt, is in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188"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180"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Additionally, our rezatapopt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4"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We may experience delays in obtaining the FDA’s authorization to initiate clinical trials, completing ongoing clinical trials of rezatapopt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5" w:lineRule="exact"/>
        <w:rPr>
          <w:sz w:val="20"/>
          <w:szCs w:val="20"/>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our tumor-agnostic development strategy;</w:t>
      </w:r>
    </w:p>
    <w:p>
      <w:pPr>
        <w:spacing w:after="0" w:line="117" w:lineRule="exact"/>
        <w:rPr>
          <w:rFonts w:ascii="Times New Roman" w:cs="Times New Roman" w:eastAsia="Times New Roman" w:hAnsi="Times New Roman"/>
          <w:sz w:val="18"/>
          <w:szCs w:val="18"/>
          <w:color w:val="auto"/>
        </w:rPr>
      </w:pPr>
    </w:p>
    <w:p>
      <w:pPr>
        <w:ind w:left="940" w:right="720" w:hanging="288"/>
        <w:spacing w:after="0" w:line="282"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or authorization to commence a clinical trial, including delays or issues relating to any future companion diagnostics which we may develop;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86" w:lineRule="exact"/>
        <w:rPr>
          <w:sz w:val="20"/>
          <w:szCs w:val="20"/>
          <w:color w:val="auto"/>
        </w:rPr>
      </w:pPr>
    </w:p>
    <w:p>
      <w:pPr>
        <w:ind w:left="940" w:right="70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clinical trial site;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 adequate number of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w:t>
      </w:r>
    </w:p>
    <w:p>
      <w:pPr>
        <w:spacing w:after="0" w:line="117" w:lineRule="exact"/>
        <w:rPr>
          <w:rFonts w:ascii="Times New Roman" w:cs="Times New Roman" w:eastAsia="Times New Roman" w:hAnsi="Times New Roman"/>
          <w:sz w:val="18"/>
          <w:szCs w:val="18"/>
          <w:color w:val="auto"/>
        </w:rPr>
      </w:pPr>
    </w:p>
    <w:p>
      <w:pPr>
        <w:ind w:left="940" w:right="40" w:hanging="288"/>
        <w:spacing w:after="0" w:line="266"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genomic sequencing costs in order to encourage sequencing of additional patients;</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117" w:lineRule="exact"/>
        <w:rPr>
          <w:rFonts w:ascii="Times New Roman" w:cs="Times New Roman" w:eastAsia="Times New Roman" w:hAnsi="Times New Roman"/>
          <w:sz w:val="18"/>
          <w:szCs w:val="18"/>
          <w:color w:val="auto"/>
        </w:rPr>
      </w:pPr>
    </w:p>
    <w:p>
      <w:pPr>
        <w:ind w:left="940" w:right="94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third-party contractors fail to complete their obligations in a timely manner or failing to comply with applicable regulatory requirements;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subject safety concerns that arise during the course of a clinical trial;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product supply of product candidate for use in preclinical studies or clinical trials from third-party suppliers.</w:t>
      </w:r>
    </w:p>
    <w:p>
      <w:pPr>
        <w:spacing w:after="0" w:line="22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9"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76" w:lineRule="exact"/>
        <w:rPr>
          <w:sz w:val="20"/>
          <w:szCs w:val="20"/>
          <w:color w:val="auto"/>
        </w:rPr>
      </w:pPr>
    </w:p>
    <w:p>
      <w:pPr>
        <w:ind w:right="80" w:firstLine="644"/>
        <w:spacing w:after="0" w:line="273" w:lineRule="auto"/>
        <w:rPr>
          <w:sz w:val="20"/>
          <w:szCs w:val="20"/>
          <w:color w:val="auto"/>
        </w:rPr>
      </w:pPr>
      <w:r>
        <w:rPr>
          <w:rFonts w:ascii="Times New Roman" w:cs="Times New Roman" w:eastAsia="Times New Roman" w:hAnsi="Times New Roman"/>
          <w:sz w:val="17"/>
          <w:szCs w:val="17"/>
          <w:color w:val="auto"/>
        </w:rPr>
        <w:t>In addition, the FDA and other regulatory authorities may change their policies, issue additional regulations or revise existing regulations, or take other actions, such as those implemented by the Department of Government Efficiency,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view of the Loper Bright Enterprises v. Raimondo decision, this landmark Supreme Court decision may invite various stakeholders to bring lawsuits against the FDA to challenge longstanding decisions and policies. Additionally, changes in the leadership of the FDA and other federal agencies under the Trump administration may also lead to new policies and changes in the regulations and operations of the FDA, which may impact our clinical development plans.</w:t>
      </w:r>
    </w:p>
    <w:p>
      <w:pPr>
        <w:spacing w:after="0" w:line="27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Changes in the leadership of the FDA and other federal agencies under the Trump administration, including return-to-office policy, hiring freeze, and layoffs, may also lead to changes in the operations of the FDA, which may have a material impact on the industry.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If a prolonged government shutdown, furlough or other disruption occurs, including delays or disruptions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291"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6"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 evaluation and mitigation strategy, or REMS, in order to approve our product candidates, which could entail</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940" w:right="800" w:hanging="288"/>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940" w:right="600" w:hanging="288"/>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940" w:right="580" w:hanging="288"/>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The U.S. Supreme Court’s overturn of the Chevron doctrine in Loper Bright Enterprises v. Raimondo may invite various stakeholders to bring lawsuits against the FDA and other federal agencies to challenge longstanding decisions and policies, which could lead to uncertainty in the industry. Further, changes to the leadership of the FDA and other federal agencies under the Trump administration may result in changes in agencies’ funding, operations, and policies, which may impact our clinical development plans and timelines. We cannot predict the likelihood, nature or extent of government regulation that may arise from future legislation or administrative action, either in the United States or abroad.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if approved, and generate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9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Trump administration will impact the ACA and our business.</w:t>
      </w:r>
    </w:p>
    <w:p>
      <w:pPr>
        <w:spacing w:after="0" w:line="188"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2032, unless additional Congressional action is taken.</w:t>
      </w:r>
    </w:p>
    <w:p>
      <w:pPr>
        <w:spacing w:after="0" w:line="183"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CMS selected 10 high-cost Medicare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of 2022 are unconstitutional. The impact of these judicial challenges, legislative, executive, and administrative actions and any future healthcare measures and agency rules implemented by the Trump administration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9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FDA has authorized the state of Florida to develop Section 804 Importation Programs to import certain prescription drugs from Canada for a limited period, provided that Florida’s Agency for Health Care Administration meets the requirements set forth by the FDA. Other states may follow Florida.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4" w:lineRule="exact"/>
        <w:rPr>
          <w:sz w:val="20"/>
          <w:szCs w:val="20"/>
          <w:color w:val="auto"/>
        </w:rPr>
      </w:pPr>
    </w:p>
    <w:p>
      <w:pPr>
        <w:ind w:right="280" w:firstLine="644"/>
        <w:spacing w:after="0" w:line="261"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0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72" w:lineRule="exact"/>
        <w:rPr>
          <w:sz w:val="20"/>
          <w:szCs w:val="20"/>
          <w:color w:val="auto"/>
        </w:rPr>
      </w:pPr>
    </w:p>
    <w:p>
      <w:pPr>
        <w:ind w:left="940" w:hanging="288"/>
        <w:spacing w:after="0" w:line="258"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ind w:left="288" w:right="120"/>
        <w:spacing w:after="0" w:line="266" w:lineRule="auto"/>
        <w:rPr>
          <w:sz w:val="20"/>
          <w:szCs w:val="20"/>
          <w:color w:val="auto"/>
        </w:rPr>
      </w:pPr>
      <w:r>
        <w:rPr>
          <w:rFonts w:ascii="Times New Roman" w:cs="Times New Roman" w:eastAsia="Times New Roman" w:hAnsi="Times New Roman"/>
          <w:sz w:val="18"/>
          <w:szCs w:val="18"/>
          <w:color w:val="auto"/>
        </w:rPr>
        <w:t>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68" w:lineRule="exact"/>
        <w:rPr>
          <w:sz w:val="20"/>
          <w:szCs w:val="20"/>
          <w:color w:val="auto"/>
        </w:rPr>
      </w:pPr>
    </w:p>
    <w:p>
      <w:pPr>
        <w:ind w:left="288" w:right="20" w:hanging="288"/>
        <w:spacing w:after="0" w:line="253" w:lineRule="auto"/>
        <w:tabs>
          <w:tab w:leader="none" w:pos="2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1" w:lineRule="exact"/>
        <w:rPr>
          <w:rFonts w:ascii="Times New Roman" w:cs="Times New Roman" w:eastAsia="Times New Roman" w:hAnsi="Times New Roman"/>
          <w:sz w:val="18"/>
          <w:szCs w:val="18"/>
          <w:color w:val="auto"/>
        </w:rPr>
      </w:pPr>
    </w:p>
    <w:p>
      <w:pPr>
        <w:ind w:left="288" w:hanging="288"/>
        <w:spacing w:after="0" w:line="255" w:lineRule="auto"/>
        <w:tabs>
          <w:tab w:leader="none" w:pos="2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288" w:hanging="288"/>
        <w:spacing w:after="0" w:line="256" w:lineRule="auto"/>
        <w:tabs>
          <w:tab w:leader="none" w:pos="2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other non-physician healthcare providers (such as physician assistants and nurse practitioners, among others), and teaching hospitals, as well as ownership and investment interests held by physicians, as defined by law, and their immediate family members;</w:t>
      </w:r>
    </w:p>
    <w:p>
      <w:pPr>
        <w:spacing w:after="0" w:line="79" w:lineRule="exact"/>
        <w:rPr>
          <w:rFonts w:ascii="Times New Roman" w:cs="Times New Roman" w:eastAsia="Times New Roman" w:hAnsi="Times New Roman"/>
          <w:sz w:val="18"/>
          <w:szCs w:val="18"/>
          <w:color w:val="auto"/>
        </w:rPr>
      </w:pPr>
    </w:p>
    <w:p>
      <w:pPr>
        <w:ind w:left="288" w:right="320" w:hanging="288"/>
        <w:spacing w:after="0" w:line="282" w:lineRule="auto"/>
        <w:tabs>
          <w:tab w:leader="none" w:pos="2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288" w:right="180" w:hanging="288"/>
        <w:spacing w:after="0" w:line="272" w:lineRule="auto"/>
        <w:tabs>
          <w:tab w:leader="none" w:pos="28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388" w:lineRule="exact"/>
        <w:rPr>
          <w:sz w:val="20"/>
          <w:szCs w:val="20"/>
          <w:color w:val="auto"/>
        </w:rPr>
      </w:pPr>
    </w:p>
    <w:p>
      <w:pPr>
        <w:ind w:left="4888"/>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972" w:top="1440" w:right="339" w:bottom="1440" w:gutter="0" w:footer="0" w:header="0"/>
        </w:sectPr>
      </w:pPr>
    </w:p>
    <w:bookmarkStart w:id="61" w:name="page62"/>
    <w:bookmarkEnd w:id="61"/>
    <w:p>
      <w:pPr>
        <w:spacing w:after="0" w:line="194"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121"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connection with our clinical trials or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93"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0"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 exemplifies the vulnerability of our business to the evolving regulatory environment related to personal data and protected health information.</w:t>
      </w:r>
    </w:p>
    <w:p>
      <w:pPr>
        <w:spacing w:after="0" w:line="194"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Further, national security concerns or changing geopolitical tensions could spur regulations that limit our ability to transfer certain types of data abroad. For example, the Department of Justice recently issued a final rule which takes effect in April 2025 that places limitations, and in some cases prohibitions, on certain transfers of sensitive personal data to business partners located in China and other designated countries, or with other specified links to China and other designated countries.</w:t>
      </w:r>
    </w:p>
    <w:p>
      <w:pPr>
        <w:spacing w:after="0" w:line="18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8"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commercialization efforts. Failure to comply with these laws and regulations also may result in substantial fines, penalties or other sanctions.</w:t>
      </w:r>
    </w:p>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foreign investment, data transfer and other trade laws and regulations. We can face serious consequences for violations.</w:t>
      </w:r>
    </w:p>
    <w:p>
      <w:pPr>
        <w:spacing w:after="0" w:line="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Among other matters, we are subject to U.S. and foreign anti-corruption, anti-money laundering, export control, sanctions, foreign investment, data transfer, and other trade laws and regulations, which are collectively referred to as Trade Laws. These Trade Laws can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Financial Officer, our Chief Development Officer and our General Counsel and Chief Operating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87"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83"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Additionally, we rely on our founders, members of our board of directors,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ind w:right="620" w:firstLine="644"/>
        <w:spacing w:after="0" w:line="266" w:lineRule="auto"/>
        <w:rPr>
          <w:sz w:val="20"/>
          <w:szCs w:val="20"/>
          <w:color w:val="auto"/>
        </w:rPr>
      </w:pPr>
      <w:r>
        <w:rPr>
          <w:rFonts w:ascii="Times New Roman" w:cs="Times New Roman" w:eastAsia="Times New Roman" w:hAnsi="Times New Roman"/>
          <w:sz w:val="18"/>
          <w:szCs w:val="18"/>
          <w:color w:val="auto"/>
        </w:rPr>
        <w:t>As of March 3, 2025, we had 47 full-time employees, including 36 employees engaged in research and development activities.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940" w:right="100" w:hanging="288"/>
        <w:spacing w:after="0" w:line="266"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for rezatapopt and any future product candidates, while complying with any contractual obligations to contractors and other third parties we may have; and</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rezatapopt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rezatapopt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9" w:lineRule="exact"/>
        <w:rPr>
          <w:sz w:val="20"/>
          <w:szCs w:val="20"/>
          <w:color w:val="auto"/>
        </w:rPr>
      </w:pPr>
    </w:p>
    <w:p>
      <w:pPr>
        <w:ind w:right="280" w:firstLine="644"/>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rezatapopt and future product candidates and, accordingly, may not achieve our research,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90"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0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materially adversely affect our future revenue and financial condition and increase our costs and expenses.</w:t>
      </w:r>
    </w:p>
    <w:p>
      <w:pPr>
        <w:spacing w:after="0" w:line="121"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consultants and third parties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limited.</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or NOL, carryforwards of $214.7 million and $66.3 million, respectively, and federal and state research and development credit carryforwards of approximately $11.6 million and $1.4 million, respectively. Our federal NOLs generated in tax years beginning before January 1, 2028 are only permitted to be carried forward for 20 taxable years, and therefore could expire unused. Under the Tax Cuts and Jobs Act of 2017, or TCJA, as modified by the Coronavirus Aid, Relief, and Economic Stability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 Our federal NOL carryforwards will begin to expire in 2033, and our federal research and development credit carryforwards will begin to expire in 2034, if not fully utilized. Some of our state NOL carryforwards and state credit carryforwards may also expire unused.</w:t>
      </w:r>
    </w:p>
    <w:p>
      <w:pPr>
        <w:spacing w:after="0" w:line="192" w:lineRule="exact"/>
        <w:rPr>
          <w:sz w:val="20"/>
          <w:szCs w:val="20"/>
          <w:color w:val="auto"/>
        </w:rPr>
      </w:pPr>
    </w:p>
    <w:p>
      <w:pPr>
        <w:jc w:val="both"/>
        <w:ind w:firstLine="644"/>
        <w:spacing w:after="0" w:line="257" w:lineRule="auto"/>
        <w:rPr>
          <w:sz w:val="20"/>
          <w:szCs w:val="20"/>
          <w:color w:val="auto"/>
        </w:rPr>
      </w:pPr>
      <w:r>
        <w:rPr>
          <w:rFonts w:ascii="Times New Roman" w:cs="Times New Roman" w:eastAsia="Times New Roman" w:hAnsi="Times New Roman"/>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Similar rules may apply under state tax laws. We have experienced such ownership changes in the past, and we may experience ownership changes in the future as a result of shifts in our stock ownership, some of which are outside our control. At this time, we have not conducted any studies to determine the annual limitations, if any, that resulted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 federal or state regulatory changes, such as suspensions on the use of NOLs, our existing NOLs could expire or otherwise be unavailable to offset future income tax liabilities.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could have a material adverse effect on our business, financial condition and results of operations.</w:t>
      </w:r>
    </w:p>
    <w:p>
      <w:pPr>
        <w:spacing w:after="0" w:line="51"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TCJA eliminated the option to deduct research and development expenditures currently and requires taxpayers to capitalize and amortize such expenditures over five or 15 years pursuant to Section 174 of the Code, beginning in 2022. When and if we achieve profitability, these changes may cause us to pay federal income taxes earlier than under prior law and may increase our total federal tax liability attributable to orphan drug programs and other research and development activities. Further, the Inflation Reduction Act of 2022, among other changes, imposes a one-percent excise tax on stock repurchases made on or after January 1, 2023. Any further changes in tax laws or regulations that are applied adversely to us could have a material adverse effect on our business, financial condition and results of operations.</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7"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9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addition to the use of tariffs and other traditional trade tools, the U.S. government has made and continues to make significant additional changes in U.S. trade policy and may continue to take future actions that could negatively impact U.S. trade. In particular, the U.S. has made or considered making a broad set of trade-related or security-related policy changes with respect to specific counterparty countries, most significantly China, to create various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financial condition, and results of operations would be materially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7"/>
          <w:szCs w:val="17"/>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64"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8"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29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72"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8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adversely affected.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940" w:right="320" w:hanging="288"/>
        <w:spacing w:after="0" w:line="282"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17"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17" w:lineRule="exact"/>
        <w:rPr>
          <w:rFonts w:ascii="Times New Roman" w:cs="Times New Roman" w:eastAsia="Times New Roman" w:hAnsi="Times New Roman"/>
          <w:sz w:val="18"/>
          <w:szCs w:val="18"/>
          <w:color w:val="auto"/>
        </w:rPr>
      </w:pPr>
    </w:p>
    <w:p>
      <w:pPr>
        <w:ind w:left="940" w:hanging="288"/>
        <w:spacing w:after="0" w:line="266"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7" w:lineRule="exact"/>
        <w:rPr>
          <w:rFonts w:ascii="Times New Roman" w:cs="Times New Roman" w:eastAsia="Times New Roman" w:hAnsi="Times New Roman"/>
          <w:sz w:val="18"/>
          <w:szCs w:val="18"/>
          <w:color w:val="auto"/>
        </w:rPr>
      </w:pPr>
    </w:p>
    <w:p>
      <w:pPr>
        <w:ind w:left="940" w:right="520" w:hanging="288"/>
        <w:spacing w:after="0" w:line="266"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940" w:right="380" w:hanging="288"/>
        <w:spacing w:after="0" w:line="282"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86" w:lineRule="exact"/>
        <w:rPr>
          <w:sz w:val="20"/>
          <w:szCs w:val="20"/>
          <w:color w:val="auto"/>
        </w:rPr>
      </w:pPr>
    </w:p>
    <w:p>
      <w:pPr>
        <w:ind w:left="940" w:right="20" w:hanging="288"/>
        <w:spacing w:after="0" w:line="282"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reagent suppliers may be subject to inclement weather, as well as natural or man-made disasters; and</w:t>
      </w:r>
    </w:p>
    <w:p>
      <w:pPr>
        <w:spacing w:after="0" w:line="117" w:lineRule="exact"/>
        <w:rPr>
          <w:rFonts w:ascii="Times New Roman" w:cs="Times New Roman" w:eastAsia="Times New Roman" w:hAnsi="Times New Roman"/>
          <w:sz w:val="18"/>
          <w:szCs w:val="18"/>
          <w:color w:val="auto"/>
        </w:rPr>
      </w:pPr>
    </w:p>
    <w:p>
      <w:pPr>
        <w:ind w:left="940" w:right="60" w:hanging="288"/>
        <w:spacing w:after="0" w:line="282"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62"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9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94"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5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9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6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51"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ind w:left="940" w:right="160" w:hanging="288"/>
        <w:spacing w:after="0" w:line="261"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40" w:right="64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940" w:right="44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ind w:left="940" w:right="60" w:hanging="288"/>
        <w:spacing w:after="0" w:line="266"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940" w:right="6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940" w:right="106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5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940" w:right="200" w:hanging="288"/>
        <w:spacing w:after="0" w:line="282"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940" w:right="60" w:hanging="288"/>
        <w:spacing w:after="0" w:line="282"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4" w:name="page75"/>
    <w:bookmarkEnd w:id="74"/>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6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8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87"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94"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30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5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These candidates include rezatapopt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8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83"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90"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7" w:lineRule="exact"/>
        <w:rPr>
          <w:sz w:val="20"/>
          <w:szCs w:val="20"/>
          <w:color w:val="auto"/>
        </w:rPr>
      </w:pPr>
    </w:p>
    <w:p>
      <w:pPr>
        <w:jc w:val="both"/>
        <w:ind w:right="20" w:firstLine="644"/>
        <w:spacing w:after="0" w:line="289" w:lineRule="auto"/>
        <w:rPr>
          <w:sz w:val="20"/>
          <w:szCs w:val="20"/>
          <w:color w:val="auto"/>
        </w:rPr>
      </w:pPr>
      <w:r>
        <w:rPr>
          <w:rFonts w:ascii="Times New Roman" w:cs="Times New Roman" w:eastAsia="Times New Roman" w:hAnsi="Times New Roman"/>
          <w:sz w:val="17"/>
          <w:szCs w:val="17"/>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9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192"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8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9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5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8"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51"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8"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94"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7" w:lineRule="exact"/>
        <w:rPr>
          <w:sz w:val="20"/>
          <w:szCs w:val="20"/>
          <w:color w:val="auto"/>
        </w:rPr>
      </w:pPr>
    </w:p>
    <w:p>
      <w:pPr>
        <w:jc w:val="both"/>
        <w:ind w:right="80" w:firstLine="644"/>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6" w:lineRule="exact"/>
        <w:rPr>
          <w:sz w:val="20"/>
          <w:szCs w:val="20"/>
          <w:color w:val="auto"/>
        </w:rPr>
      </w:pPr>
    </w:p>
    <w:p>
      <w:pPr>
        <w:ind w:firstLine="644"/>
        <w:spacing w:after="0" w:line="272" w:lineRule="auto"/>
        <w:rPr>
          <w:sz w:val="20"/>
          <w:szCs w:val="20"/>
          <w:color w:val="auto"/>
        </w:rPr>
      </w:pPr>
      <w:r>
        <w:rPr>
          <w:rFonts w:ascii="Times New Roman" w:cs="Times New Roman" w:eastAsia="Times New Roman" w:hAnsi="Times New Roman"/>
          <w:sz w:val="17"/>
          <w:szCs w:val="17"/>
          <w:color w:val="auto"/>
        </w:rPr>
        <w:t xml:space="preserve">We may be required to protect our patents through procedures created to attack the validity of a patent at the USPTO. The USPTO hears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possibility of post-grant proceedings could have a material adverse effect on our business, financial condition, results of operations and prospects.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94"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2" w:name="page83"/>
    <w:bookmarkEnd w:id="82"/>
    <w:p>
      <w:pPr>
        <w:spacing w:after="0" w:line="2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9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67"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87"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88"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7"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82"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8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3"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0" w:lineRule="exact"/>
        <w:rPr>
          <w:sz w:val="20"/>
          <w:szCs w:val="20"/>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40" w:right="66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940" w:right="54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17" w:lineRule="exact"/>
        <w:rPr>
          <w:rFonts w:ascii="Times New Roman" w:cs="Times New Roman" w:eastAsia="Times New Roman" w:hAnsi="Times New Roman"/>
          <w:sz w:val="18"/>
          <w:szCs w:val="18"/>
          <w:color w:val="auto"/>
        </w:rPr>
      </w:pPr>
    </w:p>
    <w:p>
      <w:pPr>
        <w:ind w:left="940" w:right="38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ind w:right="360" w:firstLine="64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76"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jc w:val="both"/>
        <w:ind w:right="300" w:firstLine="64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68" w:lineRule="exact"/>
        <w:rPr>
          <w:sz w:val="20"/>
          <w:szCs w:val="20"/>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planned or any future preclinical studies, clinical trials or clinical development programs;</w:t>
      </w:r>
    </w:p>
    <w:p>
      <w:pPr>
        <w:spacing w:after="0" w:line="117" w:lineRule="exact"/>
        <w:rPr>
          <w:rFonts w:ascii="Times New Roman" w:cs="Times New Roman" w:eastAsia="Times New Roman" w:hAnsi="Times New Roman"/>
          <w:sz w:val="18"/>
          <w:szCs w:val="18"/>
          <w:color w:val="auto"/>
        </w:rPr>
      </w:pPr>
    </w:p>
    <w:p>
      <w:pPr>
        <w:ind w:left="940" w:right="180" w:hanging="288"/>
        <w:spacing w:after="0" w:line="282"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3" w:lineRule="exact"/>
        <w:rPr>
          <w:rFonts w:ascii="Times New Roman" w:cs="Times New Roman" w:eastAsia="Times New Roman" w:hAnsi="Times New Roman"/>
          <w:sz w:val="18"/>
          <w:szCs w:val="18"/>
          <w:color w:val="auto"/>
        </w:rPr>
      </w:pPr>
    </w:p>
    <w:p>
      <w:pPr>
        <w:ind w:left="940" w:right="700" w:hanging="288"/>
        <w:spacing w:after="0" w:line="282"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regulatory approval of our product candidates;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cancer target markets;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treat additional types of cancers or at different stages;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940" w:right="780" w:hanging="288"/>
        <w:spacing w:after="0" w:line="282"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940" w:right="340" w:hanging="288"/>
        <w:spacing w:after="0" w:line="282" w:lineRule="auto"/>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117" w:lineRule="exact"/>
        <w:rPr>
          <w:rFonts w:ascii="Times New Roman" w:cs="Times New Roman" w:eastAsia="Times New Roman" w:hAnsi="Times New Roman"/>
          <w:sz w:val="18"/>
          <w:szCs w:val="18"/>
          <w:color w:val="auto"/>
        </w:rPr>
      </w:pPr>
    </w:p>
    <w:p>
      <w:pPr>
        <w:ind w:left="940" w:right="400" w:hanging="288"/>
        <w:spacing w:after="0" w:line="282" w:lineRule="auto"/>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rising rate of inflation, the Ukraine-Russia war and the conflict between Israel and Hamas; and</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2"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Prior to the closing of our initial public offering in September 2020, there was no public trading market for our common stock. Although our common stock is listed on the Nasdaq Global Select Market, the market for our shares has demonstrated varying levels of trading activity. Furthermore, an active trading market for our common stock may not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We do not have any control over these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capital stock, so any returns will be limited to the value of our stock.</w:t>
      </w:r>
    </w:p>
    <w:p>
      <w:pPr>
        <w:spacing w:after="0" w:line="12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54" w:lineRule="exact"/>
        <w:rPr>
          <w:sz w:val="20"/>
          <w:szCs w:val="20"/>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940" w:right="460" w:hanging="288"/>
        <w:spacing w:after="0" w:line="282"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17" w:lineRule="exact"/>
        <w:rPr>
          <w:rFonts w:ascii="Times New Roman" w:cs="Times New Roman" w:eastAsia="Times New Roman" w:hAnsi="Times New Roman"/>
          <w:sz w:val="18"/>
          <w:szCs w:val="18"/>
          <w:color w:val="auto"/>
        </w:rPr>
      </w:pPr>
    </w:p>
    <w:p>
      <w:pPr>
        <w:ind w:left="940" w:right="900" w:hanging="288"/>
        <w:spacing w:after="0" w:line="282"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86" w:lineRule="exact"/>
        <w:rPr>
          <w:sz w:val="20"/>
          <w:szCs w:val="20"/>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2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0"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8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7" w:lineRule="exact"/>
        <w:rPr>
          <w:rFonts w:ascii="Times New Roman" w:cs="Times New Roman" w:eastAsia="Times New Roman" w:hAnsi="Times New Roman"/>
          <w:sz w:val="18"/>
          <w:szCs w:val="18"/>
          <w:color w:val="auto"/>
        </w:rPr>
      </w:pPr>
    </w:p>
    <w:p>
      <w:pPr>
        <w:ind w:left="940" w:right="300" w:hanging="288"/>
        <w:spacing w:after="0" w:line="282"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62"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7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9" w:name="page90"/>
    <w:bookmarkEnd w:id="89"/>
    <w:p>
      <w:pPr>
        <w:spacing w:after="0" w:line="29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67" w:lineRule="exact"/>
        <w:rPr>
          <w:sz w:val="20"/>
          <w:szCs w:val="20"/>
          <w:color w:val="auto"/>
        </w:rPr>
      </w:pPr>
    </w:p>
    <w:p>
      <w:pPr>
        <w:jc w:val="both"/>
        <w:ind w:right="80" w:firstLine="644"/>
        <w:spacing w:after="0" w:line="266" w:lineRule="auto"/>
        <w:rPr>
          <w:sz w:val="20"/>
          <w:szCs w:val="20"/>
          <w:color w:val="auto"/>
        </w:rPr>
      </w:pPr>
      <w:r>
        <w:rPr>
          <w:rFonts w:ascii="Times New Roman" w:cs="Times New Roman" w:eastAsia="Times New Roman" w:hAnsi="Times New Roman"/>
          <w:sz w:val="18"/>
          <w:szCs w:val="18"/>
          <w:color w:val="auto"/>
        </w:rPr>
        <w:t>We are subject to Section 404 of the Sarbanes-Oxley Act and the related rules of the SEC and Nasdaq, which, among other things, require that we maintain effective internal control over financial reporting. In addition, Section 404 requires our management to report on the effectiveness of our internal control over financial reporting. We are also required to disclose changes made in our internal controls and procedures on a quarterly basis.</w:t>
      </w:r>
    </w:p>
    <w:p>
      <w:pPr>
        <w:spacing w:after="0" w:line="176"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requirements of these rules and regulations are difficult, time-consuming and costly, and place significant strain on our personnel, systems and resources. Effective internal controls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Select Market.</w:t>
      </w:r>
    </w:p>
    <w:p>
      <w:pPr>
        <w:spacing w:after="0" w:line="189"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Any testing by us conducted in connection with Section 404, or any subsequent testing,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w:t>
      </w:r>
    </w:p>
    <w:p>
      <w:pPr>
        <w:spacing w:after="0" w:line="180"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risk of securities class action litigation, which is expensive and could divert management attention.</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1"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3"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180"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940" w:hanging="288"/>
        <w:spacing w:after="0" w:line="282"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940" w:right="440" w:hanging="288"/>
        <w:spacing w:after="0" w:line="266"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future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940" w:right="280" w:hanging="288"/>
        <w:spacing w:after="0" w:line="282"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future product candidates, if approved, which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940" w:right="140" w:hanging="288"/>
        <w:spacing w:after="0" w:line="282"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our product candidates;</w:t>
      </w:r>
    </w:p>
    <w:p>
      <w:pPr>
        <w:spacing w:after="0" w:line="53" w:lineRule="exact"/>
        <w:rPr>
          <w:rFonts w:ascii="Times New Roman" w:cs="Times New Roman" w:eastAsia="Times New Roman" w:hAnsi="Times New Roman"/>
          <w:sz w:val="18"/>
          <w:szCs w:val="18"/>
          <w:color w:val="auto"/>
        </w:rPr>
      </w:pPr>
    </w:p>
    <w:p>
      <w:pPr>
        <w:ind w:left="940" w:right="20" w:hanging="288"/>
        <w:spacing w:after="0" w:line="282"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future collaborations, licensing or other arrangements;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94"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80"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and assessments in the event of a material change in our business practices that may affect information systems that are vulnerable to such cybersecurity threats.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0"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VP of Information Technology, who reports to our General Counsel &amp; Chief Operating Officer, to manage the risk assessment and mitigation process.</w:t>
      </w:r>
    </w:p>
    <w:p>
      <w:pPr>
        <w:spacing w:after="0" w:line="180"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management. Personnel at all levels and departments know our cybersecurity policies through training. Random attack simulations are conducted monthly to familiarize all personnel with various phishing methods with positive reinforcement on identifying and reporting suspicious content to the IT Department.</w:t>
      </w:r>
    </w:p>
    <w:p>
      <w:pPr>
        <w:spacing w:after="0" w:line="180"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engage third parties like a penetration testing firm and our managed service provider in connection with our risk assessment processes. These service providers assist us in identifying vulnerabilities to design and implement, suggesting remediation of our cybersecurity policies and procedures, as well as monitor and test our safeguards. We require each third-party service provider to implement and maintain reasonable security measures in connection with their work with us, and to promptly report any suspected breach of its security measures that may affect our company.</w:t>
      </w:r>
    </w:p>
    <w:p>
      <w:pPr>
        <w:spacing w:after="0" w:line="18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320" w:firstLine="644"/>
        <w:spacing w:after="0" w:line="266" w:lineRule="auto"/>
        <w:rPr>
          <w:sz w:val="20"/>
          <w:szCs w:val="20"/>
          <w:color w:val="auto"/>
        </w:rPr>
      </w:pPr>
      <w:r>
        <w:rPr>
          <w:rFonts w:ascii="Times New Roman" w:cs="Times New Roman" w:eastAsia="Times New Roman" w:hAnsi="Times New Roman"/>
          <w:sz w:val="18"/>
          <w:szCs w:val="18"/>
          <w:color w:val="auto"/>
        </w:rPr>
        <w:t>One of the key functions of our board of directors is oversight of our risk management process, including risks from cybersecurity threats. Our board of directors is responsible for monitoring and assessing strategic risk exposure, and our executive officers manage the material risks we face. Our board of directors administers its cybersecurity risk oversight function directly as a whole and through the audit committee.</w:t>
      </w:r>
    </w:p>
    <w:p>
      <w:pPr>
        <w:spacing w:after="0" w:line="176"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Our VP of Information Technology, and our management committee on cybersecurity, which includes our audit committee, are primarily responsible for assessing and managing our material risks from cybersecurity threats. The VP of Information Technology has twenty years of experience in IT on-premise and cloud infrastructure, enterprise applications, and operations across large and mid-size life science companies with a focus on IT controls for compliance and security.</w:t>
      </w:r>
    </w:p>
    <w:p>
      <w:pPr>
        <w:spacing w:after="0" w:line="180" w:lineRule="exact"/>
        <w:rPr>
          <w:sz w:val="20"/>
          <w:szCs w:val="20"/>
          <w:color w:val="auto"/>
        </w:rPr>
      </w:pPr>
    </w:p>
    <w:p>
      <w:pPr>
        <w:ind w:right="400" w:firstLine="644"/>
        <w:spacing w:after="0" w:line="261" w:lineRule="auto"/>
        <w:rPr>
          <w:sz w:val="20"/>
          <w:szCs w:val="20"/>
          <w:color w:val="auto"/>
        </w:rPr>
      </w:pPr>
      <w:r>
        <w:rPr>
          <w:rFonts w:ascii="Times New Roman" w:cs="Times New Roman" w:eastAsia="Times New Roman" w:hAnsi="Times New Roman"/>
          <w:sz w:val="18"/>
          <w:szCs w:val="18"/>
          <w:color w:val="auto"/>
        </w:rPr>
        <w:t>Our VP of Information Technology oversees our cybersecurity policies and processes, including those described in “Risk Management and Strategy” above. The processes by which our VP of Information Technology or department designee are informed about and monitor the prevention, detection, mitigation and remediation of cybersecurity incidents include weekly assessments for all endpoints and real-time notifications from security solutions, which include a combination of cloud and client-based applications.</w:t>
      </w:r>
    </w:p>
    <w:p>
      <w:pPr>
        <w:spacing w:after="0" w:line="18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VP of Information Technology provides annual briefings to the audit committee regarding our cybersecurity risks and activities, including any recent cybersecurity incidents and related responses, cybersecurity systems testing, activities of third parties, and the like. Our audit committee provides regular updates to the board of directors on such reports. In addition, our VP of Information Technology or department designee provides annual briefings to the board of directors on cybersecurity risks and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20" w:firstLine="64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at 400 Alexander Park Drive, Suite 301, Princeton, New Jersey 08540, where we sublease 14,201 square feet of office space. This lease term extends through 2027.</w:t>
      </w:r>
    </w:p>
    <w:p>
      <w:pPr>
        <w:spacing w:after="0" w:line="162"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We also sublease 3,205 square feet of laboratory space located at 311 Pennington Rocky Hill Road, Hopewell, New Jersey 08534. This lease term extends through 2029, and has a three-year extension option.</w:t>
      </w:r>
    </w:p>
    <w:p>
      <w:pPr>
        <w:spacing w:after="0" w:line="162"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for our current and near term conduct of our business operations and that suitable additional or substitute space at commercially reasonable terms will be available as needed to accommodate any future expansion of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As of March 3, 2025, we were not a party to any legal matters or claims that, in the opinion of management, are likely to have a material effect on our business. In the future, we may become party to legal matters and claims in the ordinary course of business, the resolution of which we do not anticipate would have a material adverse impact on our financial position, results of operations or cash flows. Regardless of outcome, litigation, or other legal proceedings can have an adverse impact on us because of legal fees and settlement costs, diversion of management resources,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140" w:firstLine="644"/>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“PMVP” since September 25, 2020.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181818"/>
        </w:rPr>
        <w:t>March 3, 2025</w:t>
      </w:r>
      <w:r>
        <w:rPr>
          <w:rFonts w:ascii="Times New Roman" w:cs="Times New Roman" w:eastAsia="Times New Roman" w:hAnsi="Times New Roman"/>
          <w:sz w:val="18"/>
          <w:szCs w:val="18"/>
          <w:color w:val="auto"/>
        </w:rPr>
        <w:t>, there were approximately 7 holders of record of our common stock. We believe the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fiscal year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our final prospectus filed with the SEC pursuant to Rule 424(b)(4) under the Securities Act on September 24,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185"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 xml:space="preserve">A discussion of our financial performance for the year ended December 31, 2024 as compared to the year ended December 31, 2023 appears below under the captions “Results of Operations” and “Liquidity and Capital Resources.” A discussion of our financial performance for the year ended December 31, 2023 compared to the year ended December 31, 2022 can be found in our Annual Report filed on Form 10-K, in the “Part II, Item 7. Management’s Discussion and Analysis of Financial Condition and Results of Operations”, under the same captions, filed with the SEC on February 29, 2024, which is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our Investor Relations website at </w:t>
      </w:r>
      <w:r>
        <w:rPr>
          <w:rFonts w:ascii="Times New Roman" w:cs="Times New Roman" w:eastAsia="Times New Roman" w:hAnsi="Times New Roman"/>
          <w:sz w:val="18"/>
          <w:szCs w:val="18"/>
          <w:i w:val="1"/>
          <w:iCs w:val="1"/>
          <w:color w:val="auto"/>
        </w:rPr>
        <w:t>ir.pmvpharma.com/financial-information/sec-filings</w:t>
      </w:r>
      <w:r>
        <w:rPr>
          <w:rFonts w:ascii="Times New Roman" w:cs="Times New Roman" w:eastAsia="Times New Roman" w:hAnsi="Times New Roman"/>
          <w:sz w:val="18"/>
          <w:szCs w:val="18"/>
          <w:color w:val="auto"/>
        </w:rPr>
        <w:t>. These website addresses are intended to be inactive, textual references only. None of the materials on, or accessible through,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websites are part of this report or are incorporated by reference herein.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29" w:lineRule="exact"/>
        <w:rPr>
          <w:sz w:val="20"/>
          <w:szCs w:val="20"/>
          <w:color w:val="auto"/>
        </w:rPr>
      </w:pPr>
    </w:p>
    <w:p>
      <w:pPr>
        <w:ind w:right="40" w:firstLine="644"/>
        <w:spacing w:after="0" w:line="268" w:lineRule="auto"/>
        <w:rPr>
          <w:sz w:val="20"/>
          <w:szCs w:val="20"/>
          <w:color w:val="auto"/>
        </w:rPr>
      </w:pPr>
      <w:r>
        <w:rPr>
          <w:rFonts w:ascii="Times New Roman" w:cs="Times New Roman" w:eastAsia="Times New Roman" w:hAnsi="Times New Roman"/>
          <w:sz w:val="17"/>
          <w:szCs w:val="17"/>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$58.7 million, $69.0 million, and $73.3 million for the years ended December 31, 2024, 2023, and 2022, respectively. As of December 31, 2024, we had an accumulated deficit of $368.7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rezatapopt. Our strategy is to seek approval under an accelerated pathway, and we believe our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We are continuing to dose patients in the pivotal Phase 2 monotherapy portion of our PYNNACLE trial, and have activated over 90% of sites globally across the U.S., U.K., Europe and Asia-Pacific.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spacing w:after="0" w:line="194" w:lineRule="exact"/>
        <w:rPr>
          <w:sz w:val="20"/>
          <w:szCs w:val="20"/>
          <w:color w:val="auto"/>
        </w:rPr>
      </w:pPr>
    </w:p>
    <w:p>
      <w:pPr>
        <w:ind w:right="260" w:firstLine="644"/>
        <w:spacing w:after="0" w:line="258" w:lineRule="auto"/>
        <w:rPr>
          <w:sz w:val="20"/>
          <w:szCs w:val="20"/>
          <w:color w:val="auto"/>
        </w:rPr>
      </w:pPr>
      <w:r>
        <w:rPr>
          <w:rFonts w:ascii="Times New Roman" w:cs="Times New Roman" w:eastAsia="Times New Roman" w:hAnsi="Times New Roman"/>
          <w:sz w:val="18"/>
          <w:szCs w:val="18"/>
          <w:color w:val="auto"/>
        </w:rPr>
        <w:t>In January 2024, we announced a restructuring plan involving the reduction of our workforce by approximately 30%. This workforce reduction resulted in non-recurring charges of $0.6 million in fiscal year ended December 31, 2024, consisting primarily of employee severance and benefit costs associated with the restructuring. We undertook these steps in order to streamline operations, reduce costs and preserve capital as we advance into late-stage development of rezatapopt. We recorded these charges in research and development expenses in the accompanying consolidated statements of operations and comprehensive loss based on responsibilities of the impacted employees.</w:t>
      </w:r>
    </w:p>
    <w:p>
      <w:pPr>
        <w:spacing w:after="0" w:line="224"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expect to continue to incur significant losses for the foreseeable future.</w:t>
      </w:r>
    </w:p>
    <w:p>
      <w:pPr>
        <w:spacing w:after="0" w:line="20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224" w:lineRule="exact"/>
        <w:rPr>
          <w:sz w:val="20"/>
          <w:szCs w:val="20"/>
          <w:color w:val="auto"/>
        </w:rPr>
      </w:pPr>
    </w:p>
    <w:p>
      <w:pPr>
        <w:ind w:right="760" w:firstLine="644"/>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firstLine="644"/>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22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a Phase 1/2 clinical trial in October 2020. In October 2020,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Molecular Targets and Cancer Therapeutics Meeting. We are continuing to dose patients and have activated over 90% of sites globally across the U.S., U.K., Europe and Asia-Pacific, in the registrational, tumor-agnostic PYNNACLE Phase 2 trial of rezatapopt in patients with advanced solid tumors harboring a TP53 Y220C mutation and KRAS wild-type.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21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7" w:name="page98"/>
    <w:bookmarkEnd w:id="97"/>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0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2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(85,448 )</w:t>
            </w:r>
          </w:p>
        </w:tc>
        <w:tc>
          <w:tcPr>
            <w:tcW w:w="5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(80,132 )</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(5,316 )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4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(74,809 )</w:t>
            </w:r>
          </w:p>
        </w:tc>
        <w:tc>
          <w:tcPr>
            <w:tcW w:w="5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(68,958 )</w:t>
            </w: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(5,851 )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(16,100 )</w:t>
            </w: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(16,102 )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(58,709 )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(68,960 )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-1302385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-1302385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-454025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-454025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(1,862 )</w:t>
            </w:r>
          </w:p>
        </w:tc>
        <w:tc>
          <w:tcPr>
            <w:tcW w:w="0" w:type="dxa"/>
            <w:vAlign w:val="bottom"/>
          </w:tcPr>
          <w:p>
            <w:pPr>
              <w:spacing w:after="0"/>
              <w:rPr>
                <w:sz w:val="1"/>
                <w:szCs w:val="1"/>
                <w:color w:val="auto"/>
              </w:rPr>
            </w:pPr>
          </w:p>
        </w:tc>
      </w:tr>
      <w:tr>
        <w:trPr>
          <w:trHeight w:val="249"/>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5255895</wp:posOffset>
            </wp:positionH>
            <wp:positionV relativeFrom="paragraph">
              <wp:posOffset>-843915</wp:posOffset>
            </wp:positionV>
            <wp:extent cx="93980" cy="136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-843915</wp:posOffset>
            </wp:positionV>
            <wp:extent cx="93980" cy="136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were $58.5 million for the year ended December 31, 2024, compared to $55.9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increase of $2.6 million was primarily due to the following:</w:t>
      </w:r>
    </w:p>
    <w:p>
      <w:pPr>
        <w:spacing w:after="0" w:line="99" w:lineRule="exact"/>
        <w:rPr>
          <w:sz w:val="20"/>
          <w:szCs w:val="20"/>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increase in research and development expenses largely driven by increased contractual research organization costs; offset by</w:t>
      </w:r>
    </w:p>
    <w:p>
      <w:pPr>
        <w:spacing w:after="0" w:line="117" w:lineRule="exact"/>
        <w:rPr>
          <w:rFonts w:ascii="Times New Roman" w:cs="Times New Roman" w:eastAsia="Times New Roman" w:hAnsi="Times New Roman"/>
          <w:sz w:val="18"/>
          <w:szCs w:val="18"/>
          <w:color w:val="auto"/>
        </w:rPr>
      </w:pPr>
    </w:p>
    <w:p>
      <w:pPr>
        <w:ind w:left="940" w:right="20" w:hanging="288"/>
        <w:spacing w:after="0" w:line="266" w:lineRule="auto"/>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decrease in expenses for personnel related costs and stock-based compensation, primarily as a result of the restructuring that occurred in January 2024. Refer to Note 12 of the notes to our audited consolidated financial statements for the year ended December 31, 2024 included elsewhere in this Annual Report on Form 10-K for details on the restructuring.</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were $26.9 million for the year ended December 31, 2024, compared to $24.2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increase of $2.7 million was primarily due to the following: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6" w:lineRule="exact"/>
        <w:rPr>
          <w:sz w:val="20"/>
          <w:szCs w:val="20"/>
          <w:color w:val="auto"/>
        </w:rPr>
      </w:pPr>
    </w:p>
    <w:p>
      <w:pPr>
        <w:ind w:left="940" w:right="120" w:hanging="288"/>
        <w:spacing w:after="0" w:line="282" w:lineRule="auto"/>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increase in facility related costs due to the termination of our prior lease for our headquarters at One Research Way in Princeton, New Jersey, and $0.4 million increase in general and administrative consulting costs; offset by</w:t>
      </w:r>
    </w:p>
    <w:p>
      <w:pPr>
        <w:spacing w:after="0" w:line="53" w:lineRule="exact"/>
        <w:rPr>
          <w:rFonts w:ascii="Times New Roman" w:cs="Times New Roman" w:eastAsia="Times New Roman" w:hAnsi="Times New Roman"/>
          <w:sz w:val="18"/>
          <w:szCs w:val="18"/>
          <w:color w:val="auto"/>
        </w:rPr>
      </w:pPr>
    </w:p>
    <w:p>
      <w:pPr>
        <w:ind w:left="940" w:right="560" w:hanging="288"/>
        <w:spacing w:after="0" w:line="282" w:lineRule="auto"/>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decrease in expenses for personnel related costs and stock-based compensation driven by the restructuring that occurred in January 2024, and $0.5 million decrease in director and officer insurance fees.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$10.7 million for the year ended December 31, 2024, compared to $11.2 million for the year ended December 31, 2023. The decrease of $0.5 million in 2024 was primarily due to decreased interest rates from cash investments in marketable securities and U.S. treasuries.</w:t>
      </w:r>
    </w:p>
    <w:p>
      <w:pPr>
        <w:spacing w:after="0" w:line="28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8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(36,773 )</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(11,662 )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6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183,297</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228,562</w:t>
            </w:r>
          </w:p>
        </w:tc>
        <w:tc>
          <w:tcPr>
            <w:tcW w:w="220" w:type="dxa"/>
            <w:vAlign w:val="bottom"/>
            <w:gridSpan w:val="2"/>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(45,265 )</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6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8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5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(31,751 )</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266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161,288</w:t>
            </w:r>
          </w:p>
        </w:tc>
        <w:tc>
          <w:tcPr>
            <w:tcW w:w="8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193,380</w:t>
            </w:r>
          </w:p>
        </w:tc>
        <w:tc>
          <w:tcPr>
            <w:tcW w:w="5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(32,092 )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-1790700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-1773555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-1790700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-1773555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-1216660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-1216660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negative cash flows from our operations. We have not yet commercialized any of our product candidates and we do not expect to generate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sales of any product candidates for several years, if at all. As of December 31, 2024, we had cash, cash equivalents, and marketable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$183.3 million and an accumulated deficit of $368.7 million. We have financed our operations primarily through issuance and sales of our equity securities.</w:t>
      </w:r>
    </w:p>
    <w:p>
      <w:pPr>
        <w:spacing w:after="0" w:line="207"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On November 20, 2024 we filed a shelf registration statement on Form S-3 (File No. 333-283349) with the SEC and a prospectus supplement, which registered the offering, issuance and sale of up to $200,000,000 of various equity and debt securities and up to $113.8 million of common stock pursuant to an at-the-market equity offering program with Jefferies LLC, dated October 4, 2021, or the ATM Program. The SEC declared the registration statement effective on November 27, 2024. During the year ending December 31, 2024, we did not sell any shares of our common stock pursuant to the ATM Program. As of December 31, 2024, we had approximately $113.8 million remaining in gross proceeds available for future issuances of common stock under the ATM Program.</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16"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or the One Research Way Lease. On August 5, 2024, we entered into a Lease Termination Agreement, or the Termination Agreement, with BMR-One Research Way LLC, a Delaware limited liability company, or the Landlord, to terminate the One Research Way Lease. We and the Landlord agreed to terminate the One Research Way Lease effective as of September 30, 2024, contingent on the sale of the property by the Landlord to a prospective new buyer, or the Contingency.</w:t>
      </w:r>
    </w:p>
    <w:p>
      <w:pPr>
        <w:spacing w:after="0" w:line="224"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Pursuant to the Termination Agreement, and subject to the Contingency, we agreed to surrender our then-current headquarters at One Research Way and pay a total termination fee of approximately $1.42 million. The Contingency was satisfied in October 2024 and we paid the termination fee to the Landlord in October 2024. No further amounts or payments related to the One Research Way Lease are owed. The foregoing descriptions of the Termination Agreement is not complete and is qualified in its entirety by reference to the full text of the Termination Agreement, a copy of which was filed as Exhibit 10.1 to our Form 8-K filed with the SEC on August 8, 2024.</w:t>
      </w:r>
    </w:p>
    <w:p>
      <w:pPr>
        <w:spacing w:after="0" w:line="21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and the 311 Pennington Sublease term extends until December 2029 and has a three-year extension option. Amounts related to future lease payments for 311 Pennington Sublease as of December 31, 2024, totaled $0.7 million with $0.1 million to be paid within the next 12 months. Amounts related to future lease payments for 400 Alexander Sublease as of December 31, 2024, totaled $0.7 million with $0.3 million to be paid within the next 12 months.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jc w:val="both"/>
        <w:ind w:right="340" w:firstLine="644"/>
        <w:spacing w:after="0" w:line="289" w:lineRule="auto"/>
        <w:rPr>
          <w:sz w:val="20"/>
          <w:szCs w:val="20"/>
          <w:color w:val="auto"/>
        </w:rPr>
      </w:pPr>
      <w:r>
        <w:rPr>
          <w:rFonts w:ascii="Times New Roman" w:cs="Times New Roman" w:eastAsia="Times New Roman" w:hAnsi="Times New Roman"/>
          <w:sz w:val="17"/>
          <w:szCs w:val="17"/>
          <w:color w:val="auto"/>
        </w:rPr>
        <w:t>We use our capital resources primarily to fund operating expenses, mainly research and development expenditures. On January 18, 2024, we announced a restructuring plan involving the reduction of our workforce by approximately 30% of our employees and incurred costs of $0.6 million in connection therewith during the fiscal year ending on December 31, 2024. We undertook these steps in order to streamline operations, reduce costs and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preserve capital as we advance our lead candidate, rezatapopt, into late-stage development.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9"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$368.7 million through December 31, 2024. We expect to incur substantial additional losses in the future as we expand our research and development activities. Our cash operating expenditures were $51.3 million in 2024 and $55.7 million in 2023. Based on our research and development plans, we expect that our cash, cash equivalents, and marketable securities balances as of December 31, 2024 will be sufficient to fund our planned operations at least through the end of 2026.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40" w:right="740" w:hanging="288"/>
        <w:spacing w:after="0" w:line="282" w:lineRule="auto"/>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40" w:right="880" w:hanging="288"/>
        <w:spacing w:after="0" w:line="282" w:lineRule="auto"/>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16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4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(51,282 )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(55,657 )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(63,760 )</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(50,545 )</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(1,368 )</w:t>
            </w: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(70,591 )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(64,170 )</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80" w:firstLine="64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$51.3 million, which consisted primarily of net loss of $58.7 million decreased by non-cash charges of $9.0 million and decreased by a net change of $1.6 million in our net operating assets and liabilities. The non-cash charges primarily consisted of stock-based compensation of $8.9 million, depreciation of $1.1 million, and accretion of discounts on marketable securities of $5.4 million. The change in our net operating assets and liabilities was primarily due to an increase in operating lease liabilities and other assets and an increase in accrued expenses.</w:t>
      </w:r>
    </w:p>
    <w:p>
      <w:pPr>
        <w:spacing w:after="0" w:line="224"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$55.7 million, which consisted primarily of net loss of $69.0 million decreased by non-cash charges of $7.9 million and a net change of $5.4 million in our net operating assets and liabilities. The non-cash charges primarily consisted of stock-based compensation of $12.4 million and depreciation of $1.3 million, partially offset by non-cash lease income of $0.4 million and accretion of premiums on marketable securities of $5.4 million. The change in our net operating assets and liabilities was primarily due to an increase in operating lease liabilities and other assets and an increase in accrued expenses.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$53.4 million of cash during the year ended December 31, 2024, which consisted primarily of maturities of marketable securities of $202 million, offset by purchases of marketable securities of $148.3 million, along with purchase of property and equipment of $0.7 million.</w:t>
      </w:r>
    </w:p>
    <w:p>
      <w:pPr>
        <w:spacing w:after="0" w:line="203" w:lineRule="exact"/>
        <w:rPr>
          <w:sz w:val="20"/>
          <w:szCs w:val="20"/>
          <w:color w:val="auto"/>
        </w:rPr>
      </w:pPr>
    </w:p>
    <w:p>
      <w:pPr>
        <w:ind w:right="340" w:firstLine="644"/>
        <w:spacing w:after="0" w:line="266" w:lineRule="auto"/>
        <w:rPr>
          <w:sz w:val="20"/>
          <w:szCs w:val="20"/>
          <w:color w:val="auto"/>
        </w:rPr>
      </w:pPr>
      <w:r>
        <w:rPr>
          <w:rFonts w:ascii="Times New Roman" w:cs="Times New Roman" w:eastAsia="Times New Roman" w:hAnsi="Times New Roman"/>
          <w:sz w:val="18"/>
          <w:szCs w:val="18"/>
          <w:color w:val="auto"/>
        </w:rPr>
        <w:t>Our investing activities used $50.5 million of cash during the year ended December 31, 2023, which consisted primarily of purchases of marketable securities of $220.5 million, along with purchase of property and equipment of $1.0 million, offset by maturities of marketable securities of $171.0 million.</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35"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$0.3 million of cash during the year ended December 31, 2024 which consisted of $0.3 million of proceeds from the exercise of stock options and issuance of common stock under the 2020 ESPP.</w:t>
      </w:r>
    </w:p>
    <w:p>
      <w:pPr>
        <w:spacing w:after="0" w:line="202"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Our financing activities provided $35.6 million of cash during the year ended December 31, 2023. This consisted of $35.1 million of common stock issued under our ATM Program, net of issuance costs, and $0.5 million of proceeds from the exercise of stock options and issuance of common stock under the 2020 ESPP.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requires us to make estimates and judgments that affect the amounts reported in those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0"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The following summary should be read in conjunction with Note 2 of the notes to our audited consolidated financial statements for the year ended December 31, 2024 included elsewhere in this Annual Report on Form 10-K.</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183"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audited consolidated financial statements for the year ended December 31, 2024 included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9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Ernst &amp; Young LLP, Independent Registered Public Accounting Firm </w:t>
            </w:r>
            <w:r>
              <w:rPr>
                <w:rFonts w:ascii="Times New Roman" w:cs="Times New Roman" w:eastAsia="Times New Roman" w:hAnsi="Times New Roman"/>
                <w:sz w:val="18"/>
                <w:szCs w:val="18"/>
                <w:color w:val="000000"/>
              </w:rPr>
              <w:t>(PCAOB ID: 42)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04"/>
        </w:trPr>
        <w:tc>
          <w:tcPr>
            <w:tcW w:w="580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4100" w:type="dxa"/>
            <w:vAlign w:val="bottom"/>
            <w:gridSpan w:val="4"/>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886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2023, and 2022</w:t>
            </w:r>
          </w:p>
        </w:tc>
        <w:tc>
          <w:tcPr>
            <w:tcW w:w="10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04"/>
        </w:trPr>
        <w:tc>
          <w:tcPr>
            <w:tcW w:w="99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2024, 2023, and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04"/>
        </w:trPr>
        <w:tc>
          <w:tcPr>
            <w:tcW w:w="838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52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04"/>
        </w:trPr>
        <w:tc>
          <w:tcPr>
            <w:tcW w:w="704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60" w:type="dxa"/>
            <w:vAlign w:val="bottom"/>
            <w:gridSpan w:val="3"/>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885"/>
        </w:trPr>
        <w:tc>
          <w:tcPr>
            <w:tcW w:w="3160" w:type="dxa"/>
            <w:vAlign w:val="bottom"/>
            <w:tcBorders>
              <w:top w:val="single" w:sz="8" w:color="0000FF"/>
            </w:tcBorders>
          </w:tcPr>
          <w:p>
            <w:pPr>
              <w:spacing w:after="0"/>
              <w:rPr>
                <w:sz w:val="24"/>
                <w:szCs w:val="24"/>
                <w:color w:val="auto"/>
              </w:rPr>
            </w:pPr>
          </w:p>
        </w:tc>
        <w:tc>
          <w:tcPr>
            <w:tcW w:w="2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PMV Pharmaceuticals,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PMV Pharmaceuticals, Inc. (the Company) as of December 31, 2024 and 2023, the related consolidated statements of operations and comprehensive loss, stockholders’ equity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6" w:name="page107"/>
    <w:bookmarkEnd w:id="106"/>
    <w:p>
      <w:pPr>
        <w:ind w:left="2040"/>
        <w:spacing w:after="0"/>
        <w:rPr>
          <w:sz w:val="20"/>
          <w:szCs w:val="20"/>
          <w:color w:val="auto"/>
        </w:rPr>
      </w:pPr>
      <w:r>
        <w:rPr>
          <w:rFonts w:ascii="Times New Roman" w:cs="Times New Roman" w:eastAsia="Times New Roman" w:hAnsi="Times New Roman"/>
          <w:sz w:val="17"/>
          <w:szCs w:val="17"/>
          <w:b w:val="1"/>
          <w:bCs w:val="1"/>
          <w:i w:val="1"/>
          <w:iCs w:val="1"/>
          <w:color w:val="auto"/>
        </w:rPr>
        <w:t>Accounting for Research and Development Expenses</w:t>
      </w:r>
    </w:p>
    <w:p>
      <w:pPr>
        <w:sectPr>
          <w:pgSz w:w="11900" w:h="16838" w:orient="portrait"/>
          <w:cols w:equalWidth="0" w:num="1">
            <w:col w:w="11160"/>
          </w:cols>
          <w:pgMar w:left="320" w:top="1413" w:right="419" w:bottom="1440" w:gutter="0" w:footer="0" w:header="0"/>
        </w:sectPr>
      </w:pPr>
    </w:p>
    <w:p>
      <w:pPr>
        <w:spacing w:after="0" w:line="239"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As disclosed in Note 2 to the consolidated financial statements, the Company is required to estimate research and development expenses from its obligations under contracts and purchase orders with vendors, clinical research organizations, clinical manufacturing organizations and others and for clinical site agreements at each balance sheet date. The Company recorded accrued expenses for the research and development expenses, which are included in accrued expenses on the December 31, 2024 consolidated balance sheet, and prepaid research and development expenses, which are included in prepaid expenses and other current assets on the December 31, 2024 consolidated balance sheet. The amounts recorded for accrued research and development expenses and for the related prepaid expenses, within the aforementioned balance sheet captions, represent the Company’s estimate of the unpaid and prepaid research and development expenses based on the progress of the research and development services compared to the amounts paid for those services through December 31, 2024.</w:t>
      </w:r>
    </w:p>
    <w:p>
      <w:pPr>
        <w:spacing w:after="0" w:line="173" w:lineRule="exact"/>
        <w:rPr>
          <w:sz w:val="20"/>
          <w:szCs w:val="20"/>
          <w:color w:val="auto"/>
        </w:rPr>
      </w:pPr>
    </w:p>
    <w:p>
      <w:pPr>
        <w:sectPr>
          <w:pgSz w:w="11900" w:h="16838" w:orient="portrait"/>
          <w:cols w:equalWidth="0" w:num="2">
            <w:col w:w="1320" w:space="720"/>
            <w:col w:w="9120"/>
          </w:cols>
          <w:pgMar w:left="320" w:top="1413" w:right="419" w:bottom="1440" w:gutter="0" w:footer="0" w:header="0"/>
          <w:type w:val="continuous"/>
        </w:sectPr>
      </w:pPr>
    </w:p>
    <w:p>
      <w:pPr>
        <w:ind w:left="2040" w:right="120"/>
        <w:spacing w:after="0" w:line="261" w:lineRule="auto"/>
        <w:rPr>
          <w:sz w:val="20"/>
          <w:szCs w:val="20"/>
          <w:color w:val="auto"/>
        </w:rPr>
      </w:pPr>
      <w:r>
        <w:rPr>
          <w:rFonts w:ascii="Times New Roman" w:cs="Times New Roman" w:eastAsia="Times New Roman" w:hAnsi="Times New Roman"/>
          <w:sz w:val="18"/>
          <w:szCs w:val="18"/>
          <w:color w:val="auto"/>
        </w:rPr>
        <w:t>Auditing the Company’s accrued research and development expenses and related prepaid expenses involved a high degree of subjectivity due to the estimation required by management in determining the progress to completion of services that have been performed that will be invoiced by the vendors, clinical research organizations and consultants and under clinical site agreements subsequent to the date that the consolidated financial statements are issued.</w:t>
      </w:r>
    </w:p>
    <w:p>
      <w:pPr>
        <w:sectPr>
          <w:pgSz w:w="11900" w:h="16838" w:orient="portrait"/>
          <w:cols w:equalWidth="0" w:num="1">
            <w:col w:w="11160"/>
          </w:cols>
          <w:pgMar w:left="320" w:top="1413" w:right="419" w:bottom="1440" w:gutter="0" w:footer="0" w:header="0"/>
          <w:type w:val="continuous"/>
        </w:sectPr>
      </w:pPr>
    </w:p>
    <w:p>
      <w:pPr>
        <w:spacing w:after="0" w:line="178"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test the research and development accruals and prepaid expenses, our audit procedures included, among others, reviewing a sample of agreements with the service providers to corroborate key financial and contractual terms, and testing the accuracy and completeness of the underlying data used in the accrual and prepaid expense computations. We also evaluated management’s estimates of the progress of a sample of research and development activities by making inquiries of the Company’s operations personnel that oversee the external research and development activities and obtaining information directly from a sample of service providers.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188" w:lineRule="exact"/>
        <w:rPr>
          <w:sz w:val="20"/>
          <w:szCs w:val="20"/>
          <w:color w:val="auto"/>
        </w:rPr>
      </w:pPr>
    </w:p>
    <w:p>
      <w:pPr>
        <w:sectPr>
          <w:pgSz w:w="11900" w:h="16838" w:orient="portrait"/>
          <w:cols w:equalWidth="0" w:num="2">
            <w:col w:w="1700" w:space="340"/>
            <w:col w:w="9120"/>
          </w:cols>
          <w:pgMar w:left="320" w:top="1413"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9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2024 and December 31, 2023. No shares issued or</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9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 as of</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51,935,134 and 51,445,862 shares issued and outstanding at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2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535,468</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(368,712 )</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(310,003 )</w:t>
            </w:r>
          </w:p>
        </w:tc>
      </w:tr>
      <w:tr>
        <w:trPr>
          <w:trHeight w:val="216"/>
        </w:trPr>
        <w:tc>
          <w:tcPr>
            <w:tcW w:w="7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176,080</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-3256915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-2399665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-2116455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3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080" w:type="dxa"/>
            <w:vAlign w:val="bottom"/>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100" w:type="dxa"/>
            <w:vAlign w:val="bottom"/>
          </w:tcPr>
          <w:p>
            <w:pPr>
              <w:spacing w:after="0"/>
              <w:rPr>
                <w:sz w:val="18"/>
                <w:szCs w:val="18"/>
                <w:color w:val="auto"/>
              </w:rPr>
            </w:pPr>
          </w:p>
        </w:tc>
      </w:tr>
      <w:tr>
        <w:trPr>
          <w:trHeight w:val="20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(85,448 )</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(80,132 )</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(77,040 )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r>
      <w:tr>
        <w:trPr>
          <w:trHeight w:val="210"/>
        </w:trPr>
        <w:tc>
          <w:tcPr>
            <w:tcW w:w="69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(74,809 )</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(68,958 )</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(73,326 )</w:t>
            </w:r>
          </w:p>
        </w:tc>
      </w:tr>
      <w:tr>
        <w:trPr>
          <w:trHeight w:val="216"/>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(16,100 )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6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(58,709 )</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(68,960 )</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(73,317 )</w:t>
            </w:r>
          </w:p>
        </w:tc>
      </w:tr>
      <w:tr>
        <w:trPr>
          <w:trHeight w:val="216"/>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(367 )</w:t>
            </w:r>
          </w:p>
        </w:tc>
      </w:tr>
      <w:tr>
        <w:trPr>
          <w:trHeight w:val="216"/>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 gain</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(367 )</w:t>
            </w:r>
          </w:p>
        </w:tc>
      </w:tr>
      <w:tr>
        <w:trPr>
          <w:trHeight w:val="20"/>
        </w:trPr>
        <w:tc>
          <w:tcPr>
            <w:tcW w:w="6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(58,794 )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(68,291 )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(73,684 )</w:t>
            </w: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0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(1.14 )</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(1.44 )</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(1.61 )</w:t>
            </w:r>
          </w:p>
        </w:tc>
      </w:tr>
      <w:tr>
        <w:trPr>
          <w:trHeight w:val="234"/>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51,578,807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48,014,645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45,594,824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-2153920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-2153920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-2153920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-1305560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-1305560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-1022350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-1022350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-456565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-456565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78"/>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238"/>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98"/>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2"/>
        </w:trPr>
        <w:tc>
          <w:tcPr>
            <w:tcW w:w="3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318"/>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98"/>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10"/>
                <w:szCs w:val="10"/>
                <w:color w:val="auto"/>
              </w:rPr>
            </w:pPr>
          </w:p>
        </w:tc>
        <w:tc>
          <w:tcPr>
            <w:tcW w:w="1160" w:type="dxa"/>
            <w:vAlign w:val="bottom"/>
            <w:gridSpan w:val="2"/>
          </w:tcPr>
          <w:p>
            <w:pPr>
              <w:jc w:val="right"/>
              <w:ind w:right="397"/>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37"/>
        </w:trPr>
        <w:tc>
          <w:tcPr>
            <w:tcW w:w="3060" w:type="dxa"/>
            <w:vAlign w:val="bottom"/>
          </w:tcPr>
          <w:p>
            <w:pPr>
              <w:spacing w:after="0"/>
              <w:rPr>
                <w:sz w:val="11"/>
                <w:szCs w:val="11"/>
                <w:color w:val="auto"/>
              </w:rPr>
            </w:pPr>
          </w:p>
        </w:tc>
        <w:tc>
          <w:tcPr>
            <w:tcW w:w="1860" w:type="dxa"/>
            <w:vAlign w:val="bottom"/>
            <w:gridSpan w:val="3"/>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78"/>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60" w:type="dxa"/>
            <w:vAlign w:val="bottom"/>
          </w:tcPr>
          <w:p>
            <w:pPr>
              <w:spacing w:after="0"/>
              <w:rPr>
                <w:sz w:val="11"/>
                <w:szCs w:val="11"/>
                <w:color w:val="auto"/>
              </w:rPr>
            </w:pPr>
          </w:p>
        </w:tc>
        <w:tc>
          <w:tcPr>
            <w:tcW w:w="1160" w:type="dxa"/>
            <w:vAlign w:val="bottom"/>
            <w:gridSpan w:val="2"/>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r>
      <w:tr>
        <w:trPr>
          <w:trHeight w:val="135"/>
        </w:trPr>
        <w:tc>
          <w:tcPr>
            <w:tcW w:w="306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ind w:right="358"/>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060" w:type="dxa"/>
            <w:vAlign w:val="bottom"/>
            <w:tcBorders>
              <w:top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Balance at December 31, 2021</w:t>
            </w:r>
          </w:p>
        </w:tc>
        <w:tc>
          <w:tcPr>
            <w:tcW w:w="1160" w:type="dxa"/>
            <w:vAlign w:val="bottom"/>
            <w:tcBorders>
              <w:top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45,433,684</w:t>
            </w:r>
          </w:p>
        </w:tc>
        <w:tc>
          <w:tcPr>
            <w:tcW w:w="700" w:type="dxa"/>
            <w:vAlign w:val="bottom"/>
            <w:tcBorders>
              <w:top w:val="single" w:sz="8" w:color="CFF0FC"/>
            </w:tcBorders>
            <w:gridSpan w:val="2"/>
            <w:shd w:val="clear" w:color="auto" w:fill="CFF0FC"/>
          </w:tcPr>
          <w:p>
            <w:pPr>
              <w:jc w:val="right"/>
              <w:ind w:right="317"/>
              <w:spacing w:after="0" w:line="12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CFF0FC"/>
            </w:tcBorders>
            <w:shd w:val="clear" w:color="auto" w:fill="CFF0FC"/>
          </w:tcPr>
          <w:p>
            <w:pPr>
              <w:ind w:left="84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476,363</w:t>
            </w: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(78</w:t>
            </w:r>
          </w:p>
        </w:tc>
        <w:tc>
          <w:tcPr>
            <w:tcW w:w="200" w:type="dxa"/>
            <w:vAlign w:val="bottom"/>
            <w:tcBorders>
              <w:top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shd w:val="clear" w:color="auto" w:fill="CFF0FC"/>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(167,726</w:t>
            </w:r>
          </w:p>
        </w:tc>
        <w:tc>
          <w:tcPr>
            <w:tcW w:w="220" w:type="dxa"/>
            <w:vAlign w:val="bottom"/>
            <w:tcBorders>
              <w:top w:val="single" w:sz="8" w:color="CFF0FC"/>
            </w:tcBorders>
            <w:shd w:val="clear" w:color="auto" w:fill="CFF0FC"/>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308,559</w:t>
            </w:r>
          </w:p>
        </w:tc>
        <w:tc>
          <w:tcPr>
            <w:tcW w:w="100" w:type="dxa"/>
            <w:vAlign w:val="bottom"/>
            <w:tcBorders>
              <w:top w:val="single" w:sz="8" w:color="CFF0FC"/>
            </w:tcBorders>
            <w:shd w:val="clear" w:color="auto" w:fill="CFF0FC"/>
          </w:tcPr>
          <w:p>
            <w:pPr>
              <w:spacing w:after="0"/>
              <w:rPr>
                <w:sz w:val="10"/>
                <w:szCs w:val="10"/>
                <w:color w:val="auto"/>
              </w:rPr>
            </w:pPr>
          </w:p>
        </w:tc>
      </w:tr>
      <w:tr>
        <w:trPr>
          <w:trHeight w:val="110"/>
        </w:trPr>
        <w:tc>
          <w:tcPr>
            <w:tcW w:w="306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color w:val="auto"/>
              </w:rPr>
              <w:t>Exercise of stock options and common stock issued</w:t>
            </w:r>
          </w:p>
        </w:tc>
        <w:tc>
          <w:tcPr>
            <w:tcW w:w="11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53"/>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under the 2020 ESPP</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337,648</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1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tcPr>
          <w:p>
            <w:pPr>
              <w:spacing w:after="0"/>
              <w:rPr>
                <w:sz w:val="13"/>
                <w:szCs w:val="13"/>
                <w:color w:val="auto"/>
              </w:rPr>
            </w:pPr>
          </w:p>
        </w:tc>
      </w:tr>
      <w:tr>
        <w:trPr>
          <w:trHeight w:val="135"/>
        </w:trPr>
        <w:tc>
          <w:tcPr>
            <w:tcW w:w="3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10,195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10,195</w:t>
            </w:r>
          </w:p>
        </w:tc>
        <w:tc>
          <w:tcPr>
            <w:tcW w:w="100" w:type="dxa"/>
            <w:vAlign w:val="bottom"/>
            <w:shd w:val="clear" w:color="auto" w:fill="CFF0FC"/>
          </w:tcPr>
          <w:p>
            <w:pPr>
              <w:spacing w:after="0"/>
              <w:rPr>
                <w:sz w:val="11"/>
                <w:szCs w:val="1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(73,317 )</w:t>
            </w:r>
          </w:p>
        </w:tc>
        <w:tc>
          <w:tcPr>
            <w:tcW w:w="14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(73,317 )</w:t>
            </w:r>
          </w:p>
        </w:tc>
      </w:tr>
      <w:tr>
        <w:trPr>
          <w:trHeight w:val="135"/>
        </w:trPr>
        <w:tc>
          <w:tcPr>
            <w:tcW w:w="3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(367 )</w:t>
            </w: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(367 )</w:t>
            </w:r>
          </w:p>
        </w:tc>
      </w:tr>
      <w:tr>
        <w:trPr>
          <w:trHeight w:val="20"/>
        </w:trPr>
        <w:tc>
          <w:tcPr>
            <w:tcW w:w="30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30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2022</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45,771,332</w:t>
            </w:r>
          </w:p>
        </w:tc>
        <w:tc>
          <w:tcPr>
            <w:tcW w:w="240" w:type="dxa"/>
            <w:vAlign w:val="bottom"/>
          </w:tcPr>
          <w:p>
            <w:pPr>
              <w:spacing w:after="0"/>
              <w:rPr>
                <w:sz w:val="11"/>
                <w:szCs w:val="11"/>
                <w:color w:val="auto"/>
              </w:rPr>
            </w:pPr>
          </w:p>
        </w:tc>
        <w:tc>
          <w:tcPr>
            <w:tcW w:w="46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ind w:left="8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2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487,516</w:t>
            </w:r>
          </w:p>
        </w:tc>
        <w:tc>
          <w:tcPr>
            <w:tcW w:w="2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18"/>
              <w:spacing w:after="0" w:line="129" w:lineRule="exact"/>
              <w:rPr>
                <w:sz w:val="20"/>
                <w:szCs w:val="20"/>
                <w:color w:val="auto"/>
              </w:rPr>
            </w:pPr>
            <w:r>
              <w:rPr>
                <w:rFonts w:ascii="Times New Roman" w:cs="Times New Roman" w:eastAsia="Times New Roman" w:hAnsi="Times New Roman"/>
                <w:sz w:val="13"/>
                <w:szCs w:val="13"/>
                <w:color w:val="auto"/>
              </w:rPr>
              <w:t>(445 )</w:t>
            </w: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(241,043 )</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246,028</w:t>
            </w:r>
          </w:p>
        </w:tc>
        <w:tc>
          <w:tcPr>
            <w:tcW w:w="100" w:type="dxa"/>
            <w:vAlign w:val="bottom"/>
          </w:tcPr>
          <w:p>
            <w:pPr>
              <w:spacing w:after="0"/>
              <w:rPr>
                <w:sz w:val="11"/>
                <w:szCs w:val="11"/>
                <w:color w:val="auto"/>
              </w:rPr>
            </w:pPr>
          </w:p>
        </w:tc>
      </w:tr>
      <w:tr>
        <w:trPr>
          <w:trHeight w:val="110"/>
        </w:trPr>
        <w:tc>
          <w:tcPr>
            <w:tcW w:w="306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Exercise of stock options and common stock issued</w:t>
            </w:r>
          </w:p>
        </w:tc>
        <w:tc>
          <w:tcPr>
            <w:tcW w:w="11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9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5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under the 2020 ESPP</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525,084</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shd w:val="clear" w:color="auto" w:fill="CFF0FC"/>
          </w:tcPr>
          <w:p>
            <w:pPr>
              <w:spacing w:after="0"/>
              <w:rPr>
                <w:sz w:val="13"/>
                <w:szCs w:val="13"/>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net of issuance costs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5,149,446</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35,121</w:t>
            </w:r>
          </w:p>
        </w:tc>
        <w:tc>
          <w:tcPr>
            <w:tcW w:w="100" w:type="dxa"/>
            <w:vAlign w:val="bottom"/>
          </w:tcPr>
          <w:p>
            <w:pPr>
              <w:spacing w:after="0"/>
              <w:rPr>
                <w:sz w:val="11"/>
                <w:szCs w:val="11"/>
                <w:color w:val="auto"/>
              </w:rPr>
            </w:pPr>
          </w:p>
        </w:tc>
      </w:tr>
      <w:tr>
        <w:trPr>
          <w:trHeight w:val="135"/>
        </w:trPr>
        <w:tc>
          <w:tcPr>
            <w:tcW w:w="3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12,375</w:t>
            </w:r>
          </w:p>
        </w:tc>
        <w:tc>
          <w:tcPr>
            <w:tcW w:w="100" w:type="dxa"/>
            <w:vAlign w:val="bottom"/>
            <w:shd w:val="clear" w:color="auto" w:fill="CFF0FC"/>
          </w:tcPr>
          <w:p>
            <w:pPr>
              <w:spacing w:after="0"/>
              <w:rPr>
                <w:sz w:val="11"/>
                <w:szCs w:val="1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(68,960 )</w:t>
            </w:r>
          </w:p>
        </w:tc>
        <w:tc>
          <w:tcPr>
            <w:tcW w:w="14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(68,960 )</w:t>
            </w:r>
          </w:p>
        </w:tc>
      </w:tr>
      <w:tr>
        <w:trPr>
          <w:trHeight w:val="135"/>
        </w:trPr>
        <w:tc>
          <w:tcPr>
            <w:tcW w:w="3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1"/>
                <w:szCs w:val="11"/>
                <w:color w:val="auto"/>
              </w:rPr>
            </w:pPr>
          </w:p>
        </w:tc>
      </w:tr>
      <w:tr>
        <w:trPr>
          <w:trHeight w:val="135"/>
        </w:trPr>
        <w:tc>
          <w:tcPr>
            <w:tcW w:w="306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30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51,445,862</w:t>
            </w:r>
          </w:p>
        </w:tc>
        <w:tc>
          <w:tcPr>
            <w:tcW w:w="700" w:type="dxa"/>
            <w:vAlign w:val="bottom"/>
            <w:gridSpan w:val="2"/>
          </w:tcPr>
          <w:p>
            <w:pPr>
              <w:jc w:val="right"/>
              <w:ind w:right="3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ind w:left="8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535,468</w:t>
            </w:r>
          </w:p>
        </w:tc>
        <w:tc>
          <w:tcPr>
            <w:tcW w:w="3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224</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(310,003 )</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225,689</w:t>
            </w:r>
          </w:p>
        </w:tc>
        <w:tc>
          <w:tcPr>
            <w:tcW w:w="100" w:type="dxa"/>
            <w:vAlign w:val="bottom"/>
          </w:tcPr>
          <w:p>
            <w:pPr>
              <w:spacing w:after="0"/>
              <w:rPr>
                <w:sz w:val="11"/>
                <w:szCs w:val="11"/>
                <w:color w:val="auto"/>
              </w:rPr>
            </w:pPr>
          </w:p>
        </w:tc>
      </w:tr>
      <w:tr>
        <w:trPr>
          <w:trHeight w:val="110"/>
        </w:trPr>
        <w:tc>
          <w:tcPr>
            <w:tcW w:w="306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Exercise of stock options, common stock issued under</w:t>
            </w:r>
          </w:p>
        </w:tc>
        <w:tc>
          <w:tcPr>
            <w:tcW w:w="11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9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3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the 2020 ESPP, and release of vested restricted stock</w:t>
            </w: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489,272</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3"/>
                <w:szCs w:val="13"/>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8,872</w:t>
            </w:r>
          </w:p>
        </w:tc>
        <w:tc>
          <w:tcPr>
            <w:tcW w:w="100" w:type="dxa"/>
            <w:vAlign w:val="bottom"/>
          </w:tcPr>
          <w:p>
            <w:pPr>
              <w:spacing w:after="0"/>
              <w:rPr>
                <w:sz w:val="11"/>
                <w:szCs w:val="11"/>
                <w:color w:val="auto"/>
              </w:rPr>
            </w:pPr>
          </w:p>
        </w:tc>
      </w:tr>
      <w:tr>
        <w:trPr>
          <w:trHeight w:val="135"/>
        </w:trPr>
        <w:tc>
          <w:tcPr>
            <w:tcW w:w="3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(58,709 )</w:t>
            </w: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(58,709 )</w:t>
            </w: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(50 )</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(50 )</w:t>
            </w:r>
          </w:p>
        </w:tc>
      </w:tr>
      <w:tr>
        <w:trPr>
          <w:trHeight w:val="135"/>
        </w:trPr>
        <w:tc>
          <w:tcPr>
            <w:tcW w:w="30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(35 )</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(35 )</w:t>
            </w:r>
          </w:p>
        </w:tc>
      </w:tr>
      <w:tr>
        <w:trPr>
          <w:trHeight w:val="20"/>
        </w:trPr>
        <w:tc>
          <w:tcPr>
            <w:tcW w:w="30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30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51,935,134</w:t>
            </w:r>
          </w:p>
        </w:tc>
        <w:tc>
          <w:tcPr>
            <w:tcW w:w="240" w:type="dxa"/>
            <w:vAlign w:val="bottom"/>
          </w:tcPr>
          <w:p>
            <w:pPr>
              <w:spacing w:after="0"/>
              <w:rPr>
                <w:sz w:val="11"/>
                <w:szCs w:val="11"/>
                <w:color w:val="auto"/>
              </w:rPr>
            </w:pPr>
          </w:p>
        </w:tc>
        <w:tc>
          <w:tcPr>
            <w:tcW w:w="46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ind w:left="8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2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544,653</w:t>
            </w:r>
          </w:p>
        </w:tc>
        <w:tc>
          <w:tcPr>
            <w:tcW w:w="2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139</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(368,712 )</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176,080</w:t>
            </w:r>
          </w:p>
        </w:tc>
        <w:tc>
          <w:tcPr>
            <w:tcW w:w="100" w:type="dxa"/>
            <w:vAlign w:val="bottom"/>
          </w:tcPr>
          <w:p>
            <w:pPr>
              <w:spacing w:after="0"/>
              <w:rPr>
                <w:sz w:val="11"/>
                <w:szCs w:val="11"/>
                <w:color w:val="auto"/>
              </w:rPr>
            </w:pPr>
          </w:p>
        </w:tc>
      </w:tr>
      <w:tr>
        <w:trPr>
          <w:trHeight w:val="20"/>
        </w:trPr>
        <w:tc>
          <w:tcPr>
            <w:tcW w:w="3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-2047875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-2047875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-2155190</wp:posOffset>
            </wp:positionV>
            <wp:extent cx="9398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-2155190</wp:posOffset>
            </wp:positionV>
            <wp:extent cx="9398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-2155190</wp:posOffset>
            </wp:positionV>
            <wp:extent cx="93980" cy="128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-2155190</wp:posOffset>
            </wp:positionV>
            <wp:extent cx="93980" cy="128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-1610995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-1610995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-1610995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-1610995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-1610995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-822325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-822325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-822325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-822325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-822325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-119380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-119380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-119380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-119380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3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120" w:type="dxa"/>
            <w:vAlign w:val="bottom"/>
          </w:tcPr>
          <w:p>
            <w:pPr>
              <w:jc w:val="right"/>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(58,709 )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(68,960 )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(73,317 )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(5,371 )</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(5,386 )</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 cash lease expense</w:t>
            </w: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(370 )</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termination of lease, net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sales and disposals of fixed assets, net</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(44 )</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(2,674 )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(2,501 )</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(1,319 )</w:t>
            </w: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(51,282 )</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(55,657 )</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(63,760 )</w:t>
            </w: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(655 )</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(962 )</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(7,984 )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(148,286 )</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(220,539 )</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(229,199 )</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202,042</w:t>
            </w:r>
          </w:p>
        </w:tc>
        <w:tc>
          <w:tcPr>
            <w:tcW w:w="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(50,545 )</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(1,368 )</w:t>
            </w: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the exercise of stock options and common stock</w:t>
            </w: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under the 2020 ESPP</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(70,591 )</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(64,170 )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-2682240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-2682240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-1842770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-1842770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-1148080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-299720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-281940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-299720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-281940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right="7940" w:hanging="652"/>
        <w:spacing w:after="0" w:line="378" w:lineRule="auto"/>
        <w:tabs>
          <w:tab w:leader="none" w:pos="241"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Formation and Business of the Company Organization</w:t>
      </w:r>
    </w:p>
    <w:p>
      <w:pPr>
        <w:ind w:firstLine="644"/>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in Princeton, New Jersey.</w:t>
      </w:r>
    </w:p>
    <w:p>
      <w:pPr>
        <w:spacing w:after="0" w:line="180"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9"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year ended December 31, 2024, the Company incurred a net loss of $58,709 and used $51,282 of cash for operations. As of December 31, 2024, the Company had an accumulated deficit of $368,712. Cash, cash equivalents, and marketable securities were $183,297 as of December 31, 2024.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at least the next 12 months from the date of issuance of these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are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76"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Company’s accounts and the accounts of its wholly owned subsidiary, PMV Pharma Australia Pvt Ltd. All significant intercompany transactions and balances have been eliminated upon consolidation. These consolidated financial statements are presented in United States (“U.S.”) Dollars, which is also the functional currency of the Company.</w:t>
      </w:r>
    </w:p>
    <w:p>
      <w:pPr>
        <w:spacing w:after="0" w:line="176"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940" w:right="380" w:hanging="288"/>
        <w:spacing w:after="0" w:line="282"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940" w:right="240" w:hanging="288"/>
        <w:spacing w:after="0" w:line="282"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3" w:lineRule="exact"/>
        <w:rPr>
          <w:rFonts w:ascii="Times New Roman" w:cs="Times New Roman" w:eastAsia="Times New Roman" w:hAnsi="Times New Roman"/>
          <w:sz w:val="18"/>
          <w:szCs w:val="18"/>
          <w:color w:val="auto"/>
        </w:rPr>
      </w:pPr>
    </w:p>
    <w:p>
      <w:pPr>
        <w:ind w:left="940" w:right="400" w:hanging="288"/>
        <w:spacing w:after="0" w:line="282"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162" w:lineRule="exact"/>
        <w:rPr>
          <w:sz w:val="20"/>
          <w:szCs w:val="20"/>
          <w:color w:val="auto"/>
        </w:rPr>
      </w:pPr>
    </w:p>
    <w:p>
      <w:pPr>
        <w:jc w:val="both"/>
        <w:ind w:right="380" w:firstLine="644"/>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225"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years ended December 31, 2024, 2023, and 2022, the Company recorded $5,371 of accretion, $5,386 of accretion, and $628 of accretion, respectively.</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 and Accumulated Other Comprehensive Income (Loss)</w:t>
      </w:r>
    </w:p>
    <w:p>
      <w:pPr>
        <w:spacing w:after="0" w:line="121"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Furthermore, the Company has elected the practical expedient to not separate lease and non-lease components by class of underlying asset for its existing leases. The Company’s only existing leases are for office and laboratory space.</w:t>
      </w:r>
    </w:p>
    <w:p>
      <w:pPr>
        <w:spacing w:after="0" w:line="189"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76"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consolidated statements of operations.</w:t>
      </w:r>
    </w:p>
    <w:p>
      <w:pPr>
        <w:spacing w:after="0" w:line="162" w:lineRule="exact"/>
        <w:rPr>
          <w:sz w:val="20"/>
          <w:szCs w:val="20"/>
          <w:color w:val="auto"/>
        </w:rPr>
      </w:pPr>
    </w:p>
    <w:p>
      <w:pPr>
        <w:jc w:val="both"/>
        <w:ind w:right="140" w:firstLine="644"/>
        <w:spacing w:after="0" w:line="289"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58"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0" w:lineRule="exact"/>
        <w:rPr>
          <w:sz w:val="20"/>
          <w:szCs w:val="20"/>
          <w:color w:val="auto"/>
        </w:rPr>
      </w:pPr>
    </w:p>
    <w:p>
      <w:pPr>
        <w:ind w:right="140" w:firstLine="644"/>
        <w:spacing w:after="0" w:line="236"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w:t>
      </w:r>
    </w:p>
    <w:p>
      <w:pPr>
        <w:spacing w:after="0" w:line="198"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4" w:name="page115"/>
    <w:bookmarkEnd w:id="114"/>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All costs associated with research and development are expensed as incurred. 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The Company records accruals for estimated research and development expenses, comprising payments for work performed by third party vendors, clinical research organizations, clinical manufacturing organizations and others. Some of these vendors bill monthly based on actual services performed, while others bill periodically based upon achieving certain contractual milestones. For the latter, the Company accrues the expenses as goods or services are used or rendered. Research and development activities related to patient enrollment are accrued as patients enter and progress through the trial. In the event that the Company prepays fees, the Company records the prepayment as a prepaid asset and periodically evaluate the prepaid asset in conjunction with the related accrued research and development expenses.</w:t>
      </w:r>
    </w:p>
    <w:p>
      <w:pPr>
        <w:spacing w:after="0" w:line="26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-43815</wp:posOffset>
            </wp:positionV>
            <wp:extent cx="6413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program allows for grants of stock options and restricted stock units. Grants are awarded to employees and non-employees, and directors.</w:t>
      </w:r>
    </w:p>
    <w:p>
      <w:pPr>
        <w:spacing w:after="0" w:line="16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employee compensation arrangements in accordance with provisions of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at the grant date is used to determine the fair value of restricted stock units and stock options.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(i) the expected stock price volatility,</w:t>
      </w:r>
    </w:p>
    <w:p>
      <w:pPr>
        <w:spacing w:after="0" w:line="27" w:lineRule="exact"/>
        <w:rPr>
          <w:sz w:val="20"/>
          <w:szCs w:val="20"/>
          <w:color w:val="auto"/>
        </w:rPr>
      </w:pPr>
    </w:p>
    <w:p>
      <w:pPr>
        <w:ind w:right="80" w:firstLine="8"/>
        <w:spacing w:after="0" w:line="251" w:lineRule="auto"/>
        <w:tabs>
          <w:tab w:leader="none" w:pos="2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award, (iii) the risk-free interest rate and (iv) expected dividends.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except for when awards are determined to be out-of-the-money, as was the case for when applying modification accounting related to the stock option exchange in August 2024. Refer to Note 8 for details on the stock option exchange.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94"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by the weighted average number of shares of common stock outstanding for the years ended December 31, 2024 and 2023. Diluted net income (loss) per share is computed by dividing the diluted net income (loss) by the weighted average number of shares of common stock, including potential dilutive common shares assuming the dilutive effect of outstanding stock options and unvested restricted common stock, as determined using the treasury stock method. For periods in which the Company has reported net losses, diluted net loss per share is the same as basic net loss per share, since dilutive shares of common stock are not assumed to have been issued if their effect is antidilutive.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2024 and 2023,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7"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21"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The Company adopted FASB ASU 2023-07, Segment Reporting (Topic 280)—Improvements to Reportable Segment Disclosures on December 31, 2024. This ASU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The requirements of this ASU are disclosure-related and did not have an impact on the Company’s consolidated financial position and results of operations. See Note 13, Segment Information, for the updated segment disclosures as a result of adopting this ASU.</w:t>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amended guidance applies to all entities and broadly aims to enhance the transparency and decision usefulness of income tax disclosures. For public business entities, the amendments in this ASU are effective for fiscal years beginning after December 15, 2024. Early adoption is permitted for any annual periods for which financial statements have not been issued or made available for issuance. The Company is currently analyzing the impact that this ASU will have on its consolidated financial statements.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80"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The Company considered events or transactions occurring after the balance sheet date, but prior to the issuance of the consolidated financial statements, for potential recognition or disclosure in its consolidated financial statements. All significant subsequent events have been properly disclosed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Financial Instruments and Fair Value Measurements</w:t>
      </w:r>
    </w:p>
    <w:p>
      <w:pPr>
        <w:spacing w:after="0" w:line="121"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money market funds, U.S. government debt securities and corporate debt securities. Cash and cash equivalents includes money market funds,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and certificates of deposit which are classified as Level 1. There were no Level 3 assets or liabilities at December 31, 2024 or 2023.</w:t>
      </w:r>
    </w:p>
    <w:p>
      <w:pPr>
        <w:spacing w:after="0" w:line="183"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and fair values as of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ind w:right="70"/>
              <w:spacing w:after="0" w:line="109" w:lineRule="exact"/>
              <w:rPr>
                <w:sz w:val="20"/>
                <w:szCs w:val="20"/>
                <w:color w:val="auto"/>
              </w:rPr>
            </w:pPr>
            <w:r>
              <w:rPr>
                <w:rFonts w:ascii="Times New Roman" w:cs="Times New Roman" w:eastAsia="Times New Roman" w:hAnsi="Times New Roman"/>
                <w:sz w:val="12"/>
                <w:szCs w:val="12"/>
                <w:b w:val="1"/>
                <w:bCs w:val="1"/>
                <w:color w:val="auto"/>
              </w:rPr>
              <w:t>Quoted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9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priced 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5"/>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Gross Unrealized</w:t>
            </w:r>
          </w:p>
        </w:tc>
        <w:tc>
          <w:tcPr>
            <w:tcW w:w="24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1"/>
                <w:szCs w:val="11"/>
                <w:color w:val="auto"/>
              </w:rPr>
            </w:pP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inputs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inputs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3"/>
                <w:szCs w:val="13"/>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3060" w:type="dxa"/>
            <w:vAlign w:val="bottom"/>
            <w:gridSpan w:val="2"/>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securities</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32,941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(26 )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32,949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30,801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Government securities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109,341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0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financial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183,072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183,211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116,277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ind w:right="70"/>
              <w:spacing w:after="0" w:line="109" w:lineRule="exact"/>
              <w:rPr>
                <w:sz w:val="20"/>
                <w:szCs w:val="20"/>
                <w:color w:val="auto"/>
              </w:rPr>
            </w:pPr>
            <w:r>
              <w:rPr>
                <w:rFonts w:ascii="Times New Roman" w:cs="Times New Roman" w:eastAsia="Times New Roman" w:hAnsi="Times New Roman"/>
                <w:sz w:val="12"/>
                <w:szCs w:val="12"/>
                <w:b w:val="1"/>
                <w:bCs w:val="1"/>
                <w:color w:val="auto"/>
              </w:rPr>
              <w:t>Quoted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9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Priced 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5"/>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Gross Unrealized</w:t>
            </w:r>
          </w:p>
        </w:tc>
        <w:tc>
          <w:tcPr>
            <w:tcW w:w="24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1"/>
                <w:szCs w:val="11"/>
                <w:color w:val="auto"/>
              </w:rPr>
            </w:pP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5"/>
        </w:trPr>
        <w:tc>
          <w:tcPr>
            <w:tcW w:w="3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tcPr>
          <w:p>
            <w:pPr>
              <w:spacing w:after="0"/>
              <w:rPr>
                <w:sz w:val="13"/>
                <w:szCs w:val="13"/>
                <w:color w:val="auto"/>
              </w:rPr>
            </w:pPr>
          </w:p>
        </w:tc>
        <w:tc>
          <w:tcPr>
            <w:tcW w:w="80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3"/>
                <w:szCs w:val="13"/>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55"/>
        </w:trPr>
        <w:tc>
          <w:tcPr>
            <w:tcW w:w="3080" w:type="dxa"/>
            <w:vAlign w:val="bottom"/>
            <w:gridSpan w:val="3"/>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37,694</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37,694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37,694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 securities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Government securities</w:t>
            </w: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120,670</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120,813</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92,297</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28,516</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financial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228,359</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228,550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-1473835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-1456690</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-1473835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-1456690</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-1473835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-1456690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-1473835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-1456690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-1473835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-1456690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-1473835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-1456690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-162560</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-162560</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-162560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-162560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-162560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ind w:right="240" w:firstLine="64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As of December 31, 2024, the Company had aggregate cash and cash equivalents of $40,876, including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$40,790, consisting of money market funds. As of December 31, 2023, the Company had aggregate cash and cash equivalents of $37,706, including cash equivalents of $37,694, consisting of money market funds.</w:t>
      </w:r>
    </w:p>
    <w:p>
      <w:pPr>
        <w:spacing w:after="0" w:line="171" w:lineRule="exact"/>
        <w:rPr>
          <w:sz w:val="20"/>
          <w:szCs w:val="20"/>
          <w:color w:val="auto"/>
        </w:rPr>
      </w:pPr>
    </w:p>
    <w:p>
      <w:pPr>
        <w:ind w:right="140" w:firstLine="64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$142,421 as of December 31, 2024, consisted of corporate debt securities of $32,949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$109,472. There were $128,578 current marketable securities and $13,843 noncurrent marketable securities as of December 31, 2024. Marketable securities of $190,856 as of December 31, 2023, consisted of corporate debt securities of $70,043 and government debt securities of $120,813. There were $165,351 current marketable securities and $25,505 noncurrent marketable securities as of December 31, 2023.</w:t>
      </w:r>
    </w:p>
    <w:p>
      <w:pPr>
        <w:spacing w:after="0" w:line="180"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aggregated gross unrealized losses of available-for-sale investments were not material, and accordingly, no allowance for credit losses was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6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(1,460 )</w:t>
            </w: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(3,270 )</w:t>
            </w:r>
          </w:p>
        </w:tc>
        <w:tc>
          <w:tcPr>
            <w:tcW w:w="0" w:type="dxa"/>
            <w:vAlign w:val="bottom"/>
          </w:tcPr>
          <w:p>
            <w:pPr>
              <w:spacing w:after="0"/>
              <w:rPr>
                <w:sz w:val="1"/>
                <w:szCs w:val="1"/>
                <w:color w:val="auto"/>
              </w:rPr>
            </w:pP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The Company terminated a lease in 2024 resulting in an abandonment and write-off of the leasehold improvements of $9,454. Refer to Note 6 for more details on the lease termination. Depreciation expense for the years ended December 31, 2024, 2023, and 2022 was $1,144, $1,257, and $315,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34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4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lease was terminated as of June 2023. The second lease is for office space in Lexington, Massachusetts, that terminated in August 2023. In January 2021, the Company signed a lease for 50,581 square feet of office and laboratory space (the “Lease”) at One Research Way in Princeton, New Jersey (the “Premises”). The lease term initially extended through 2032, had a five-year extension option, and replaced the Company’s two existing facilities as the Company’s headquarters in March 2023. The Company estimated that payments under the Lease would be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spacing w:after="0" w:line="194"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In August 2024, the Company entered into a Lease Termination Agreement with BMR-One Research Way LLC, a Delaware limited liability company (the “Landlord”), in connection with the termination of the Lease (the “Termination Agreement”). Pursuant to the Termination Agreement, the Company and the Landlord agreed to terminate the Lease. However, the termination was contingent on the sale of the Premises by the Landlord to a prospective new buyer (the “Contingency”), which was not met until the successful close of the sale of the Premises by the Landlord on October 1, 2024, and as a result there was no modification in August 2024.</w:t>
      </w:r>
    </w:p>
    <w:p>
      <w:pPr>
        <w:spacing w:after="0" w:line="39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Pursuant to the Termination Agreement, and subject to the Contingency, the Company agreed to surrender the Premises and paid a total termination fee of approximately $1,420, consisting of (i) a cash payment in the 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Since the termination fee of $1,420 was not already included in the lease payments, the termination fee was recognized as a loss on termination of the lease. Further, the Company abandoned and wrote-off all the related leasehold improvements totaling $9,454 held at the Premises. This net activity totaling $6,024 was recorded as a loss within General and Administrative expense in the Statement of Operations for the year ended December 31, 2024. As of December 31, 2024, the Company has no commitments or contingencies related to the Lease.</w:t>
      </w:r>
    </w:p>
    <w:p>
      <w:pPr>
        <w:spacing w:after="0" w:line="192"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In August 2024, the Company signed a sublease for 14,201 square feet of office space at 400 Alexander Park Drive, Suite 301, in Princeton, New Jersey, to be used as its new headquarters (“400 Alexander Sublease”). The 400 Alexander Sublease commenced on October 1, 2024 and extends until February 28, 2027. Payment under the 400 Alexander Sublease will total $789 through February 2027.</w:t>
      </w:r>
    </w:p>
    <w:p>
      <w:pPr>
        <w:spacing w:after="0" w:line="176" w:lineRule="exact"/>
        <w:rPr>
          <w:sz w:val="20"/>
          <w:szCs w:val="20"/>
          <w:color w:val="auto"/>
        </w:rPr>
      </w:pPr>
    </w:p>
    <w:p>
      <w:pPr>
        <w:jc w:val="both"/>
        <w:ind w:right="100" w:firstLine="644"/>
        <w:spacing w:after="0" w:line="261" w:lineRule="auto"/>
        <w:rPr>
          <w:sz w:val="20"/>
          <w:szCs w:val="20"/>
          <w:color w:val="auto"/>
        </w:rPr>
      </w:pPr>
      <w:r>
        <w:rPr>
          <w:rFonts w:ascii="Times New Roman" w:cs="Times New Roman" w:eastAsia="Times New Roman" w:hAnsi="Times New Roman"/>
          <w:sz w:val="18"/>
          <w:szCs w:val="18"/>
          <w:color w:val="auto"/>
        </w:rPr>
        <w:t>In September 2024, the Company signed a sublease agreement for 3,205 square feet of office and laboratory space at 311 Pennington Rocky Hill Road in Hopewell, New Jersey. The Company utilizes the premises as laboratory space for operational research and development activities. The sublease term extends through 2029 and provides the Company with the option to extend the term for an additional three year period. Payment under this sublease will total $768 through December 2029.</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9" w:name="page120"/>
    <w:bookmarkEnd w:id="119"/>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2024, 2023, and 2022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December 31, 2024, and 2023,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3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13.70 %</w:t>
            </w:r>
          </w:p>
        </w:tc>
        <w:tc>
          <w:tcPr>
            <w:tcW w:w="5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for the years ended December 31, 2024, 2023, and 2022, respectively,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(received) for amounts included in the measurement of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(1,089 )</w:t>
            </w:r>
          </w:p>
        </w:tc>
        <w:tc>
          <w:tcPr>
            <w:tcW w:w="0" w:type="dxa"/>
            <w:vAlign w:val="bottom"/>
          </w:tcPr>
          <w:p>
            <w:pPr>
              <w:spacing w:after="0"/>
              <w:rPr>
                <w:sz w:val="1"/>
                <w:szCs w:val="1"/>
                <w:color w:val="auto"/>
              </w:rPr>
            </w:pPr>
          </w:p>
        </w:tc>
      </w:tr>
      <w:tr>
        <w:trPr>
          <w:trHeight w:val="198"/>
        </w:trPr>
        <w:tc>
          <w:tcPr>
            <w:tcW w:w="6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Leased assets (derecognized) obtained in exchange for new or modified operating lease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20"/>
                <w:szCs w:val="20"/>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(11,524 )</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24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December 31, 2024, under operating leases by fiscal year were as</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recorded for the years ended December 31, 2024, 2023, and 2022, were $1,194, $1,913, and $2,215 respectively.</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As of December 31, 2024 and 2023, there were 51,935,134 and 51,445,862 shares of common stock issued and outstanding, respectively.</w:t>
      </w:r>
    </w:p>
    <w:p>
      <w:pPr>
        <w:spacing w:after="0" w:line="176"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December 31, 2024, no dividends on common stock had been declared by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and 2023, the Company had reserved shares of common stock for issuance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3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162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option and RSU grants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5,321,104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4,474,411</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employee stock purchase plan</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1,408,321</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1,056,832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15,383,338</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12,504,707</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jc w:val="both"/>
        <w:ind w:right="220" w:firstLine="644"/>
        <w:spacing w:after="0" w:line="266"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As of December 31, 2024, the Company had approximately $113.8 million remaining in gross proceeds available for future issuances of common stock under the ATM Program.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board’s compensation committee, as the 2020 Plan administrator, exercised its discretion under clause (iii) to increase the number of shares of common stock reserved for issuance under the 2020 Plan by a lesser amount of 1,363,084 shares, effective as of January 1, 2022. For 2023, the board’s compensation committee, as the 2020 Plan administrator, exercised its discretion under clause (iii) to increase the number of shares of common stock reserved for issuance under the 2020 Plan by a lesser amount of 1,830,853 shares, effective as of January 1, 2023. For 2024, the board’s compensation committee, as the 2020 Plan administrator, exercised its discretion under clause (ii) to increase the number of shares of common stock reserved for issuance under the 2020 Plan by 2,572,174 shares, effective as of January 1, 2024. For 2025, the board’s compensation committee, as the 2020 Plan administrator, exercised its discretion under clause (ii) to increase the number of shares of common stock reserved for issuance under the 2020 Plan by 2,596,638 shares, effective as of January 1, 2025. As of December 31, 2024, there were 5,321,104 shares available for issuance under the 2020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176"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The RSUs are scheduled to vest on June 30, 2025, based on approximately one and a half years of continuous service, as per the 2020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annual grant activity under the 2020 Plan as of December 31, 2024:</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Options and RSUs granted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RSU’s forfeited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p>
      <w:pPr>
        <w:spacing w:after="0" w:line="360" w:lineRule="exact"/>
        <w:rPr>
          <w:sz w:val="20"/>
          <w:szCs w:val="20"/>
          <w:color w:val="auto"/>
        </w:rPr>
      </w:pPr>
    </w:p>
    <w:p>
      <w:pPr>
        <w:jc w:val="right"/>
        <w:ind w:right="548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 Available</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for Grant</w:t>
      </w:r>
    </w:p>
    <w:p>
      <w:pPr>
        <w:ind w:left="640"/>
        <w:spacing w:after="0"/>
        <w:rPr>
          <w:sz w:val="20"/>
          <w:szCs w:val="20"/>
          <w:color w:val="auto"/>
        </w:rPr>
      </w:pPr>
      <w:r>
        <w:rPr>
          <w:rFonts w:ascii="Times New Roman" w:cs="Times New Roman" w:eastAsia="Times New Roman" w:hAnsi="Times New Roman"/>
          <w:sz w:val="18"/>
          <w:szCs w:val="18"/>
          <w:color w:val="auto"/>
        </w:rPr>
        <w:t>4,474,411</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2,572,174</w:t>
      </w:r>
    </w:p>
    <w:p>
      <w:pPr>
        <w:spacing w:after="0" w:line="9"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(6,331,885 )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4,552,488</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53,916</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5,321,104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0801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31750</wp:posOffset>
            </wp:positionV>
            <wp:extent cx="10801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719" w:lineRule="exact"/>
        <w:rPr>
          <w:sz w:val="20"/>
          <w:szCs w:val="20"/>
          <w:color w:val="auto"/>
        </w:rPr>
      </w:pPr>
    </w:p>
    <w:p>
      <w:pPr>
        <w:sectPr>
          <w:pgSz w:w="11900" w:h="16838" w:orient="portrait"/>
          <w:cols w:equalWidth="0" w:num="2">
            <w:col w:w="8860" w:space="720"/>
            <w:col w:w="1620"/>
          </w:cols>
          <w:pgMar w:left="320" w:top="1440" w:right="379" w:bottom="1440" w:gutter="0" w:footer="0" w:header="0"/>
          <w:type w:val="continuous"/>
        </w:sect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board waived the annual increase to the shares reserved under the 2020 ESPP. For 2023, the 2020 ESPP reserved shares were increased under clause (ii) by 457,713 shares, effective as of January 1, 2023. For 2024, the 2020 ESPP reserved shares were increased under clause (ii) by 514,434 shares, effective as of January 1, 2024. For 2025, the board waived the annual increase to the shares reserved under the 2020 ESPP.</w:t>
      </w:r>
    </w:p>
    <w:p>
      <w:pPr>
        <w:spacing w:after="0" w:line="84"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On May 20, 2024, employees of the Company exercised their right to purchase 73,152 shares under the 2020 ESPP. On November 21, 2024, employees of the Company exercised their right to purchase 89,793 shares under the 2020 ESPP. As of December 31, 2024, 365,290 shares are issued or outstanding, and there were 1,408,321 shares available for issuance, under the 2020 ESPP.</w:t>
      </w: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644"/>
        <w:spacing w:after="0" w:line="270" w:lineRule="auto"/>
        <w:rPr>
          <w:sz w:val="20"/>
          <w:szCs w:val="20"/>
          <w:color w:val="auto"/>
        </w:rPr>
      </w:pPr>
      <w:r>
        <w:rPr>
          <w:rFonts w:ascii="Times New Roman" w:cs="Times New Roman" w:eastAsia="Times New Roman" w:hAnsi="Times New Roman"/>
          <w:sz w:val="17"/>
          <w:szCs w:val="17"/>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Equity Incentive Plan in exchange for the tendered options. The new options are subject to a new three or four-year vesting schedule, vesting in equal annual installments over the vesting term. Each new option has a maximum term of ten years. The exchange of stock option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22" w:name="page123"/>
    <w:bookmarkEnd w:id="122"/>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6,331,885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(4,552,488 )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(98,948 )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2024</w:t>
            </w: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3,098,756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14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5.21</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-633730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-633730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2024, 2023, and 2022, was $4.94, $4.03, and $10.92, respectively.</w:t>
      </w:r>
    </w:p>
    <w:p>
      <w:pPr>
        <w:spacing w:after="0" w:line="162" w:lineRule="exact"/>
        <w:rPr>
          <w:sz w:val="20"/>
          <w:szCs w:val="20"/>
          <w:color w:val="auto"/>
        </w:rPr>
      </w:pPr>
    </w:p>
    <w:p>
      <w:pPr>
        <w:jc w:val="both"/>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as of December 31, 2024 and 2023 is calculated based on the difference between the exercise price and the fair value of the Company’s common stock. The intrinsic value of options exercised in 2024, 2023, and 2022, was $107, $892, and $3,764, respectively.</w:t>
      </w:r>
    </w:p>
    <w:p>
      <w:pPr>
        <w:spacing w:after="0" w:line="176"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compensation cost related to nonvested service-based awards not yet recognized is $13,436. The weighted-average period over which the nonvested awards is expected to be recognized is 3.1 years.</w:t>
      </w:r>
    </w:p>
    <w:p>
      <w:pPr>
        <w:spacing w:after="0" w:line="162"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09"/>
        </w:trPr>
        <w:tc>
          <w:tcPr>
            <w:tcW w:w="542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90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6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8"/>
                <w:szCs w:val="18"/>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2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- 4.69%</w:t>
            </w: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- 4.65%</w:t>
            </w:r>
          </w:p>
        </w:tc>
        <w:tc>
          <w:tcPr>
            <w:tcW w:w="1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- 4.34%</w:t>
            </w:r>
          </w:p>
        </w:tc>
        <w:tc>
          <w:tcPr>
            <w:tcW w:w="140" w:type="dxa"/>
            <w:vAlign w:val="bottom"/>
            <w:shd w:val="clear" w:color="auto" w:fill="CCEEFF"/>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- 6.44</w:t>
            </w:r>
          </w:p>
        </w:tc>
        <w:tc>
          <w:tcPr>
            <w:tcW w:w="140" w:type="dxa"/>
            <w:vAlign w:val="bottom"/>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90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gridSpan w:val="3"/>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85.55% - 127.07%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- 81.00%</w:t>
            </w:r>
          </w:p>
        </w:tc>
        <w:tc>
          <w:tcPr>
            <w:tcW w:w="140" w:type="dxa"/>
            <w:vAlign w:val="bottom"/>
          </w:tcPr>
          <w:p>
            <w:pPr>
              <w:spacing w:after="0"/>
              <w:rPr>
                <w:sz w:val="20"/>
                <w:szCs w:val="20"/>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7500" w:type="dxa"/>
            <w:vAlign w:val="bottom"/>
          </w:tcPr>
          <w:p>
            <w:pPr>
              <w:spacing w:after="0"/>
              <w:rPr>
                <w:sz w:val="18"/>
                <w:szCs w:val="18"/>
                <w:color w:val="auto"/>
              </w:rPr>
            </w:pPr>
          </w:p>
        </w:tc>
        <w:tc>
          <w:tcPr>
            <w:tcW w:w="94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8"/>
                <w:szCs w:val="18"/>
                <w:color w:val="auto"/>
              </w:rPr>
            </w:pP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Borders>
              <w:top w:val="single" w:sz="8" w:color="auto"/>
            </w:tcBorders>
            <w:shd w:val="clear" w:color="auto" w:fill="CFF0FC"/>
          </w:tcPr>
          <w:p>
            <w:pPr>
              <w:jc w:val="center"/>
              <w:ind w:left="154"/>
              <w:spacing w:after="0"/>
              <w:rPr>
                <w:sz w:val="20"/>
                <w:szCs w:val="20"/>
                <w:color w:val="auto"/>
              </w:rPr>
            </w:pPr>
            <w:r>
              <w:rPr>
                <w:rFonts w:ascii="Times New Roman" w:cs="Times New Roman" w:eastAsia="Times New Roman" w:hAnsi="Times New Roman"/>
                <w:sz w:val="18"/>
                <w:szCs w:val="18"/>
                <w:color w:val="auto"/>
                <w:w w:val="98"/>
              </w:rPr>
              <w:t>5.43%</w:t>
            </w: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3.44%</w:t>
            </w:r>
          </w:p>
        </w:tc>
        <w:tc>
          <w:tcPr>
            <w:tcW w:w="140" w:type="dxa"/>
            <w:vAlign w:val="bottom"/>
            <w:shd w:val="clear" w:color="auto" w:fill="CCEEFF"/>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4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7"/>
              </w:rPr>
              <w:t>0.5</w:t>
            </w:r>
          </w:p>
        </w:tc>
        <w:tc>
          <w:tcPr>
            <w:tcW w:w="15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0.49</w:t>
            </w:r>
          </w:p>
        </w:tc>
        <w:tc>
          <w:tcPr>
            <w:tcW w:w="140" w:type="dxa"/>
            <w:vAlign w:val="bottom"/>
          </w:tcPr>
          <w:p>
            <w:pPr>
              <w:spacing w:after="0"/>
              <w:rPr>
                <w:sz w:val="18"/>
                <w:szCs w:val="18"/>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9"/>
              </w:rPr>
              <w:t>0%</w:t>
            </w:r>
          </w:p>
        </w:tc>
        <w:tc>
          <w:tcPr>
            <w:tcW w:w="1540" w:type="dxa"/>
            <w:vAlign w:val="bottom"/>
            <w:gridSpan w:val="3"/>
            <w:shd w:val="clear" w:color="auto" w:fill="CFF0FC"/>
          </w:tcPr>
          <w:p>
            <w:pPr>
              <w:jc w:val="center"/>
              <w:ind w:left="297"/>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18"/>
                <w:szCs w:val="18"/>
                <w:color w:val="auto"/>
              </w:rPr>
            </w:pP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7"/>
              </w:rPr>
              <w:t>85.55%</w:t>
            </w:r>
          </w:p>
        </w:tc>
        <w:tc>
          <w:tcPr>
            <w:tcW w:w="15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color w:val="auto"/>
              </w:rPr>
              <w:t>76.27%</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77.00%</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162"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4"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7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880" w:type="dxa"/>
            <w:vAlign w:val="bottom"/>
          </w:tcPr>
          <w:p>
            <w:pPr>
              <w:spacing w:after="0"/>
              <w:rPr>
                <w:sz w:val="15"/>
                <w:szCs w:val="15"/>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December 31, 2023</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(227,379 )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(53,916 )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December 31, 2024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907,666</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$561 of unrecognized compensation cost related to RSUs that are expected to vest. These costs are expected to be recognized over a weighted average remaining vesting period of 0.5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and RSUs granted and common stock issued under the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were allocated to research and development and general and administrative expense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consolidated statements of operations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7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000" w:type="dxa"/>
            <w:vAlign w:val="bottom"/>
          </w:tcPr>
          <w:p>
            <w:pPr>
              <w:spacing w:after="0"/>
              <w:rPr>
                <w:sz w:val="24"/>
                <w:szCs w:val="24"/>
                <w:color w:val="auto"/>
              </w:rPr>
            </w:pPr>
          </w:p>
        </w:tc>
        <w:tc>
          <w:tcPr>
            <w:tcW w:w="27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-1071245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-1053465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-1071245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-1053465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-1071245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-1053465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(benefit) provision for the years ended December 31, 2024, 2023, and 2022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(16,170 )</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(16,100 )</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9"/>
        </w:trPr>
        <w:tc>
          <w:tcPr>
            <w:tcW w:w="6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(benefit) provision</w:t>
            </w: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(16,100 )</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-873760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-873760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-316230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20" w:firstLine="644"/>
        <w:spacing w:after="0" w:line="282" w:lineRule="auto"/>
        <w:rPr>
          <w:sz w:val="20"/>
          <w:szCs w:val="20"/>
          <w:color w:val="auto"/>
        </w:rPr>
      </w:pPr>
      <w:r>
        <w:rPr>
          <w:rFonts w:ascii="Times New Roman" w:cs="Times New Roman" w:eastAsia="Times New Roman" w:hAnsi="Times New Roman"/>
          <w:sz w:val="18"/>
          <w:szCs w:val="18"/>
          <w:color w:val="auto"/>
        </w:rPr>
        <w:t>A reconciliation of income tax computed at the statutory federal income tax rate to the provision (benefit) for income taxes included in the accompanying consolidated statements of operations for the Company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5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15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5"/>
                <w:szCs w:val="15"/>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tax attributes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excluding impact of the sale of tax attributes</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(28 )%</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66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6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-1216660</wp:posOffset>
            </wp:positionV>
            <wp:extent cx="15430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-1216660</wp:posOffset>
            </wp:positionV>
            <wp:extent cx="1543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-1216660</wp:posOffset>
            </wp:positionV>
            <wp:extent cx="1543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Company generated a significant state tax benefit from the sale of net operating losses (“NOLs”) in 2024 under the New Jersey Technology Business Tax Certificate Transfer Program. For the year ended December 31, 2024, the Company’s effective tax rate was 21% due to the income tax benefit recognized for the sale of state tax attributes. For the years ending December 31, 2023, and 2022, the Company’s effective tax rate was below the federal statutory income tax rate of 21% primarily due to state income taxes, net of federal benefit and the Company’s position to establish a full valuation allowance on its deferred tax assets.</w:t>
      </w:r>
    </w:p>
    <w:p>
      <w:pPr>
        <w:spacing w:after="0" w:line="210" w:lineRule="exact"/>
        <w:rPr>
          <w:sz w:val="20"/>
          <w:szCs w:val="20"/>
          <w:color w:val="auto"/>
        </w:rPr>
      </w:pPr>
    </w:p>
    <w:p>
      <w:pPr>
        <w:ind w:right="700" w:firstLine="644"/>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significant portions of the deferred tax assets and liabilities are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0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49,729</w:t>
            </w:r>
          </w:p>
        </w:tc>
        <w:tc>
          <w:tcPr>
            <w:tcW w:w="2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56,701</w:t>
            </w: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8"/>
                <w:szCs w:val="18"/>
                <w:color w:val="auto"/>
              </w:rPr>
            </w:pPr>
          </w:p>
        </w:tc>
      </w:tr>
      <w:tr>
        <w:trPr>
          <w:trHeight w:val="216"/>
        </w:trPr>
        <w:tc>
          <w:tcPr>
            <w:tcW w:w="8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96,354</w:t>
            </w: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(96,606 )</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(93,778 )</w:t>
            </w:r>
          </w:p>
        </w:tc>
      </w:tr>
      <w:tr>
        <w:trPr>
          <w:trHeight w:val="210"/>
        </w:trPr>
        <w:tc>
          <w:tcPr>
            <w:tcW w:w="8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 recognized</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Borders>
              <w:top w:val="single" w:sz="8" w:color="CCEEFF"/>
            </w:tcBorders>
          </w:tcPr>
          <w:p>
            <w:pPr>
              <w:spacing w:after="0"/>
              <w:rPr>
                <w:sz w:val="18"/>
                <w:szCs w:val="18"/>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(325 )</w:t>
            </w:r>
          </w:p>
        </w:tc>
        <w:tc>
          <w:tcPr>
            <w:tcW w:w="5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(2,357 )</w:t>
            </w:r>
          </w:p>
        </w:tc>
      </w:tr>
      <w:tr>
        <w:trPr>
          <w:trHeight w:val="216"/>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(44 )</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(219 )</w:t>
            </w:r>
          </w:p>
        </w:tc>
      </w:tr>
      <w:tr>
        <w:trPr>
          <w:trHeight w:val="20"/>
        </w:trPr>
        <w:tc>
          <w:tcPr>
            <w:tcW w:w="8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(369 )</w:t>
            </w:r>
          </w:p>
        </w:tc>
        <w:tc>
          <w:tcPr>
            <w:tcW w:w="5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(2,576 )</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-1165225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-882015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-316230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400" w:firstLine="644"/>
        <w:spacing w:after="0" w:line="282" w:lineRule="auto"/>
        <w:rPr>
          <w:sz w:val="20"/>
          <w:szCs w:val="20"/>
          <w:color w:val="auto"/>
        </w:rPr>
      </w:pPr>
      <w:r>
        <w:rPr>
          <w:rFonts w:ascii="Times New Roman" w:cs="Times New Roman" w:eastAsia="Times New Roman" w:hAnsi="Times New Roman"/>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62" w:lineRule="exact"/>
        <w:rPr>
          <w:sz w:val="20"/>
          <w:szCs w:val="20"/>
          <w:color w:val="auto"/>
        </w:rPr>
      </w:pPr>
    </w:p>
    <w:p>
      <w:pPr>
        <w:ind w:right="160" w:firstLine="644"/>
        <w:spacing w:after="0" w:line="253" w:lineRule="auto"/>
        <w:rPr>
          <w:sz w:val="20"/>
          <w:szCs w:val="20"/>
          <w:color w:val="auto"/>
        </w:rPr>
      </w:pPr>
      <w:r>
        <w:rPr>
          <w:rFonts w:ascii="Times New Roman" w:cs="Times New Roman" w:eastAsia="Times New Roman" w:hAnsi="Times New Roman"/>
          <w:sz w:val="18"/>
          <w:szCs w:val="18"/>
          <w:color w:val="auto"/>
        </w:rPr>
        <w:t>As of December 31, 2024 and 2023, the Company had federal net operating loss carryforwards of $214,652 and $195,676, respectively. As of December 31, 2024, the Company had state net operating loss carryforwards for New Jersey, California, Massachusetts, and Arizona of approximately $54,685, $4,912, $6,542, and $192, respectively. At December 31, 2023, the Company had state net operating loss carryforwards for New Jersey, California, Massachusetts, and Arizona of approximately $208,817, $4,912, $6,358, and $115, respectively. Federal net operating loss carryforwards of $27,500 expire beginning in the year 2033. State net operating loss carryforwards begin to expire in the year 2033. Net operating loss carryforwards related to tax years after 2017 of $187,152 do not expire. The Company also has federal and state research and development credit carryforward of approximately $13,034 and $12,693 as of December 31, 2024 and 2023, respectively. The federal credits will begin to expire in 2034 if not utilized. The California state credits carryforward indefinitely and the New Jersey state credits expire starting in 2030.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94"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212529"/>
        </w:rPr>
        <w:t>The Company accrues interest and penalties related to unrecognized tax benefits in the (benefit) provision for income taxes line item in the consolidated statements of operations and comprehensive loss</w:t>
      </w:r>
      <w:r>
        <w:rPr>
          <w:rFonts w:ascii="Times New Roman" w:cs="Times New Roman" w:eastAsia="Times New Roman" w:hAnsi="Times New Roman"/>
          <w:sz w:val="18"/>
          <w:szCs w:val="18"/>
          <w:b w:val="1"/>
          <w:bCs w:val="1"/>
          <w:color w:val="212529"/>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December 31, 2024 and 2023, the Company had not accrued any interest or penalties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related to uncertain tax positions.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spacing w:after="0" w:line="194" w:lineRule="exact"/>
        <w:rPr>
          <w:sz w:val="20"/>
          <w:szCs w:val="20"/>
          <w:color w:val="auto"/>
        </w:rPr>
      </w:pPr>
    </w:p>
    <w:p>
      <w:pPr>
        <w:ind w:right="180" w:firstLine="644"/>
        <w:spacing w:after="0" w:line="312" w:lineRule="auto"/>
        <w:rPr>
          <w:sz w:val="20"/>
          <w:szCs w:val="20"/>
          <w:color w:val="auto"/>
        </w:rPr>
      </w:pPr>
      <w:r>
        <w:rPr>
          <w:rFonts w:ascii="Times New Roman" w:cs="Times New Roman" w:eastAsia="Times New Roman" w:hAnsi="Times New Roman"/>
          <w:sz w:val="17"/>
          <w:szCs w:val="17"/>
          <w:color w:val="auto"/>
        </w:rPr>
        <w:t>If the ending balance of $3,259 and $3,173 of unrecognized tax benefits as of December 31, 2024 and 2023, respectively, were recognized, none of the recognition would affect the income tax rate. The following table summarized the activity related to the Company’s unrecognized tax benefits: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17"/>
        </w:trPr>
        <w:tc>
          <w:tcPr>
            <w:tcW w:w="8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8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(586 )</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62" w:lineRule="exact"/>
        <w:rPr>
          <w:sz w:val="20"/>
          <w:szCs w:val="20"/>
          <w:color w:val="auto"/>
        </w:rPr>
      </w:pPr>
    </w:p>
    <w:p>
      <w:pPr>
        <w:jc w:val="both"/>
        <w:ind w:right="420" w:firstLine="644"/>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The Company’s tax years 2013 to 2023 will remain open for examination by the federal and state authorities for three and four years, respectively, from the date of utilization of any net operating losses and research and development credits.</w:t>
      </w:r>
    </w:p>
    <w:p>
      <w:pPr>
        <w:spacing w:after="0" w:line="176"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NOL carryforwards and research and development (“R&amp;D”) tax credits to other New Jersey-based corporate taxpayers. As of December 31, 2024, the Company received $16,176 of cash for the NOL and R&amp;D tax credit sales related to the tax years ended December 31, 2015 to 2020. The sale of the NOLs and R&amp;D tax credits has been recorded as an income tax benefit within the consolidated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units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Borders>
              <w:bottom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84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907,666</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3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9,565,523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7,211,997</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5,749,575</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35" w:lineRule="exact"/>
        <w:rPr>
          <w:sz w:val="20"/>
          <w:szCs w:val="20"/>
          <w:color w:val="auto"/>
        </w:rPr>
      </w:pPr>
    </w:p>
    <w:p>
      <w:pPr>
        <w:jc w:val="both"/>
        <w:ind w:right="380" w:firstLine="644"/>
        <w:spacing w:after="0" w:line="266"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years ended December 31, 2024, 2023, and 2022 were $187, $92, and $111, respectively. There were no amounts owed under the consulting agreements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360" w:firstLine="644"/>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All of the costs under the restructuring plan were incurred during the fiscal year ending December 31, 2024. The Company undertook these steps in order to streamline operations, reduce costs and preserve capital as it advances into late-stage development for its lead product candidate, rezatapopt.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$0.6 million, consisting primarily of employee severance and benefit costs associated with the restructuring. The Company has recorded these charges in research and development expenses in the accompanying consolidated statement of operations based on responsibilities of the impacted employees.</w:t>
      </w:r>
    </w:p>
    <w:p>
      <w:pPr>
        <w:spacing w:after="0" w:line="176"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162"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The following sets forth information regarding the balances and activity associated with the Company’s accrued employee severance and benefits costs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6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Expenses, net</w:t>
            </w:r>
          </w:p>
        </w:tc>
        <w:tc>
          <w:tcPr>
            <w:tcW w:w="220" w:type="dxa"/>
            <w:vAlign w:val="bottom"/>
          </w:tcPr>
          <w:p>
            <w:pPr>
              <w:spacing w:after="0"/>
              <w:rPr>
                <w:sz w:val="13"/>
                <w:szCs w:val="13"/>
                <w:color w:val="auto"/>
              </w:rPr>
            </w:pPr>
          </w:p>
        </w:tc>
        <w:tc>
          <w:tcPr>
            <w:tcW w:w="19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vMerge w:val="restart"/>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66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8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Employee severance and benefit</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(597 )</w:t>
            </w:r>
          </w:p>
        </w:tc>
        <w:tc>
          <w:tcPr>
            <w:tcW w:w="2060" w:type="dxa"/>
            <w:vAlign w:val="bottom"/>
            <w:gridSpan w:val="2"/>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Information</w:t>
      </w:r>
    </w:p>
    <w:p>
      <w:pPr>
        <w:spacing w:after="0" w:line="12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CODM to make decisions with respect to resource allocation and assessment of performance. The Company’s CODM is its Chief Executive Officer,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183"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The CEO regularly reviews the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800" w:type="dxa"/>
            <w:vAlign w:val="bottom"/>
            <w:gridSpan w:val="2"/>
            <w:shd w:val="clear" w:color="auto" w:fill="CCEEFF"/>
          </w:tcPr>
          <w:p>
            <w:pPr>
              <w:jc w:val="right"/>
              <w:ind w:right="13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Personnel related</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3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Personnel related</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800" w:type="dxa"/>
            <w:vAlign w:val="bottom"/>
            <w:gridSpan w:val="2"/>
            <w:shd w:val="clear" w:color="auto" w:fill="CCEEFF"/>
          </w:tcPr>
          <w:p>
            <w:pPr>
              <w:jc w:val="right"/>
              <w:ind w:right="13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External</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3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2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-316865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-316865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Subsequent Events</w:t>
      </w:r>
    </w:p>
    <w:p>
      <w:pPr>
        <w:spacing w:after="0" w:line="12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NOL carryforwards and R&amp;D tax credits to other New Jersey-based corporate taxpayers. The Company has applied for and received preliminary confirmation for its sale of NOLs related to the tax years ended December 31, 2021 to 2023 in the amount of approximately $2,196, which the Company expects to recognize in the second quarter of 2025, upon receipt of the certificates for the refund. Subsequent to December 31, 2024, the Company received $1,415 of cash for the NOL tax credit sales.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Securities Exchange Act of 1934, as amended, or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promulgated under the Exchange Act. Under the supervision and with the participation of our management, including our Chief Executive Officer and Chief Financial Officer, our management assessed and conducted an evaluation of the effectiveness of our internal control over financial reporting based on the Internal Control—Integrated Framework (2013 framework) issued by the Committee of Sponsoring Organizations of the Treadway Commission. Based on this assessment, our management concluded that our internal control over financial reporting was effective as of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2024 that has materially affected, or is reasonably likely to materially affect, our internal control over financial reporting.</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as defined in Rule 16a-1(f) under the Securities Exchange Act of 1934, adopted or terminated a “Rule 10b5-1 trading arrangement” or a “non-Rule 10b5-1 trading arrangement,” each as defined in Regulation S-K Item 408.</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9" w:name="page130"/>
    <w:bookmarkEnd w:id="129"/>
    <w:p>
      <w:pPr>
        <w:ind w:left="52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 “Directors and Corporate Governance” and “Executive Compensation” in our definitive proxy statement to be filed with the SEC on or before April 30, 2025, or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“Executive Compensation”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28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“Beneficial Ownership of Shares of Common Stock” and “Executive Compensation—Equity Compensation Plan Information”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“Certain Relationships and Related Person Transactions”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21" w:lineRule="exact"/>
        <w:rPr>
          <w:sz w:val="20"/>
          <w:szCs w:val="20"/>
          <w:color w:val="auto"/>
        </w:rPr>
      </w:pPr>
    </w:p>
    <w:p>
      <w:pPr>
        <w:ind w:right="68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“Ratification of Appointment of Independent Registered Public Accounting Firm” in the Proxy Statement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0" w:type="dxa"/>
            <w:vAlign w:val="bottom"/>
          </w:tcPr>
          <w:p>
            <w:pPr>
              <w:spacing w:after="0"/>
              <w:rPr>
                <w:sz w:val="1"/>
                <w:szCs w:val="1"/>
                <w:color w:val="auto"/>
              </w:rPr>
            </w:pPr>
          </w:p>
        </w:tc>
      </w:tr>
      <w:tr>
        <w:trPr>
          <w:trHeight w:val="432"/>
        </w:trPr>
        <w:tc>
          <w:tcPr>
            <w:tcW w:w="65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0" w:type="dxa"/>
            <w:vAlign w:val="bottom"/>
          </w:tcPr>
          <w:p>
            <w:pPr>
              <w:spacing w:after="0"/>
              <w:rPr>
                <w:sz w:val="1"/>
                <w:szCs w:val="1"/>
                <w:color w:val="auto"/>
              </w:rPr>
            </w:pPr>
          </w:p>
        </w:tc>
      </w:tr>
      <w:tr>
        <w:trPr>
          <w:trHeight w:val="540"/>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40" w:type="dxa"/>
            <w:vAlign w:val="bottom"/>
            <w:gridSpan w:val="1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Amended and Restated Certificate of Incorporation of the Registrant, as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amended, as currently in effect.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Amended and Restated Bylaws of the Registrant, as currently in effect.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Description of Securities of the Registrant.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Specimen common stock certificate of the Registrant.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Form of Indenture.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Form of Indemnification Agreement between the Registrant and each of</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its directors and executive officers.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2013 Equity Incentive Plan, as amended, and forms of agreement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thereunder.</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2020 Equity Incentive Plan and forms of agreements thereunder.</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2020 Employee Stock Purchase Plan and forms of agreements thereunder.</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Employment Offer Letter, dated August 17, 2020, by and between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Registrant and David H. Mack, Ph.D.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Employment Offer Letter, dated February 22, 2021, by and between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Registrant and Deepika Jalota, Pharm.D.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Employee Incentive Compensation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60" w:type="dxa"/>
            <w:vAlign w:val="bottom"/>
            <w:gridSpan w:val="7"/>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Change in Control and Severance Policy.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60" w:type="dxa"/>
            <w:vAlign w:val="bottom"/>
            <w:gridSpan w:val="7"/>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Amended and Restated Change in Control and Severance Policy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9"/>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Participation Agreement, dated August 17, 2020, by and between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9"/>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Registrant and David H. Mack, Ph.D.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20" w:type="dxa"/>
            <w:vAlign w:val="bottom"/>
            <w:tcBorders>
              <w:right w:val="single" w:sz="8" w:color="0000EE"/>
            </w:tcBorders>
            <w:gridSpan w:val="5"/>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Amended and Restated Change in Control and Severance Policy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9"/>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Participation Agreement, dated March 23, 2022, by and between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9"/>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17"/>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Registrant and Deepika Jalota, Pharm.D.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gridSpan w:val="6"/>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5400" w:type="dxa"/>
            <w:vAlign w:val="bottom"/>
            <w:gridSpan w:val="17"/>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Amended Outside Director Compensation Policy.</w:t>
              </w:r>
            </w:hyperlink>
          </w:p>
        </w:tc>
        <w:tc>
          <w:tcPr>
            <w:tcW w:w="0" w:type="dxa"/>
            <w:vAlign w:val="bottom"/>
          </w:tcPr>
          <w:p>
            <w:pPr>
              <w:spacing w:after="0"/>
              <w:rPr>
                <w:sz w:val="1"/>
                <w:szCs w:val="1"/>
                <w:color w:val="auto"/>
              </w:rPr>
            </w:pPr>
          </w:p>
        </w:tc>
      </w:tr>
      <w:tr>
        <w:trPr>
          <w:trHeight w:val="668"/>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Borders>
              <w:top w:val="single" w:sz="8" w:color="0000FF"/>
            </w:tcBorders>
            <w:gridSpan w:val="9"/>
          </w:tcPr>
          <w:p>
            <w:pPr>
              <w:spacing w:after="0"/>
              <w:rPr>
                <w:sz w:val="24"/>
                <w:szCs w:val="24"/>
                <w:color w:val="auto"/>
              </w:rPr>
            </w:pPr>
          </w:p>
        </w:tc>
        <w:tc>
          <w:tcPr>
            <w:tcW w:w="10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5"/>
                <w:szCs w:val="15"/>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29,</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10, 2023</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3, 2021</w:t>
            </w:r>
          </w:p>
        </w:tc>
      </w:tr>
      <w:tr>
        <w:trPr>
          <w:trHeight w:val="31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1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333-283349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November 20,</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3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1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May 9, 2024</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1, 2022</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77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10, 2022</w:t>
            </w:r>
          </w:p>
        </w:tc>
      </w:tr>
      <w:tr>
        <w:trPr>
          <w:trHeight w:val="77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February 29, 2024</w:t>
            </w:r>
          </w:p>
        </w:tc>
      </w:tr>
    </w:tbl>
    <w:p>
      <w:pPr>
        <w:sectPr>
          <w:pgSz w:w="11900" w:h="16838" w:orient="portrait"/>
          <w:cols w:equalWidth="0" w:num="2">
            <w:col w:w="6540" w:space="100"/>
            <w:col w:w="4600"/>
          </w:cols>
          <w:pgMar w:left="320" w:top="1413" w:right="339" w:bottom="1440" w:gutter="0" w:footer="0" w:header="0"/>
        </w:sectPr>
      </w:pPr>
    </w:p>
    <w:bookmarkStart w:id="131" w:name="page132"/>
    <w:bookmarkEnd w:id="131"/>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Consulting Agreement, dated January 1, 2016, by and between the</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Registrant and Arnold Levine, Ph.D.</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Consulting Agreement, dated May 21, 2021, by and between the</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Registrant and Richard Heyman, Ph.D., as amended on July 16, 2021</w:t>
              </w:r>
            </w:hyperlink>
            <w:r>
              <w:rPr>
                <w:rFonts w:ascii="Times New Roman" w:cs="Times New Roman" w:eastAsia="Times New Roman" w:hAnsi="Times New Roman"/>
                <w:sz w:val="18"/>
                <w:szCs w:val="18"/>
                <w:color w:val="000000"/>
              </w:rPr>
              <w:t>.</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Lease Termination Agreement, dated August 5, 2024, by and between</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BMR-One Research Way LLC and PMV Pharmaceuticals, Inc.</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Open Market Sale Agreement, dated as of October 4, 2021, between the</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Registrant and Jefferies LLC.</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380" w:type="dxa"/>
            <w:vAlign w:val="bottom"/>
            <w:gridSpan w:val="19"/>
          </w:tcPr>
          <w:p>
            <w:pPr>
              <w:spacing w:after="0"/>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Amended and Restated Employment Letter, dated January 5, 2024, by and</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between the Registrant and Michael Carulli</w:t>
              </w:r>
              <w:r>
                <w:rPr>
                  <w:rFonts w:ascii="Times New Roman" w:cs="Times New Roman" w:eastAsia="Times New Roman" w:hAnsi="Times New Roman"/>
                  <w:sz w:val="18"/>
                  <w:szCs w:val="18"/>
                  <w:color w:val="000000"/>
                </w:rPr>
                <w:t>.</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Consulting Agreement, dated February 13, 2024, by and between the</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Registrant and Charles Baum, MD., Ph.D.</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Amended and Restated Change in Control and Severance Policy</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Participation Agreement, dated January 5, 2024, by and between the</w:t>
              </w:r>
            </w:hyperlink>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Registrant and Michael Carulli</w:t>
              </w:r>
              <w:r>
                <w:rPr>
                  <w:rFonts w:ascii="Times New Roman" w:cs="Times New Roman" w:eastAsia="Times New Roman" w:hAnsi="Times New Roman"/>
                  <w:sz w:val="18"/>
                  <w:szCs w:val="18"/>
                  <w:color w:val="000000"/>
                </w:rPr>
                <w:t>.</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Insider Trading Policy</w:t>
            </w:r>
            <w:r>
              <w:rPr>
                <w:rFonts w:ascii="Times New Roman" w:cs="Times New Roman" w:eastAsia="Times New Roman" w:hAnsi="Times New Roman"/>
                <w:sz w:val="18"/>
                <w:szCs w:val="18"/>
                <w:color w:val="000000"/>
              </w:rPr>
              <w:t>.</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List of Subsidiaries</w:t>
              </w:r>
            </w:hyperlink>
            <w:r>
              <w:rPr>
                <w:rFonts w:ascii="Times New Roman" w:cs="Times New Roman" w:eastAsia="Times New Roman" w:hAnsi="Times New Roman"/>
                <w:sz w:val="18"/>
                <w:szCs w:val="18"/>
                <w:color w:val="000000"/>
              </w:rPr>
              <w:t>.</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(contained in the signature page to this Annual Report</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on Form 10-K).</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7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r>
      <w:tr>
        <w:trPr>
          <w:trHeight w:val="20"/>
        </w:trPr>
        <w:tc>
          <w:tcPr>
            <w:tcW w:w="1120" w:type="dxa"/>
            <w:vAlign w:val="bottom"/>
          </w:tcPr>
          <w:p>
            <w:pPr>
              <w:spacing w:after="0" w:line="20" w:lineRule="exact"/>
              <w:rPr>
                <w:sz w:val="1"/>
                <w:szCs w:val="1"/>
                <w:color w:val="auto"/>
              </w:rPr>
            </w:pPr>
          </w:p>
        </w:tc>
        <w:tc>
          <w:tcPr>
            <w:tcW w:w="2320" w:type="dxa"/>
            <w:vAlign w:val="bottom"/>
            <w:gridSpan w:val="7"/>
            <w:shd w:val="clear" w:color="auto" w:fill="0000FF"/>
          </w:tcPr>
          <w:p>
            <w:pPr>
              <w:spacing w:after="0" w:line="20" w:lineRule="exact"/>
              <w:rPr>
                <w:sz w:val="1"/>
                <w:szCs w:val="1"/>
                <w:color w:val="auto"/>
              </w:rPr>
            </w:pPr>
          </w:p>
        </w:tc>
        <w:tc>
          <w:tcPr>
            <w:tcW w:w="3000" w:type="dxa"/>
            <w:vAlign w:val="bottom"/>
            <w:gridSpan w:val="11"/>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3060" w:type="dxa"/>
            <w:vAlign w:val="bottom"/>
            <w:gridSpan w:val="1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380" w:type="dxa"/>
            <w:vAlign w:val="bottom"/>
            <w:gridSpan w:val="19"/>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Compensation Recovery Policy.</w:t>
              </w:r>
            </w:hyperlink>
          </w:p>
        </w:tc>
      </w:tr>
      <w:tr>
        <w:trPr>
          <w:trHeight w:val="790"/>
        </w:trPr>
        <w:tc>
          <w:tcPr>
            <w:tcW w:w="1120" w:type="dxa"/>
            <w:vAlign w:val="bottom"/>
          </w:tcPr>
          <w:p>
            <w:pPr>
              <w:spacing w:after="0"/>
              <w:rPr>
                <w:sz w:val="24"/>
                <w:szCs w:val="24"/>
                <w:color w:val="auto"/>
              </w:rPr>
            </w:pPr>
          </w:p>
        </w:tc>
        <w:tc>
          <w:tcPr>
            <w:tcW w:w="2320" w:type="dxa"/>
            <w:vAlign w:val="bottom"/>
            <w:tcBorders>
              <w:top w:val="single" w:sz="8" w:color="0000FF"/>
            </w:tcBorders>
            <w:gridSpan w:val="7"/>
          </w:tcPr>
          <w:p>
            <w:pPr>
              <w:spacing w:after="0"/>
              <w:rPr>
                <w:sz w:val="24"/>
                <w:szCs w:val="24"/>
                <w:color w:val="auto"/>
              </w:rPr>
            </w:pPr>
          </w:p>
        </w:tc>
        <w:tc>
          <w:tcPr>
            <w:tcW w:w="23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March 1, 2022</w:t>
            </w:r>
          </w:p>
        </w:tc>
      </w:tr>
      <w:tr>
        <w:trPr>
          <w:trHeight w:val="553"/>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August 8, 2024</w:t>
            </w:r>
          </w:p>
        </w:tc>
      </w:tr>
      <w:tr>
        <w:trPr>
          <w:trHeight w:val="553"/>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S-3ASR</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333-260012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553"/>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553"/>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553"/>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February 29,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tabs>
          <w:tab w:leader="none" w:pos="900" w:val="left"/>
          <w:tab w:leader="none" w:pos="2240" w:val="left"/>
          <w:tab w:leader="none" w:pos="31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001-39539</w:t>
      </w:r>
      <w:r>
        <w:rPr>
          <w:sz w:val="20"/>
          <w:szCs w:val="20"/>
          <w:color w:val="auto"/>
        </w:rPr>
        <w:tab/>
      </w: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tabs>
          <w:tab w:leader="none" w:pos="900" w:val="left"/>
          <w:tab w:leader="none" w:pos="2240" w:val="left"/>
          <w:tab w:leader="none" w:pos="29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001-39539</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February 29, 2024</w:t>
      </w:r>
    </w:p>
    <w:p>
      <w:pPr>
        <w:sectPr>
          <w:pgSz w:w="11900" w:h="16838" w:orient="portrait"/>
          <w:cols w:equalWidth="0" w:num="2">
            <w:col w:w="6500" w:space="220"/>
            <w:col w:w="4340"/>
          </w:cols>
          <w:pgMar w:left="340" w:top="1440" w:right="499" w:bottom="1440" w:gutter="0" w:footer="0" w:header="0"/>
        </w:sectPr>
      </w:pPr>
    </w:p>
    <w:bookmarkStart w:id="132" w:name="page133"/>
    <w:bookmarkEnd w:id="132"/>
    <w:tbl>
      <w:tblPr>
        <w:tblLayout w:type="fixed"/>
        <w:tblInd w:w="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Inline XBRL Instance Document-the Instance Document does not appear</w:t>
            </w:r>
          </w:p>
        </w:tc>
      </w:tr>
      <w:tr>
        <w:trPr>
          <w:trHeight w:val="216"/>
        </w:trPr>
        <w:tc>
          <w:tcPr>
            <w:tcW w:w="880" w:type="dxa"/>
            <w:vAlign w:val="bottom"/>
          </w:tcPr>
          <w:p>
            <w:pPr>
              <w:spacing w:after="0"/>
              <w:rPr>
                <w:sz w:val="18"/>
                <w:szCs w:val="18"/>
                <w:color w:val="auto"/>
              </w:rPr>
            </w:pPr>
          </w:p>
        </w:tc>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r>
      <w:tr>
        <w:trPr>
          <w:trHeight w:val="234"/>
        </w:trPr>
        <w:tc>
          <w:tcPr>
            <w:tcW w:w="880" w:type="dxa"/>
            <w:vAlign w:val="bottom"/>
          </w:tcPr>
          <w:p>
            <w:pPr>
              <w:spacing w:after="0"/>
              <w:rPr>
                <w:sz w:val="20"/>
                <w:szCs w:val="20"/>
                <w:color w:val="auto"/>
              </w:rPr>
            </w:pPr>
          </w:p>
        </w:tc>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03" w:lineRule="exact"/>
        <w:rPr>
          <w:sz w:val="20"/>
          <w:szCs w:val="20"/>
          <w:color w:val="auto"/>
        </w:rPr>
      </w:pPr>
    </w:p>
    <w:p>
      <w:pPr>
        <w:ind w:left="1120" w:right="4740" w:hanging="1099"/>
        <w:spacing w:after="0" w:line="282" w:lineRule="auto"/>
        <w:tabs>
          <w:tab w:leader="none" w:pos="11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Indicated management contract or compensatory plan.</w:t>
      </w:r>
    </w:p>
    <w:p>
      <w:pPr>
        <w:spacing w:after="0" w:line="144" w:lineRule="exact"/>
        <w:rPr>
          <w:sz w:val="20"/>
          <w:szCs w:val="20"/>
          <w:color w:val="auto"/>
        </w:rPr>
      </w:pPr>
    </w:p>
    <w:p>
      <w:pPr>
        <w:ind w:firstLine="8"/>
        <w:spacing w:after="0" w:line="339" w:lineRule="auto"/>
        <w:tabs>
          <w:tab w:leader="none" w:pos="1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not to include summary information.</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7" w:right="6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1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r>
      <w:tr>
        <w:trPr>
          <w:trHeight w:val="223"/>
        </w:trPr>
        <w:tc>
          <w:tcPr>
            <w:tcW w:w="61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David H. Mack, Ph.D.</w:t>
            </w: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2025</w:t>
            </w: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Mack, Ph.D. and Michael Carulli,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16"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5"/>
                <w:szCs w:val="15"/>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32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David H. Mack, Ph.D.</w:t>
            </w:r>
          </w:p>
        </w:tc>
        <w:tc>
          <w:tcPr>
            <w:tcW w:w="16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1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Carulli</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Carulli</w:t>
            </w:r>
          </w:p>
        </w:tc>
        <w:tc>
          <w:tcPr>
            <w:tcW w:w="1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Heyman</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Chairman of the Board of</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Heyman, Ph.D.</w:t>
            </w:r>
          </w:p>
        </w:tc>
        <w:tc>
          <w:tcPr>
            <w:tcW w:w="1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Directors</w:t>
            </w: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Arnold Levine</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Arnold Levine, Ph.D.</w:t>
            </w:r>
          </w:p>
        </w:tc>
        <w:tc>
          <w:tcPr>
            <w:tcW w:w="1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 Gallagher</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 Gallagher, Ph.D.</w:t>
            </w:r>
          </w:p>
        </w:tc>
        <w:tc>
          <w:tcPr>
            <w:tcW w:w="1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Laurie Stelzer</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Laurie Stelzer</w:t>
            </w:r>
          </w:p>
        </w:tc>
        <w:tc>
          <w:tcPr>
            <w:tcW w:w="1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M. Baum</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M. Baum, MD., Ph.D.</w:t>
            </w:r>
          </w:p>
        </w:tc>
        <w:tc>
          <w:tcPr>
            <w:tcW w:w="1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Kirsten Flowers</w:t>
            </w:r>
          </w:p>
        </w:tc>
        <w:tc>
          <w:tcPr>
            <w:tcW w:w="16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2025</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Kirsten Flowers</w:t>
            </w:r>
          </w:p>
        </w:tc>
        <w:tc>
          <w:tcPr>
            <w:tcW w:w="1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4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ind w:left="10220"/>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(Updated February 26, 2025)</w:t>
      </w:r>
    </w:p>
    <w:p>
      <w:pPr>
        <w:spacing w:after="0" w:line="212" w:lineRule="exact"/>
        <w:rPr>
          <w:sz w:val="20"/>
          <w:szCs w:val="20"/>
          <w:color w:val="auto"/>
        </w:rPr>
      </w:pPr>
    </w:p>
    <w:p>
      <w:pPr>
        <w:ind w:left="740" w:hanging="732"/>
        <w:spacing w:after="0"/>
        <w:tabs>
          <w:tab w:leader="none" w:pos="74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OVERVIEW</w:t>
      </w:r>
    </w:p>
    <w:p>
      <w:pPr>
        <w:spacing w:after="0" w:line="216" w:lineRule="exact"/>
        <w:rPr>
          <w:sz w:val="20"/>
          <w:szCs w:val="20"/>
          <w:color w:val="auto"/>
        </w:rPr>
      </w:pPr>
    </w:p>
    <w:p>
      <w:pPr>
        <w:jc w:val="both"/>
        <w:ind w:firstLine="734"/>
        <w:spacing w:after="0" w:line="256" w:lineRule="auto"/>
        <w:rPr>
          <w:sz w:val="20"/>
          <w:szCs w:val="20"/>
          <w:color w:val="auto"/>
        </w:rPr>
      </w:pPr>
      <w:r>
        <w:rPr>
          <w:rFonts w:ascii="Times New Roman" w:cs="Times New Roman" w:eastAsia="Times New Roman" w:hAnsi="Times New Roman"/>
          <w:sz w:val="20"/>
          <w:szCs w:val="20"/>
          <w:color w:val="auto"/>
        </w:rPr>
        <w:t>PMV Pharmaceuticals,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w:t>
      </w:r>
    </w:p>
    <w:p>
      <w:pPr>
        <w:spacing w:after="0" w:line="173" w:lineRule="exact"/>
        <w:rPr>
          <w:sz w:val="20"/>
          <w:szCs w:val="20"/>
          <w:color w:val="auto"/>
        </w:rPr>
      </w:pPr>
    </w:p>
    <w:p>
      <w:pPr>
        <w:jc w:val="both"/>
        <w:ind w:firstLine="734"/>
        <w:spacing w:after="0" w:line="246"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5" w:lineRule="exact"/>
        <w:rPr>
          <w:sz w:val="20"/>
          <w:szCs w:val="20"/>
          <w:color w:val="auto"/>
        </w:rPr>
      </w:pPr>
    </w:p>
    <w:p>
      <w:pPr>
        <w:jc w:val="both"/>
        <w:ind w:right="20" w:firstLine="734"/>
        <w:spacing w:after="0" w:line="269" w:lineRule="auto"/>
        <w:rPr>
          <w:sz w:val="20"/>
          <w:szCs w:val="20"/>
          <w:color w:val="auto"/>
        </w:rPr>
      </w:pPr>
      <w:r>
        <w:rPr>
          <w:rFonts w:ascii="Times New Roman" w:cs="Times New Roman" w:eastAsia="Times New Roman" w:hAnsi="Times New Roman"/>
          <w:sz w:val="20"/>
          <w:szCs w:val="20"/>
          <w:color w:val="auto"/>
        </w:rPr>
        <w:t>For purposes of this Policy, the Company’s General Counsel serves as the Compliance Officer. The Compliance Officer may designate others, from time to time, to assist with the execution of his or her duties under this Policy.</w:t>
      </w:r>
    </w:p>
    <w:p>
      <w:pPr>
        <w:spacing w:after="0" w:line="155" w:lineRule="exact"/>
        <w:rPr>
          <w:sz w:val="20"/>
          <w:szCs w:val="20"/>
          <w:color w:val="auto"/>
        </w:rPr>
      </w:pPr>
    </w:p>
    <w:p>
      <w:pPr>
        <w:ind w:left="740" w:hanging="732"/>
        <w:spacing w:after="0"/>
        <w:tabs>
          <w:tab w:leader="none" w:pos="7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19" w:lineRule="exact"/>
        <w:rPr>
          <w:rFonts w:ascii="Times New Roman" w:cs="Times New Roman" w:eastAsia="Times New Roman" w:hAnsi="Times New Roman"/>
          <w:sz w:val="20"/>
          <w:szCs w:val="20"/>
          <w:b w:val="1"/>
          <w:bCs w:val="1"/>
          <w:color w:val="auto"/>
        </w:rPr>
      </w:pPr>
    </w:p>
    <w:p>
      <w:pPr>
        <w:ind w:firstLine="742"/>
        <w:spacing w:after="0" w:line="269"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5"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agents or other service providers whose roles do not require them to have the information;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Compliance Officer; or</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216" w:lineRule="exact"/>
        <w:rPr>
          <w:sz w:val="20"/>
          <w:szCs w:val="20"/>
          <w:color w:val="auto"/>
        </w:rPr>
      </w:pPr>
    </w:p>
    <w:p>
      <w:pPr>
        <w:jc w:val="both"/>
        <w:ind w:firstLine="734"/>
        <w:spacing w:after="0" w:line="249" w:lineRule="auto"/>
        <w:rPr>
          <w:sz w:val="20"/>
          <w:szCs w:val="20"/>
          <w:color w:val="auto"/>
        </w:rPr>
      </w:pPr>
      <w:r>
        <w:rPr>
          <w:rFonts w:ascii="Times New Roman" w:cs="Times New Roman" w:eastAsia="Times New Roman" w:hAnsi="Times New Roman"/>
          <w:sz w:val="20"/>
          <w:szCs w:val="20"/>
          <w:color w:val="auto"/>
        </w:rPr>
        <w:t>In addition, if you learn of material nonpublic information through your service with the Company that could be expected to affect the trading price of the securities of another company, you cannot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use that information to trade, directly or indirectly through others,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provide that information to another person in order to trade, in the securities of that other company. Any such action will be deemed a violation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5" w:name="page136"/>
    <w:bookmarkEnd w:id="135"/>
    <w:p>
      <w:pPr>
        <w:jc w:val="both"/>
        <w:ind w:firstLine="742"/>
        <w:spacing w:after="0" w:line="246"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Disclosure of Confidential Information</w:t>
      </w:r>
      <w:r>
        <w:rPr>
          <w:rFonts w:ascii="Times New Roman" w:cs="Times New Roman" w:eastAsia="Times New Roman" w:hAnsi="Times New Roman"/>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85" w:lineRule="exact"/>
        <w:rPr>
          <w:sz w:val="20"/>
          <w:szCs w:val="20"/>
          <w:color w:val="auto"/>
        </w:rPr>
      </w:pPr>
    </w:p>
    <w:p>
      <w:pPr>
        <w:jc w:val="both"/>
        <w:ind w:firstLine="738"/>
        <w:spacing w:after="0" w:line="266" w:lineRule="auto"/>
        <w:rPr>
          <w:sz w:val="20"/>
          <w:szCs w:val="20"/>
          <w:color w:val="auto"/>
        </w:rPr>
      </w:pPr>
      <w:r>
        <w:rPr>
          <w:rFonts w:ascii="Times New Roman" w:cs="Times New Roman" w:eastAsia="Times New Roman" w:hAnsi="Times New Roman"/>
          <w:sz w:val="19"/>
          <w:szCs w:val="19"/>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Executive Officer or Chief Financial Officer. Responding to a request yourself may violate this Policy and, in some circumstances, the law. Please consult the Company’s External Communications Policy for more details.</w:t>
      </w:r>
    </w:p>
    <w:p>
      <w:pPr>
        <w:spacing w:after="0" w:line="161" w:lineRule="exact"/>
        <w:rPr>
          <w:sz w:val="20"/>
          <w:szCs w:val="20"/>
          <w:color w:val="auto"/>
        </w:rPr>
      </w:pPr>
    </w:p>
    <w:p>
      <w:pPr>
        <w:jc w:val="both"/>
        <w:ind w:firstLine="742"/>
        <w:spacing w:after="0" w:line="250"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spacing w:after="0" w:line="180" w:lineRule="exact"/>
        <w:rPr>
          <w:sz w:val="20"/>
          <w:szCs w:val="20"/>
          <w:color w:val="auto"/>
        </w:rPr>
      </w:pPr>
    </w:p>
    <w:p>
      <w:pPr>
        <w:ind w:firstLine="734"/>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59" w:lineRule="exact"/>
        <w:rPr>
          <w:sz w:val="20"/>
          <w:szCs w:val="20"/>
          <w:color w:val="auto"/>
        </w:rPr>
      </w:pPr>
    </w:p>
    <w:p>
      <w:pPr>
        <w:ind w:left="1880" w:right="20" w:hanging="749"/>
        <w:spacing w:after="0" w:line="269" w:lineRule="auto"/>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15"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5"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59" w:lineRule="exact"/>
        <w:rPr>
          <w:rFonts w:ascii="Times New Roman" w:cs="Times New Roman" w:eastAsia="Times New Roman" w:hAnsi="Times New Roman"/>
          <w:sz w:val="20"/>
          <w:szCs w:val="20"/>
          <w:color w:val="auto"/>
        </w:rPr>
      </w:pPr>
    </w:p>
    <w:p>
      <w:pPr>
        <w:jc w:val="both"/>
        <w:ind w:left="1880" w:hanging="749"/>
        <w:spacing w:after="0" w:line="254" w:lineRule="auto"/>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74"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relating to the Company’s clinical studies, including, without limitation, status, results and communications with regulatory agencies, or relating to intellectual property;</w:t>
      </w:r>
    </w:p>
    <w:p>
      <w:pPr>
        <w:spacing w:after="0" w:line="200" w:lineRule="exact"/>
        <w:rPr>
          <w:rFonts w:ascii="Times New Roman" w:cs="Times New Roman" w:eastAsia="Times New Roman" w:hAnsi="Times New Roman"/>
          <w:sz w:val="20"/>
          <w:szCs w:val="20"/>
          <w:color w:val="auto"/>
        </w:rPr>
      </w:pPr>
    </w:p>
    <w:p>
      <w:pPr>
        <w:spacing w:after="0" w:line="310" w:lineRule="exact"/>
        <w:rPr>
          <w:rFonts w:ascii="Times New Roman" w:cs="Times New Roman" w:eastAsia="Times New Roman" w:hAnsi="Times New Roman"/>
          <w:sz w:val="20"/>
          <w:szCs w:val="20"/>
          <w:color w:val="auto"/>
        </w:rPr>
      </w:pPr>
    </w:p>
    <w:p>
      <w:pPr>
        <w:ind w:left="5900" w:hanging="121"/>
        <w:spacing w:after="0"/>
        <w:tabs>
          <w:tab w:leader="none" w:pos="59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36" w:name="page137"/>
    <w:bookmarkEnd w:id="136"/>
    <w:p>
      <w:pPr>
        <w:ind w:left="1880" w:hanging="749"/>
        <w:spacing w:after="0" w:line="269" w:lineRule="auto"/>
        <w:tabs>
          <w:tab w:leader="none" w:pos="1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159" w:lineRule="exact"/>
        <w:rPr>
          <w:rFonts w:ascii="Times New Roman" w:cs="Times New Roman" w:eastAsia="Times New Roman" w:hAnsi="Times New Roman"/>
          <w:sz w:val="20"/>
          <w:szCs w:val="20"/>
          <w:color w:val="auto"/>
        </w:rPr>
      </w:pPr>
    </w:p>
    <w:p>
      <w:pPr>
        <w:jc w:val="both"/>
        <w:ind w:left="1880" w:hanging="749"/>
        <w:spacing w:after="0" w:line="254" w:lineRule="auto"/>
        <w:tabs>
          <w:tab w:leader="none" w:pos="1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4"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212" w:lineRule="exact"/>
        <w:rPr>
          <w:sz w:val="20"/>
          <w:szCs w:val="20"/>
          <w:color w:val="auto"/>
        </w:rPr>
      </w:pPr>
    </w:p>
    <w:p>
      <w:pPr>
        <w:jc w:val="both"/>
        <w:ind w:firstLine="73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73" w:lineRule="exact"/>
        <w:rPr>
          <w:sz w:val="20"/>
          <w:szCs w:val="20"/>
          <w:color w:val="auto"/>
        </w:rPr>
      </w:pPr>
    </w:p>
    <w:p>
      <w:pPr>
        <w:jc w:val="both"/>
        <w:ind w:firstLine="738"/>
        <w:spacing w:after="0" w:line="254"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being considered public.</w:t>
      </w:r>
    </w:p>
    <w:p>
      <w:pPr>
        <w:spacing w:after="0" w:line="17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As a rule of thumb, if you think something might be material nonpublic information, it probably 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can always reach out to the Compliance Officer if you have questions.</w:t>
      </w:r>
    </w:p>
    <w:p>
      <w:pPr>
        <w:spacing w:after="0" w:line="212" w:lineRule="exact"/>
        <w:rPr>
          <w:sz w:val="20"/>
          <w:szCs w:val="20"/>
          <w:color w:val="auto"/>
        </w:rPr>
      </w:pPr>
    </w:p>
    <w:p>
      <w:pPr>
        <w:ind w:left="740" w:hanging="732"/>
        <w:spacing w:after="0"/>
        <w:tabs>
          <w:tab w:leader="none" w:pos="7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firstLine="734"/>
        <w:spacing w:after="0" w:line="246" w:lineRule="auto"/>
        <w:rPr>
          <w:sz w:val="20"/>
          <w:szCs w:val="20"/>
          <w:color w:val="auto"/>
        </w:rPr>
      </w:pPr>
      <w:r>
        <w:rPr>
          <w:rFonts w:ascii="Times New Roman" w:cs="Times New Roman" w:eastAsia="Times New Roman" w:hAnsi="Times New Roman"/>
          <w:sz w:val="20"/>
          <w:szCs w:val="20"/>
          <w:color w:val="auto"/>
        </w:rPr>
        <w:t>This Policy applies to you if you are a director, officer, employee, consultant, contractor, agent or other service provider (for example, auditor or attorney)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spacing w:after="0" w:line="185" w:lineRule="exact"/>
        <w:rPr>
          <w:sz w:val="20"/>
          <w:szCs w:val="20"/>
          <w:color w:val="auto"/>
        </w:rPr>
      </w:pPr>
    </w:p>
    <w:p>
      <w:pPr>
        <w:jc w:val="both"/>
        <w:ind w:firstLine="734"/>
        <w:spacing w:after="0" w:line="249"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76" w:lineRule="exact"/>
        <w:rPr>
          <w:sz w:val="20"/>
          <w:szCs w:val="20"/>
          <w:color w:val="auto"/>
        </w:rPr>
      </w:pPr>
    </w:p>
    <w:p>
      <w:pPr>
        <w:ind w:left="740" w:hanging="732"/>
        <w:spacing w:after="0"/>
        <w:tabs>
          <w:tab w:leader="none" w:pos="7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COVERED BY THIS POLICY</w:t>
      </w:r>
    </w:p>
    <w:p>
      <w:pPr>
        <w:spacing w:after="0" w:line="216" w:lineRule="exact"/>
        <w:rPr>
          <w:sz w:val="20"/>
          <w:szCs w:val="20"/>
          <w:color w:val="auto"/>
        </w:rPr>
      </w:pPr>
    </w:p>
    <w:p>
      <w:pPr>
        <w:ind w:firstLine="738"/>
        <w:spacing w:after="0" w:line="273"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w:t>
      </w:r>
    </w:p>
    <w:p>
      <w:pPr>
        <w:spacing w:after="0" w:line="200" w:lineRule="exact"/>
        <w:rPr>
          <w:sz w:val="20"/>
          <w:szCs w:val="20"/>
          <w:color w:val="auto"/>
        </w:rPr>
      </w:pPr>
    </w:p>
    <w:p>
      <w:pPr>
        <w:spacing w:after="0" w:line="30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color w:val="auto"/>
        </w:rPr>
        <w:t>material nonpublic information obtained in connection with your service with the Company. This Policy therefore applies to:</w:t>
      </w:r>
    </w:p>
    <w:p>
      <w:pPr>
        <w:spacing w:after="0" w:line="216" w:lineRule="exact"/>
        <w:rPr>
          <w:sz w:val="20"/>
          <w:szCs w:val="20"/>
          <w:color w:val="auto"/>
        </w:rPr>
      </w:pPr>
    </w:p>
    <w:p>
      <w:pPr>
        <w:jc w:val="both"/>
        <w:ind w:left="360" w:firstLine="742"/>
        <w:spacing w:after="0" w:line="249" w:lineRule="auto"/>
        <w:tabs>
          <w:tab w:leader="none" w:pos="152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r>
        <w:rPr>
          <w:rFonts w:ascii="Times New Roman" w:cs="Times New Roman" w:eastAsia="Times New Roman" w:hAnsi="Times New Roman"/>
          <w:sz w:val="20"/>
          <w:szCs w:val="20"/>
          <w:u w:val="single" w:color="auto"/>
          <w:color w:val="auto"/>
        </w:rPr>
        <w:t>;</w:t>
      </w:r>
    </w:p>
    <w:p>
      <w:pPr>
        <w:spacing w:after="0" w:line="179" w:lineRule="exact"/>
        <w:rPr>
          <w:rFonts w:ascii="Times New Roman" w:cs="Times New Roman" w:eastAsia="Times New Roman" w:hAnsi="Times New Roman"/>
          <w:sz w:val="20"/>
          <w:szCs w:val="20"/>
          <w:color w:val="auto"/>
        </w:rPr>
      </w:pPr>
    </w:p>
    <w:p>
      <w:pPr>
        <w:ind w:left="1540" w:hanging="438"/>
        <w:spacing w:after="0"/>
        <w:tabs>
          <w:tab w:leader="none" w:pos="15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15" w:lineRule="exact"/>
        <w:rPr>
          <w:rFonts w:ascii="Times New Roman" w:cs="Times New Roman" w:eastAsia="Times New Roman" w:hAnsi="Times New Roman"/>
          <w:sz w:val="20"/>
          <w:szCs w:val="20"/>
          <w:color w:val="auto"/>
        </w:rPr>
      </w:pPr>
    </w:p>
    <w:p>
      <w:pPr>
        <w:ind w:left="1540" w:hanging="438"/>
        <w:spacing w:after="0"/>
        <w:tabs>
          <w:tab w:leader="none" w:pos="15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15" w:lineRule="exact"/>
        <w:rPr>
          <w:rFonts w:ascii="Times New Roman" w:cs="Times New Roman" w:eastAsia="Times New Roman" w:hAnsi="Times New Roman"/>
          <w:sz w:val="20"/>
          <w:szCs w:val="20"/>
          <w:color w:val="auto"/>
        </w:rPr>
      </w:pPr>
    </w:p>
    <w:p>
      <w:pPr>
        <w:jc w:val="both"/>
        <w:ind w:left="360" w:firstLine="742"/>
        <w:spacing w:after="0" w:line="254" w:lineRule="auto"/>
        <w:tabs>
          <w:tab w:leader="none" w:pos="152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the foregoing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5777230</wp:posOffset>
            </wp:positionH>
            <wp:positionV relativeFrom="paragraph">
              <wp:posOffset>-1322705</wp:posOffset>
            </wp:positionV>
            <wp:extent cx="311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There are no exceptions from insider trading laws or this Policy based on the size of the transaction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the type of consideration received.</w:t>
      </w:r>
    </w:p>
    <w:p>
      <w:pPr>
        <w:spacing w:after="0" w:line="217" w:lineRule="exact"/>
        <w:rPr>
          <w:sz w:val="20"/>
          <w:szCs w:val="20"/>
          <w:color w:val="auto"/>
        </w:rPr>
      </w:pPr>
    </w:p>
    <w:p>
      <w:pPr>
        <w:ind w:left="740" w:hanging="732"/>
        <w:spacing w:after="0"/>
        <w:tabs>
          <w:tab w:leader="none" w:pos="7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219"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211" w:lineRule="exact"/>
        <w:rPr>
          <w:rFonts w:ascii="Times New Roman" w:cs="Times New Roman" w:eastAsia="Times New Roman" w:hAnsi="Times New Roman"/>
          <w:sz w:val="20"/>
          <w:szCs w:val="20"/>
          <w:b w:val="1"/>
          <w:bCs w:val="1"/>
          <w:color w:val="auto"/>
        </w:rPr>
      </w:pPr>
    </w:p>
    <w:p>
      <w:pPr>
        <w:jc w:val="both"/>
        <w:ind w:firstLine="742"/>
        <w:spacing w:after="0" w:line="244"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directors, officers and employees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Times New Roman" w:cs="Times New Roman" w:eastAsia="Times New Roman" w:hAnsi="Times New Roman"/>
          <w:sz w:val="20"/>
          <w:szCs w:val="20"/>
          <w:b w:val="1"/>
          <w:bCs w:val="1"/>
          <w:color w:val="auto"/>
        </w:rPr>
        <w:t>Covered Persons List</w:t>
      </w:r>
      <w:r>
        <w:rPr>
          <w:rFonts w:ascii="Times New Roman" w:cs="Times New Roman" w:eastAsia="Times New Roman" w:hAnsi="Times New Roman"/>
          <w:sz w:val="20"/>
          <w:szCs w:val="20"/>
          <w:color w:val="auto"/>
        </w:rPr>
        <w:t>”) .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86" w:lineRule="exact"/>
        <w:rPr>
          <w:sz w:val="20"/>
          <w:szCs w:val="20"/>
          <w:color w:val="auto"/>
        </w:rPr>
      </w:pPr>
    </w:p>
    <w:p>
      <w:pPr>
        <w:jc w:val="both"/>
        <w:ind w:firstLine="738"/>
        <w:spacing w:after="0" w:line="269" w:lineRule="auto"/>
        <w:rPr>
          <w:sz w:val="20"/>
          <w:szCs w:val="20"/>
          <w:color w:val="auto"/>
        </w:rPr>
      </w:pPr>
      <w:r>
        <w:rPr>
          <w:rFonts w:ascii="Times New Roman" w:cs="Times New Roman" w:eastAsia="Times New Roman" w:hAnsi="Times New Roman"/>
          <w:sz w:val="20"/>
          <w:szCs w:val="20"/>
          <w:color w:val="auto"/>
        </w:rPr>
        <w:t>Quarterly blackout periods will start at the end of the last day of each fiscal quarter and will end at the start of the second full trading day following the Company’s earnings release.</w:t>
      </w:r>
    </w:p>
    <w:p>
      <w:pPr>
        <w:spacing w:after="0" w:line="159" w:lineRule="exact"/>
        <w:rPr>
          <w:sz w:val="20"/>
          <w:szCs w:val="20"/>
          <w:color w:val="auto"/>
        </w:rPr>
      </w:pPr>
    </w:p>
    <w:p>
      <w:pPr>
        <w:jc w:val="both"/>
        <w:ind w:firstLine="738"/>
        <w:spacing w:after="0" w:line="245"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184" w:lineRule="exact"/>
        <w:rPr>
          <w:sz w:val="20"/>
          <w:szCs w:val="20"/>
          <w:color w:val="auto"/>
        </w:rPr>
      </w:pPr>
    </w:p>
    <w:p>
      <w:pPr>
        <w:jc w:val="both"/>
        <w:ind w:right="20" w:firstLine="738"/>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quarterly blackout periods, and the Compliance Officer may update and revise the Covered Persons List as appropriate.</w:t>
      </w:r>
    </w:p>
    <w:p>
      <w:pPr>
        <w:spacing w:after="0" w:line="200" w:lineRule="exact"/>
        <w:rPr>
          <w:sz w:val="20"/>
          <w:szCs w:val="20"/>
          <w:color w:val="auto"/>
        </w:rPr>
      </w:pPr>
    </w:p>
    <w:p>
      <w:pPr>
        <w:spacing w:after="0" w:line="3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38" w:name="page139"/>
    <w:bookmarkEnd w:id="138"/>
    <w:p>
      <w:pPr>
        <w:jc w:val="both"/>
        <w:ind w:firstLine="742"/>
        <w:spacing w:after="0" w:line="243" w:lineRule="auto"/>
        <w:tabs>
          <w:tab w:leader="none" w:pos="101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Blackout Periods</w:t>
      </w:r>
      <w:r>
        <w:rPr>
          <w:rFonts w:ascii="Times New Roman" w:cs="Times New Roman" w:eastAsia="Times New Roman" w:hAnsi="Times New Roman"/>
          <w:sz w:val="20"/>
          <w:szCs w:val="20"/>
          <w:color w:val="auto"/>
        </w:rPr>
        <w:t>. The Company always retains the right to impose additional or longer trading blackout periods at any time on any or all of its directors, officers, employees, consultants, advisors, contractors, agents and other service providers. The Compliance Officer will notify you if you are subject to a special blackout period by providing to you a notice in writing or via email. If you are notified that you are subject to a special blackout period, you may not engage in any transaction of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89" w:lineRule="exact"/>
        <w:rPr>
          <w:rFonts w:ascii="Times New Roman" w:cs="Times New Roman" w:eastAsia="Times New Roman" w:hAnsi="Times New Roman"/>
          <w:sz w:val="20"/>
          <w:szCs w:val="20"/>
          <w:color w:val="auto"/>
        </w:rPr>
      </w:pPr>
    </w:p>
    <w:p>
      <w:pPr>
        <w:jc w:val="both"/>
        <w:ind w:firstLine="742"/>
        <w:spacing w:after="0" w:line="258" w:lineRule="auto"/>
        <w:tabs>
          <w:tab w:leader="none" w:pos="1018"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Regulation BTR Blackouts</w:t>
      </w:r>
      <w:r>
        <w:rPr>
          <w:rFonts w:ascii="Times New Roman" w:cs="Times New Roman" w:eastAsia="Times New Roman" w:hAnsi="Times New Roman"/>
          <w:sz w:val="19"/>
          <w:szCs w:val="19"/>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69" w:lineRule="exact"/>
        <w:rPr>
          <w:rFonts w:ascii="Times New Roman" w:cs="Times New Roman" w:eastAsia="Times New Roman" w:hAnsi="Times New Roman"/>
          <w:sz w:val="19"/>
          <w:szCs w:val="19"/>
          <w:color w:val="auto"/>
        </w:rPr>
      </w:pPr>
    </w:p>
    <w:p>
      <w:pPr>
        <w:ind w:left="740" w:hanging="732"/>
        <w:spacing w:after="0"/>
        <w:tabs>
          <w:tab w:leader="none" w:pos="74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219"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nonpublic information or not.</w:t>
      </w:r>
    </w:p>
    <w:p>
      <w:pPr>
        <w:spacing w:after="0" w:line="194" w:lineRule="exact"/>
        <w:rPr>
          <w:sz w:val="20"/>
          <w:szCs w:val="20"/>
          <w:color w:val="auto"/>
        </w:rPr>
      </w:pPr>
    </w:p>
    <w:p>
      <w:pPr>
        <w:ind w:firstLine="742"/>
        <w:spacing w:after="0" w:line="269"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59" w:lineRule="exact"/>
        <w:rPr>
          <w:rFonts w:ascii="Times New Roman" w:cs="Times New Roman" w:eastAsia="Times New Roman" w:hAnsi="Times New Roman"/>
          <w:sz w:val="20"/>
          <w:szCs w:val="20"/>
          <w:color w:val="auto"/>
        </w:rPr>
      </w:pPr>
    </w:p>
    <w:p>
      <w:pPr>
        <w:jc w:val="both"/>
        <w:ind w:firstLine="742"/>
        <w:spacing w:after="0" w:line="245"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equity securities either (i) granted to you by the Company as part of your compensation or (ii) held, directly or indirectly, by you.</w:t>
      </w:r>
    </w:p>
    <w:p>
      <w:pPr>
        <w:spacing w:after="0" w:line="184" w:lineRule="exact"/>
        <w:rPr>
          <w:rFonts w:ascii="Times New Roman" w:cs="Times New Roman" w:eastAsia="Times New Roman" w:hAnsi="Times New Roman"/>
          <w:sz w:val="20"/>
          <w:szCs w:val="20"/>
          <w:color w:val="auto"/>
        </w:rPr>
      </w:pPr>
    </w:p>
    <w:p>
      <w:pPr>
        <w:ind w:right="20" w:firstLine="742"/>
        <w:spacing w:after="0" w:line="269"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If you are required to comply with the blackout periods or pre-clearance requirements under this Policy, you may not pledge the Company’s securities as collateral for any loan or as part of any other pledging transaction.</w:t>
      </w:r>
    </w:p>
    <w:p>
      <w:pPr>
        <w:spacing w:after="0" w:line="159" w:lineRule="exact"/>
        <w:rPr>
          <w:rFonts w:ascii="Times New Roman" w:cs="Times New Roman" w:eastAsia="Times New Roman" w:hAnsi="Times New Roman"/>
          <w:sz w:val="20"/>
          <w:szCs w:val="20"/>
          <w:color w:val="auto"/>
        </w:rPr>
      </w:pPr>
    </w:p>
    <w:p>
      <w:pPr>
        <w:ind w:right="20" w:firstLine="742"/>
        <w:spacing w:after="0" w:line="269"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If you are required to comply with the blackout periods or pre-clearance requirements under this Policy, you may not hold the Company’s common stock in margin accounts.</w:t>
      </w:r>
    </w:p>
    <w:p>
      <w:pPr>
        <w:spacing w:after="0" w:line="155"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219"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Company’s directors and officers and any other persons identified on the Covered Persons List of this Policy as being subject to</w:t>
      </w:r>
    </w:p>
    <w:p>
      <w:pPr>
        <w:spacing w:after="0" w:line="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pre-clearance requirements must obtain pre-clearance prior to trading the Company’s securities. If you are subject to pre-clearance requirements, you should submit a pre-clearance</w:t>
      </w:r>
    </w:p>
    <w:p>
      <w:pPr>
        <w:spacing w:after="0" w:line="200" w:lineRule="exact"/>
        <w:rPr>
          <w:sz w:val="20"/>
          <w:szCs w:val="20"/>
          <w:color w:val="auto"/>
        </w:rPr>
      </w:pPr>
    </w:p>
    <w:p>
      <w:pPr>
        <w:spacing w:after="0" w:line="33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39" w:name="page140"/>
    <w:bookmarkEnd w:id="139"/>
    <w:p>
      <w:pPr>
        <w:jc w:val="both"/>
        <w:spacing w:after="0" w:line="249" w:lineRule="auto"/>
        <w:rPr>
          <w:sz w:val="20"/>
          <w:szCs w:val="20"/>
          <w:color w:val="auto"/>
        </w:rPr>
      </w:pPr>
      <w:r>
        <w:rPr>
          <w:rFonts w:ascii="Times New Roman" w:cs="Times New Roman" w:eastAsia="Times New Roman" w:hAnsi="Times New Roman"/>
          <w:sz w:val="20"/>
          <w:szCs w:val="20"/>
          <w:color w:val="auto"/>
        </w:rPr>
        <w:t>request to the Compliance Officer at least two business days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80" w:lineRule="exact"/>
        <w:rPr>
          <w:sz w:val="20"/>
          <w:szCs w:val="20"/>
          <w:color w:val="auto"/>
        </w:rPr>
      </w:pPr>
    </w:p>
    <w:p>
      <w:pPr>
        <w:jc w:val="both"/>
        <w:ind w:firstLine="734"/>
        <w:spacing w:after="0" w:line="249" w:lineRule="auto"/>
        <w:rPr>
          <w:sz w:val="20"/>
          <w:szCs w:val="20"/>
          <w:color w:val="auto"/>
        </w:rPr>
      </w:pPr>
      <w:r>
        <w:rPr>
          <w:rFonts w:ascii="Times New Roman" w:cs="Times New Roman" w:eastAsia="Times New Roman" w:hAnsi="Times New Roman"/>
          <w:sz w:val="20"/>
          <w:szCs w:val="20"/>
          <w:color w:val="auto"/>
        </w:rPr>
        <w:t>If the Compliance Officer is the requester, then the Company’s Chief Executive Officer, Chief Financial Officer, or their delegate, must pre-clear or deny any trade. At the recommendation of the Compliance Officer, trades made by the Chief Executive Officer and other officers also must be approved by a committee of the Company’s board of directors. All trades must be executed within two business days of any pre-clearance.</w:t>
      </w:r>
    </w:p>
    <w:p>
      <w:pPr>
        <w:spacing w:after="0" w:line="180" w:lineRule="exact"/>
        <w:rPr>
          <w:sz w:val="20"/>
          <w:szCs w:val="20"/>
          <w:color w:val="auto"/>
        </w:rPr>
      </w:pPr>
    </w:p>
    <w:p>
      <w:pPr>
        <w:jc w:val="both"/>
        <w:ind w:right="20" w:firstLine="734"/>
        <w:spacing w:after="0" w:line="269"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159" w:lineRule="exact"/>
        <w:rPr>
          <w:sz w:val="20"/>
          <w:szCs w:val="20"/>
          <w:color w:val="auto"/>
        </w:rPr>
      </w:pPr>
    </w:p>
    <w:p>
      <w:pPr>
        <w:jc w:val="both"/>
        <w:ind w:firstLine="734"/>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the Compliance Officer may update and revise the Covered Persons List as appropriate.</w:t>
      </w:r>
    </w:p>
    <w:p>
      <w:pPr>
        <w:spacing w:after="0" w:line="155" w:lineRule="exact"/>
        <w:rPr>
          <w:sz w:val="20"/>
          <w:szCs w:val="20"/>
          <w:color w:val="auto"/>
        </w:rPr>
      </w:pPr>
    </w:p>
    <w:p>
      <w:pPr>
        <w:ind w:left="740" w:hanging="732"/>
        <w:spacing w:after="0"/>
        <w:tabs>
          <w:tab w:leader="none" w:pos="7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220" w:lineRule="exact"/>
        <w:rPr>
          <w:sz w:val="20"/>
          <w:szCs w:val="20"/>
          <w:color w:val="auto"/>
        </w:rPr>
      </w:pPr>
    </w:p>
    <w:p>
      <w:pPr>
        <w:jc w:val="both"/>
        <w:ind w:firstLine="738"/>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80" w:lineRule="exact"/>
        <w:rPr>
          <w:sz w:val="20"/>
          <w:szCs w:val="20"/>
          <w:color w:val="auto"/>
        </w:rPr>
      </w:pPr>
    </w:p>
    <w:p>
      <w:pPr>
        <w:jc w:val="both"/>
        <w:ind w:firstLine="738"/>
        <w:spacing w:after="0" w:line="269" w:lineRule="auto"/>
        <w:rPr>
          <w:sz w:val="20"/>
          <w:szCs w:val="20"/>
          <w:color w:val="auto"/>
        </w:rPr>
      </w:pPr>
      <w:r>
        <w:rPr>
          <w:rFonts w:ascii="Times New Roman" w:cs="Times New Roman" w:eastAsia="Times New Roman" w:hAnsi="Times New Roman"/>
          <w:sz w:val="20"/>
          <w:szCs w:val="20"/>
          <w:color w:val="auto"/>
        </w:rPr>
        <w:t>The following are certain limited exceptions to the quarterly and special blackout period restrictions and pre-clearance requirements imposed by the Company under this Policy:</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  stock option exercises where the purchase price of such stock options is paid in cash and there is no other associated market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w:t>
      </w:r>
      <w:r>
        <w:rPr>
          <w:rFonts w:ascii="Times New Roman" w:cs="Times New Roman" w:eastAsia="Times New Roman" w:hAnsi="Times New Roman"/>
          <w:sz w:val="20"/>
          <w:szCs w:val="20"/>
          <w:u w:val="single" w:color="auto"/>
          <w:color w:val="auto"/>
        </w:rPr>
        <w:t>;</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2.  purchases pursuant to the employee stock purchase plan; however, this exception does not apply to subsequent sales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line="194" w:lineRule="exact"/>
        <w:rPr>
          <w:sz w:val="20"/>
          <w:szCs w:val="20"/>
          <w:color w:val="auto"/>
        </w:rPr>
      </w:pPr>
    </w:p>
    <w:p>
      <w:pPr>
        <w:ind w:left="1020" w:hanging="278"/>
        <w:spacing w:after="0"/>
        <w:tabs>
          <w:tab w:leader="none" w:pos="10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93" w:lineRule="exact"/>
        <w:rPr>
          <w:rFonts w:ascii="Times New Roman" w:cs="Times New Roman" w:eastAsia="Times New Roman" w:hAnsi="Times New Roman"/>
          <w:sz w:val="20"/>
          <w:szCs w:val="20"/>
          <w:color w:val="auto"/>
        </w:rPr>
      </w:pPr>
    </w:p>
    <w:p>
      <w:pPr>
        <w:jc w:val="both"/>
        <w:ind w:firstLine="742"/>
        <w:spacing w:after="0" w:line="249"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w:t>
      </w:r>
    </w:p>
    <w:p>
      <w:pPr>
        <w:spacing w:after="0" w:line="179" w:lineRule="exact"/>
        <w:rPr>
          <w:rFonts w:ascii="Times New Roman" w:cs="Times New Roman" w:eastAsia="Times New Roman" w:hAnsi="Times New Roman"/>
          <w:sz w:val="20"/>
          <w:szCs w:val="20"/>
          <w:color w:val="auto"/>
        </w:rPr>
      </w:pPr>
    </w:p>
    <w:p>
      <w:pPr>
        <w:jc w:val="both"/>
        <w:ind w:firstLine="742"/>
        <w:spacing w:after="0" w:line="246"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to cover transactions, where shares are sold on your behalf upon vesting of equity awards and sold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r>
        <w:rPr>
          <w:rFonts w:ascii="Times New Roman" w:cs="Times New Roman" w:eastAsia="Times New Roman" w:hAnsi="Times New Roman"/>
          <w:sz w:val="20"/>
          <w:szCs w:val="20"/>
          <w:u w:val="single" w:color="auto"/>
          <w:color w:val="auto"/>
        </w:rPr>
        <w:t>;</w:t>
      </w:r>
    </w:p>
    <w:p>
      <w:pPr>
        <w:spacing w:after="0" w:line="200" w:lineRule="exact"/>
        <w:rPr>
          <w:rFonts w:ascii="Times New Roman" w:cs="Times New Roman" w:eastAsia="Times New Roman" w:hAnsi="Times New Roman"/>
          <w:sz w:val="20"/>
          <w:szCs w:val="20"/>
          <w:color w:val="auto"/>
        </w:rPr>
      </w:pPr>
    </w:p>
    <w:p>
      <w:pPr>
        <w:spacing w:after="0" w:line="335" w:lineRule="exact"/>
        <w:rPr>
          <w:rFonts w:ascii="Times New Roman" w:cs="Times New Roman" w:eastAsia="Times New Roman" w:hAnsi="Times New Roman"/>
          <w:sz w:val="20"/>
          <w:szCs w:val="20"/>
          <w:color w:val="auto"/>
        </w:rPr>
      </w:pPr>
    </w:p>
    <w:p>
      <w:pPr>
        <w:ind w:left="5900" w:hanging="121"/>
        <w:spacing w:after="0"/>
        <w:tabs>
          <w:tab w:leader="none" w:pos="59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0" w:name="page141"/>
    <w:bookmarkEnd w:id="140"/>
    <w:p>
      <w:pPr>
        <w:ind w:left="740"/>
        <w:spacing w:after="0"/>
        <w:rPr>
          <w:sz w:val="20"/>
          <w:szCs w:val="20"/>
          <w:color w:val="auto"/>
        </w:rPr>
      </w:pPr>
      <w:r>
        <w:rPr>
          <w:rFonts w:ascii="Times New Roman" w:cs="Times New Roman" w:eastAsia="Times New Roman" w:hAnsi="Times New Roman"/>
          <w:sz w:val="20"/>
          <w:szCs w:val="20"/>
          <w:color w:val="auto"/>
        </w:rPr>
        <w:t>6.  transactions made pursuant to a valid 10b5-1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194" w:lineRule="exact"/>
        <w:rPr>
          <w:sz w:val="20"/>
          <w:szCs w:val="20"/>
          <w:color w:val="auto"/>
        </w:rPr>
      </w:pPr>
    </w:p>
    <w:p>
      <w:pPr>
        <w:jc w:val="both"/>
        <w:ind w:firstLine="742"/>
        <w:spacing w:after="0" w:line="244"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purchases of the Company’s stock in the 401(k) plan resulting from periodic contributions to the plan based on your payroll contribution election;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85" w:lineRule="exact"/>
        <w:rPr>
          <w:rFonts w:ascii="Times New Roman" w:cs="Times New Roman" w:eastAsia="Times New Roman" w:hAnsi="Times New Roman"/>
          <w:sz w:val="20"/>
          <w:szCs w:val="20"/>
          <w:color w:val="auto"/>
        </w:rPr>
      </w:pPr>
    </w:p>
    <w:p>
      <w:pPr>
        <w:jc w:val="both"/>
        <w:ind w:firstLine="742"/>
        <w:spacing w:after="0" w:line="254"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spacing w:after="0" w:line="174" w:lineRule="exact"/>
        <w:rPr>
          <w:rFonts w:ascii="Times New Roman" w:cs="Times New Roman" w:eastAsia="Times New Roman" w:hAnsi="Times New Roman"/>
          <w:sz w:val="20"/>
          <w:szCs w:val="20"/>
          <w:color w:val="auto"/>
        </w:rPr>
      </w:pPr>
    </w:p>
    <w:p>
      <w:pPr>
        <w:ind w:firstLine="742"/>
        <w:spacing w:after="0" w:line="269"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number of the Company’s securities you hold due to a stock split or a stock dividend that applies equally to all securities of a class,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-766445</wp:posOffset>
            </wp:positionV>
            <wp:extent cx="400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39" w:lineRule="exact"/>
        <w:rPr>
          <w:sz w:val="20"/>
          <w:szCs w:val="20"/>
          <w:color w:val="auto"/>
        </w:rPr>
      </w:pPr>
    </w:p>
    <w:p>
      <w:pPr>
        <w:jc w:val="both"/>
        <w:ind w:firstLine="738"/>
        <w:spacing w:after="0" w:line="254" w:lineRule="auto"/>
        <w:rPr>
          <w:sz w:val="20"/>
          <w:szCs w:val="20"/>
          <w:color w:val="auto"/>
        </w:rPr>
      </w:pPr>
      <w:r>
        <w:rPr>
          <w:rFonts w:ascii="Times New Roman" w:cs="Times New Roman" w:eastAsia="Times New Roman" w:hAnsi="Times New Roman"/>
          <w:sz w:val="20"/>
          <w:szCs w:val="20"/>
          <w:color w:val="auto"/>
        </w:rPr>
        <w:t>Please be aware that even if a transaction is subject to an exception to this Policy, you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spacing w:after="0" w:line="170" w:lineRule="exact"/>
        <w:rPr>
          <w:sz w:val="20"/>
          <w:szCs w:val="20"/>
          <w:color w:val="auto"/>
        </w:rPr>
      </w:pPr>
    </w:p>
    <w:p>
      <w:pPr>
        <w:ind w:left="740" w:hanging="732"/>
        <w:spacing w:after="0"/>
        <w:tabs>
          <w:tab w:leader="none" w:pos="74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10B5-1 TRADING PLANS</w:t>
      </w:r>
    </w:p>
    <w:p>
      <w:pPr>
        <w:spacing w:after="0" w:line="220" w:lineRule="exact"/>
        <w:rPr>
          <w:sz w:val="20"/>
          <w:szCs w:val="20"/>
          <w:color w:val="auto"/>
        </w:rPr>
      </w:pPr>
    </w:p>
    <w:p>
      <w:pPr>
        <w:jc w:val="both"/>
        <w:ind w:firstLine="734"/>
        <w:spacing w:after="0" w:line="244" w:lineRule="auto"/>
        <w:rPr>
          <w:sz w:val="20"/>
          <w:szCs w:val="20"/>
          <w:color w:val="auto"/>
        </w:rPr>
      </w:pPr>
      <w:r>
        <w:rPr>
          <w:rFonts w:ascii="Times New Roman" w:cs="Times New Roman" w:eastAsia="Times New Roman" w:hAnsi="Times New Roman"/>
          <w:sz w:val="20"/>
          <w:szCs w:val="20"/>
          <w:color w:val="auto"/>
        </w:rPr>
        <w:t xml:space="preserve">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If the Compliance Officer is the requester, then the Company’s Chief Executive Officer, Chief Financial Officer, or their delegate, must approve the written 10b5-1 trading plan.</w:t>
      </w:r>
    </w:p>
    <w:p>
      <w:pPr>
        <w:spacing w:after="0" w:line="182" w:lineRule="exact"/>
        <w:rPr>
          <w:sz w:val="20"/>
          <w:szCs w:val="20"/>
          <w:color w:val="auto"/>
        </w:rPr>
      </w:pPr>
    </w:p>
    <w:p>
      <w:pPr>
        <w:ind w:left="740" w:hanging="732"/>
        <w:spacing w:after="0"/>
        <w:tabs>
          <w:tab w:leader="none" w:pos="74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220" w:lineRule="exact"/>
        <w:rPr>
          <w:sz w:val="20"/>
          <w:szCs w:val="20"/>
          <w:color w:val="auto"/>
        </w:rPr>
      </w:pPr>
    </w:p>
    <w:p>
      <w:pPr>
        <w:jc w:val="both"/>
        <w:ind w:firstLine="734"/>
        <w:spacing w:after="0" w:line="254" w:lineRule="auto"/>
        <w:rPr>
          <w:sz w:val="20"/>
          <w:szCs w:val="20"/>
          <w:color w:val="auto"/>
        </w:rPr>
      </w:pPr>
      <w:r>
        <w:rPr>
          <w:rFonts w:ascii="Times New Roman" w:cs="Times New Roman" w:eastAsia="Times New Roman" w:hAnsi="Times New Roman"/>
          <w:sz w:val="20"/>
          <w:szCs w:val="20"/>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74" w:lineRule="exact"/>
        <w:rPr>
          <w:sz w:val="20"/>
          <w:szCs w:val="20"/>
          <w:color w:val="auto"/>
        </w:rPr>
      </w:pPr>
    </w:p>
    <w:p>
      <w:pPr>
        <w:jc w:val="both"/>
        <w:ind w:firstLine="734"/>
        <w:spacing w:after="0" w:line="254"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174" w:lineRule="exact"/>
        <w:rPr>
          <w:sz w:val="20"/>
          <w:szCs w:val="20"/>
          <w:color w:val="auto"/>
        </w:rPr>
      </w:pPr>
    </w:p>
    <w:p>
      <w:pPr>
        <w:jc w:val="both"/>
        <w:ind w:firstLine="734"/>
        <w:spacing w:after="0" w:line="269"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the Compliance Officer.</w:t>
      </w:r>
    </w:p>
    <w:p>
      <w:pPr>
        <w:spacing w:after="0" w:line="200" w:lineRule="exact"/>
        <w:rPr>
          <w:sz w:val="20"/>
          <w:szCs w:val="20"/>
          <w:color w:val="auto"/>
        </w:rPr>
      </w:pPr>
    </w:p>
    <w:p>
      <w:pPr>
        <w:spacing w:after="0" w:line="3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41" w:name="page142"/>
    <w:bookmarkEnd w:id="141"/>
    <w:p>
      <w:pPr>
        <w:ind w:left="740" w:hanging="732"/>
        <w:spacing w:after="0"/>
        <w:tabs>
          <w:tab w:leader="none" w:pos="7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w:t>
      </w:r>
    </w:p>
    <w:p>
      <w:pPr>
        <w:spacing w:after="0" w:line="220" w:lineRule="exact"/>
        <w:rPr>
          <w:sz w:val="20"/>
          <w:szCs w:val="20"/>
          <w:color w:val="auto"/>
        </w:rPr>
      </w:pPr>
    </w:p>
    <w:p>
      <w:pPr>
        <w:jc w:val="both"/>
        <w:ind w:firstLine="734"/>
        <w:spacing w:after="0" w:line="249" w:lineRule="auto"/>
        <w:rPr>
          <w:sz w:val="20"/>
          <w:szCs w:val="20"/>
          <w:color w:val="auto"/>
        </w:rPr>
      </w:pPr>
      <w:r>
        <w:rPr>
          <w:rFonts w:ascii="Times New Roman" w:cs="Times New Roman" w:eastAsia="Times New Roman" w:hAnsi="Times New Roman"/>
          <w:sz w:val="20"/>
          <w:szCs w:val="20"/>
          <w:color w:val="auto"/>
        </w:rPr>
        <w:t>Company directors, officers, employees, consultants, advisors, contractors, agents and other service providers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80" w:lineRule="exact"/>
        <w:rPr>
          <w:sz w:val="20"/>
          <w:szCs w:val="20"/>
          <w:color w:val="auto"/>
        </w:rPr>
      </w:pPr>
    </w:p>
    <w:p>
      <w:pPr>
        <w:jc w:val="both"/>
        <w:ind w:firstLine="734"/>
        <w:spacing w:after="0" w:line="246"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5" w:lineRule="exact"/>
        <w:rPr>
          <w:sz w:val="20"/>
          <w:szCs w:val="20"/>
          <w:color w:val="auto"/>
        </w:rPr>
      </w:pPr>
    </w:p>
    <w:p>
      <w:pPr>
        <w:jc w:val="both"/>
        <w:ind w:firstLine="734"/>
        <w:spacing w:after="0" w:line="242" w:lineRule="auto"/>
        <w:rPr>
          <w:sz w:val="20"/>
          <w:szCs w:val="20"/>
          <w:color w:val="auto"/>
        </w:rPr>
      </w:pPr>
      <w:r>
        <w:rPr>
          <w:rFonts w:ascii="Times New Roman" w:cs="Times New Roman" w:eastAsia="Times New Roman" w:hAnsi="Times New Roman"/>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188" w:lineRule="exact"/>
        <w:rPr>
          <w:sz w:val="20"/>
          <w:szCs w:val="20"/>
          <w:color w:val="auto"/>
        </w:rPr>
      </w:pPr>
    </w:p>
    <w:p>
      <w:pPr>
        <w:ind w:left="740" w:hanging="732"/>
        <w:spacing w:after="0"/>
        <w:tabs>
          <w:tab w:leader="none" w:pos="74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ACTIVITY NOT PROHIBITED</w:t>
      </w:r>
    </w:p>
    <w:p>
      <w:pPr>
        <w:spacing w:after="0" w:line="220" w:lineRule="exact"/>
        <w:rPr>
          <w:sz w:val="20"/>
          <w:szCs w:val="20"/>
          <w:color w:val="auto"/>
        </w:rPr>
      </w:pPr>
    </w:p>
    <w:p>
      <w:pPr>
        <w:jc w:val="both"/>
        <w:ind w:firstLine="734"/>
        <w:spacing w:after="0" w:line="254"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70" w:lineRule="exact"/>
        <w:rPr>
          <w:sz w:val="20"/>
          <w:szCs w:val="20"/>
          <w:color w:val="auto"/>
        </w:rPr>
      </w:pPr>
    </w:p>
    <w:p>
      <w:pPr>
        <w:ind w:left="740" w:hanging="732"/>
        <w:spacing w:after="0"/>
        <w:tabs>
          <w:tab w:leader="none" w:pos="74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w:t>
      </w:r>
    </w:p>
    <w:p>
      <w:pPr>
        <w:spacing w:after="0" w:line="220" w:lineRule="exact"/>
        <w:rPr>
          <w:sz w:val="20"/>
          <w:szCs w:val="20"/>
          <w:color w:val="auto"/>
        </w:rPr>
      </w:pPr>
    </w:p>
    <w:p>
      <w:pPr>
        <w:jc w:val="both"/>
        <w:ind w:firstLine="734"/>
        <w:spacing w:after="0" w:line="254"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170" w:lineRule="exact"/>
        <w:rPr>
          <w:sz w:val="20"/>
          <w:szCs w:val="20"/>
          <w:color w:val="auto"/>
        </w:rPr>
      </w:pPr>
    </w:p>
    <w:p>
      <w:pPr>
        <w:ind w:left="740" w:hanging="732"/>
        <w:spacing w:after="0"/>
        <w:tabs>
          <w:tab w:leader="none" w:pos="7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jc w:val="both"/>
        <w:ind w:firstLine="734"/>
        <w:spacing w:after="0" w:line="254"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200" w:lineRule="exact"/>
        <w:rPr>
          <w:sz w:val="20"/>
          <w:szCs w:val="20"/>
          <w:color w:val="auto"/>
        </w:rPr>
      </w:pPr>
    </w:p>
    <w:p>
      <w:pPr>
        <w:spacing w:after="0" w:line="32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42" w:name="page143"/>
    <w:bookmarkEnd w:id="142"/>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16" w:lineRule="exact"/>
        <w:rPr>
          <w:sz w:val="20"/>
          <w:szCs w:val="20"/>
          <w:color w:val="auto"/>
        </w:rPr>
      </w:pPr>
    </w:p>
    <w:p>
      <w:pPr>
        <w:jc w:val="both"/>
        <w:ind w:firstLine="734"/>
        <w:spacing w:after="0" w:line="250" w:lineRule="auto"/>
        <w:rPr>
          <w:sz w:val="20"/>
          <w:szCs w:val="20"/>
          <w:color w:val="auto"/>
        </w:rPr>
      </w:pPr>
      <w:r>
        <w:rPr>
          <w:rFonts w:ascii="Times New Roman" w:cs="Times New Roman" w:eastAsia="Times New Roman" w:hAnsi="Times New Roman"/>
          <w:sz w:val="20"/>
          <w:szCs w:val="20"/>
          <w:color w:val="auto"/>
        </w:rPr>
        <w:t>For transactions under a trading plan to be exempt from (A) the prohibitions in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PMV Pharmaceuticals,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10b5-1 and must meet the following requirements:</w:t>
      </w:r>
    </w:p>
    <w:p>
      <w:pPr>
        <w:spacing w:after="0" w:line="180" w:lineRule="exact"/>
        <w:rPr>
          <w:sz w:val="20"/>
          <w:szCs w:val="20"/>
          <w:color w:val="auto"/>
        </w:rPr>
      </w:pPr>
    </w:p>
    <w:p>
      <w:pPr>
        <w:ind w:left="1020" w:hanging="278"/>
        <w:spacing w:after="0"/>
        <w:tabs>
          <w:tab w:leader="none" w:pos="10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215" w:lineRule="exact"/>
        <w:rPr>
          <w:rFonts w:ascii="Times New Roman" w:cs="Times New Roman" w:eastAsia="Times New Roman" w:hAnsi="Times New Roman"/>
          <w:sz w:val="20"/>
          <w:szCs w:val="20"/>
          <w:color w:val="auto"/>
        </w:rPr>
      </w:pPr>
    </w:p>
    <w:p>
      <w:pPr>
        <w:ind w:right="20" w:firstLine="742"/>
        <w:spacing w:after="0" w:line="269" w:lineRule="auto"/>
        <w:tabs>
          <w:tab w:leader="none" w:pos="10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10b5-1, and the person adopting the trading plan must act in good faith with respect to the trading plan.</w:t>
      </w:r>
    </w:p>
    <w:p>
      <w:pPr>
        <w:spacing w:after="0" w:line="159"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540" w:hanging="379"/>
        <w:spacing w:after="0"/>
        <w:tabs>
          <w:tab w:leader="none" w:pos="154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5" w:lineRule="exact"/>
        <w:rPr>
          <w:rFonts w:ascii="Times New Roman" w:cs="Times New Roman" w:eastAsia="Times New Roman" w:hAnsi="Times New Roman"/>
          <w:sz w:val="20"/>
          <w:szCs w:val="20"/>
          <w:color w:val="auto"/>
        </w:rPr>
      </w:pPr>
    </w:p>
    <w:p>
      <w:pPr>
        <w:ind w:left="1540" w:hanging="379"/>
        <w:spacing w:after="0"/>
        <w:tabs>
          <w:tab w:leader="none" w:pos="154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adopting the trading plan in good faith and not as part of a plan or scheme to evade the prohibitions of Rule 10b5-1</w:t>
      </w:r>
    </w:p>
    <w:p>
      <w:pPr>
        <w:spacing w:after="0" w:line="215" w:lineRule="exact"/>
        <w:rPr>
          <w:rFonts w:ascii="Times New Roman" w:cs="Times New Roman" w:eastAsia="Times New Roman" w:hAnsi="Times New Roman"/>
          <w:sz w:val="20"/>
          <w:szCs w:val="20"/>
          <w:color w:val="auto"/>
        </w:rPr>
      </w:pPr>
    </w:p>
    <w:p>
      <w:pPr>
        <w:jc w:val="both"/>
        <w:ind w:firstLine="742"/>
        <w:spacing w:after="0" w:line="254" w:lineRule="auto"/>
        <w:tabs>
          <w:tab w:leader="none" w:pos="10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4" w:lineRule="exact"/>
        <w:rPr>
          <w:rFonts w:ascii="Times New Roman" w:cs="Times New Roman" w:eastAsia="Times New Roman" w:hAnsi="Times New Roman"/>
          <w:sz w:val="20"/>
          <w:szCs w:val="20"/>
          <w:color w:val="auto"/>
        </w:rPr>
      </w:pPr>
    </w:p>
    <w:p>
      <w:pPr>
        <w:jc w:val="both"/>
        <w:ind w:firstLine="742"/>
        <w:spacing w:after="0" w:line="245" w:lineRule="auto"/>
        <w:tabs>
          <w:tab w:leader="none" w:pos="10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for directors and officers (as defined in Rule 16a-1(f) of the Securities Exchange Act of 1934)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(other than the Company) may not occur until the expiration of a cooling-off period that is 30 calendar days after adoption of the trading plan.</w:t>
      </w:r>
    </w:p>
    <w:p>
      <w:pPr>
        <w:spacing w:after="0" w:line="184"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the date of adoption of the trading plan).</w:t>
      </w:r>
    </w:p>
    <w:p>
      <w:pPr>
        <w:spacing w:after="0" w:line="215" w:lineRule="exact"/>
        <w:rPr>
          <w:rFonts w:ascii="Times New Roman" w:cs="Times New Roman" w:eastAsia="Times New Roman" w:hAnsi="Times New Roman"/>
          <w:sz w:val="20"/>
          <w:szCs w:val="20"/>
          <w:color w:val="auto"/>
        </w:rPr>
      </w:pPr>
    </w:p>
    <w:p>
      <w:pPr>
        <w:jc w:val="both"/>
        <w:ind w:firstLine="742"/>
        <w:spacing w:after="0" w:line="254" w:lineRule="auto"/>
        <w:tabs>
          <w:tab w:leader="none" w:pos="10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transactions during the term of the trading plan (except for the “Exceptions to Trading Restrictions” identified in the Policy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must be conducted through the trading plan. In addition, the person adopting the trading plan may not have an outstanding (and may not subsequently enter into any additional) trading plan except as permitted by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43" w:name="page144"/>
    <w:bookmarkEnd w:id="143"/>
    <w:p>
      <w:pPr>
        <w:jc w:val="both"/>
        <w:ind w:firstLine="742"/>
        <w:spacing w:after="0" w:line="254"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is subject to the same conditions as a new trading plan as set forth in Sections 1 through 8 herein.</w:t>
      </w:r>
    </w:p>
    <w:p>
      <w:pPr>
        <w:spacing w:after="0" w:line="174" w:lineRule="exact"/>
        <w:rPr>
          <w:rFonts w:ascii="Times New Roman" w:cs="Times New Roman" w:eastAsia="Times New Roman" w:hAnsi="Times New Roman"/>
          <w:sz w:val="20"/>
          <w:szCs w:val="20"/>
          <w:color w:val="auto"/>
        </w:rPr>
      </w:pPr>
    </w:p>
    <w:p>
      <w:pPr>
        <w:ind w:firstLine="742"/>
        <w:spacing w:after="0" w:line="269"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or Modification of a trading plan, a person may not have otherwise adopted or done a Modification to a plan more than once.</w:t>
      </w:r>
    </w:p>
    <w:p>
      <w:pPr>
        <w:spacing w:after="0" w:line="159" w:lineRule="exact"/>
        <w:rPr>
          <w:rFonts w:ascii="Times New Roman" w:cs="Times New Roman" w:eastAsia="Times New Roman" w:hAnsi="Times New Roman"/>
          <w:sz w:val="20"/>
          <w:szCs w:val="20"/>
          <w:color w:val="auto"/>
        </w:rPr>
      </w:pPr>
    </w:p>
    <w:p>
      <w:pPr>
        <w:ind w:right="20" w:firstLine="742"/>
        <w:spacing w:after="0" w:line="269"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159" w:lineRule="exact"/>
        <w:rPr>
          <w:rFonts w:ascii="Times New Roman" w:cs="Times New Roman" w:eastAsia="Times New Roman" w:hAnsi="Times New Roman"/>
          <w:sz w:val="20"/>
          <w:szCs w:val="20"/>
          <w:color w:val="auto"/>
        </w:rPr>
      </w:pPr>
    </w:p>
    <w:p>
      <w:pPr>
        <w:ind w:right="20" w:firstLine="742"/>
        <w:spacing w:after="0" w:line="269"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59" w:lineRule="exact"/>
        <w:rPr>
          <w:rFonts w:ascii="Times New Roman" w:cs="Times New Roman" w:eastAsia="Times New Roman" w:hAnsi="Times New Roman"/>
          <w:sz w:val="20"/>
          <w:szCs w:val="20"/>
          <w:color w:val="auto"/>
        </w:rPr>
      </w:pPr>
    </w:p>
    <w:p>
      <w:pPr>
        <w:ind w:right="20" w:firstLine="742"/>
        <w:spacing w:after="0" w:line="269"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 including any suspension of trading under the trading plan.</w:t>
      </w:r>
    </w:p>
    <w:p>
      <w:pPr>
        <w:spacing w:after="0" w:line="159"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or cancellation of the trading plan at any time.</w:t>
      </w:r>
    </w:p>
    <w:p>
      <w:pPr>
        <w:spacing w:after="0" w:line="215"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trades made under the trading plan must be executed by someone other than the stockbroker or other person that executes trades in other securities for the person adopting the trading plan;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59"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5" w:lineRule="exact"/>
        <w:rPr>
          <w:rFonts w:ascii="Times New Roman" w:cs="Times New Roman" w:eastAsia="Times New Roman" w:hAnsi="Times New Roman"/>
          <w:sz w:val="20"/>
          <w:szCs w:val="20"/>
          <w:color w:val="auto"/>
        </w:rPr>
      </w:pPr>
    </w:p>
    <w:p>
      <w:pPr>
        <w:jc w:val="both"/>
        <w:ind w:firstLine="742"/>
        <w:spacing w:after="0" w:line="254"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exceptions to the Trading Plan Requirements must be approved by the Compliance Officer or, in the case of directors and officers who are subject Section 16 of the Securities Exchange Act of 1934, by the Compliance Officer, in consultation with the Company’s board of directors or an independent committee of the board of directors.</w:t>
      </w:r>
    </w:p>
    <w:p>
      <w:pPr>
        <w:spacing w:after="0" w:line="174"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Modification) must meet such other requirements as the Compliance Officer may determine.</w:t>
      </w:r>
    </w:p>
    <w:p>
      <w:pPr>
        <w:spacing w:after="0" w:line="211" w:lineRule="exact"/>
        <w:rPr>
          <w:rFonts w:ascii="Times New Roman" w:cs="Times New Roman" w:eastAsia="Times New Roman" w:hAnsi="Times New Roman"/>
          <w:sz w:val="20"/>
          <w:szCs w:val="20"/>
          <w:color w:val="auto"/>
        </w:rPr>
      </w:pPr>
    </w:p>
    <w:p>
      <w:pPr>
        <w:jc w:val="both"/>
        <w:ind w:firstLine="742"/>
        <w:spacing w:after="0" w:line="256" w:lineRule="auto"/>
        <w:tabs>
          <w:tab w:leader="none" w:pos="10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trading plans adopted or modified prior to February 26, 2025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are permitted to continue in place until all trades are executed thereunder or they expire by their terms (“</w:t>
      </w:r>
      <w:r>
        <w:rPr>
          <w:rFonts w:ascii="Times New Roman" w:cs="Times New Roman" w:eastAsia="Times New Roman" w:hAnsi="Times New Roman"/>
          <w:sz w:val="20"/>
          <w:szCs w:val="20"/>
          <w:b w:val="1"/>
          <w:bCs w:val="1"/>
          <w:color w:val="auto"/>
        </w:rPr>
        <w:t>Grandfathered Plans</w:t>
      </w:r>
      <w:r>
        <w:rPr>
          <w:rFonts w:ascii="Times New Roman" w:cs="Times New Roman" w:eastAsia="Times New Roman" w:hAnsi="Times New Roman"/>
          <w:sz w:val="20"/>
          <w:szCs w:val="20"/>
          <w:color w:val="auto"/>
        </w:rPr>
        <w:t>”). If the person undertakes a Modification of a Grandfathered Plan on or after the Effective Date, then the Modification must meet all of the requirements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4" w:name="page145"/>
    <w:bookmarkEnd w:id="144"/>
    <w:p>
      <w:pPr>
        <w:ind w:left="69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333-260012) of PMV Pharmaceuticals, Inc.,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333-283349) of PMV Pharmaceuticals, Inc.,</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333-249094) pertaining to the 2013 Equity Incentive Plan, 2020 Equity Incentive Plan and 2020 Employee Stock Purchase Plan of PMV Pharmaceuticals, Inc.,</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333-256346, 333-269394 and 333-276667) pertaining to the 2020 Equity Incentive Plan and 2020 Employee Stock Purchase Plan of PMV Pharmaceuticals, Inc.,</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333-262308 and 333-284560) pertaining to the 2020 Equity Incentive Plan of PMV Pharmaceuticals, Inc.;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March 3, 2025, with respect to the consolidated financial statements of PMV Pharmaceuticals, Inc. included in this Annual Report (Form 10-K) of PMV Pharmaceuticals, Inc. for the year ended December 31, 2024.</w:t>
      </w:r>
    </w:p>
    <w:p>
      <w:pPr>
        <w:spacing w:after="0" w:line="200" w:lineRule="exact"/>
        <w:rPr>
          <w:sz w:val="20"/>
          <w:szCs w:val="20"/>
          <w:color w:val="auto"/>
        </w:rPr>
      </w:pPr>
    </w:p>
    <w:p>
      <w:pPr>
        <w:spacing w:after="0" w:line="3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14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27"/>
        </w:trPr>
        <w:tc>
          <w:tcPr>
            <w:tcW w:w="7480" w:type="dxa"/>
            <w:vAlign w:val="bottom"/>
            <w:vMerge w:val="restart"/>
          </w:tcPr>
          <w:p>
            <w:pPr>
              <w:ind w:left="680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80" w:type="dxa"/>
            <w:vAlign w:val="bottom"/>
            <w:vMerge w:val="continue"/>
          </w:tcPr>
          <w:p>
            <w:pPr>
              <w:spacing w:after="0"/>
              <w:rPr>
                <w:sz w:val="22"/>
                <w:szCs w:val="22"/>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283"/>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3"/>
        </w:trPr>
        <w:tc>
          <w:tcPr>
            <w:tcW w:w="748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236"/>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225"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8" w:name="page149"/>
    <w:bookmarkEnd w:id="14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14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Carulli</w:t>
            </w:r>
          </w:p>
        </w:tc>
        <w:tc>
          <w:tcPr>
            <w:tcW w:w="0" w:type="dxa"/>
            <w:vAlign w:val="bottom"/>
          </w:tcPr>
          <w:p>
            <w:pPr>
              <w:spacing w:after="0"/>
              <w:rPr>
                <w:sz w:val="1"/>
                <w:szCs w:val="1"/>
                <w:color w:val="auto"/>
              </w:rPr>
            </w:pPr>
          </w:p>
        </w:tc>
      </w:tr>
      <w:tr>
        <w:trPr>
          <w:trHeight w:val="27"/>
        </w:trPr>
        <w:tc>
          <w:tcPr>
            <w:tcW w:w="7480" w:type="dxa"/>
            <w:vAlign w:val="bottom"/>
            <w:vMerge w:val="restart"/>
          </w:tcPr>
          <w:p>
            <w:pPr>
              <w:ind w:left="680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80" w:type="dxa"/>
            <w:vAlign w:val="bottom"/>
            <w:vMerge w:val="continue"/>
          </w:tcPr>
          <w:p>
            <w:pPr>
              <w:spacing w:after="0"/>
              <w:rPr>
                <w:sz w:val="22"/>
                <w:szCs w:val="22"/>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Carulli</w:t>
            </w:r>
          </w:p>
        </w:tc>
        <w:tc>
          <w:tcPr>
            <w:tcW w:w="0" w:type="dxa"/>
            <w:vAlign w:val="bottom"/>
          </w:tcPr>
          <w:p>
            <w:pPr>
              <w:spacing w:after="0"/>
              <w:rPr>
                <w:sz w:val="1"/>
                <w:szCs w:val="1"/>
                <w:color w:val="auto"/>
              </w:rPr>
            </w:pPr>
          </w:p>
        </w:tc>
      </w:tr>
      <w:tr>
        <w:trPr>
          <w:trHeight w:val="265"/>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1721"/>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period ended December 31, 2024 as filed with the Securities and Exchange Commission on the date hereof (the “Report”), I, David H. Mack, hereby certify, pursuant to 18 U.S.C. § 1350, as adopted pursuant to § 906 of the Sarbanes-Oxley Act of 2002, that:</w:t>
      </w:r>
    </w:p>
    <w:p>
      <w:pPr>
        <w:spacing w:after="0" w:line="203" w:lineRule="exact"/>
        <w:rPr>
          <w:sz w:val="20"/>
          <w:szCs w:val="20"/>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6500" w:type="dxa"/>
        <w:tblCellMar>
          <w:top w:w="0" w:type="dxa"/>
          <w:left w:w="0" w:type="dxa"/>
          <w:bottom w:w="0" w:type="dxa"/>
          <w:right w:w="0" w:type="dxa"/>
        </w:tblCellMar>
      </w:tblP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vMerge w:val="continue"/>
          </w:tcPr>
          <w:p>
            <w:pPr>
              <w:spacing w:after="0"/>
              <w:rPr>
                <w:sz w:val="22"/>
                <w:szCs w:val="22"/>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3"/>
        </w:trPr>
        <w:tc>
          <w:tcPr>
            <w:tcW w:w="70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FILENAME  \* MERGEFORMAT Normal.dotm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period ended December 31, 2024 as filed with the Securities and Exchange Commission on the date hereof (the “Report”), I, Michael Carulli, hereby certify, pursuant to 18 U.S.C. § 1350, as adopted pursuant to § 906 of the Sarbanes-Oxley Act of 2002, that:</w:t>
      </w:r>
    </w:p>
    <w:p>
      <w:pPr>
        <w:spacing w:after="0" w:line="203" w:lineRule="exact"/>
        <w:rPr>
          <w:sz w:val="20"/>
          <w:szCs w:val="20"/>
          <w:color w:val="auto"/>
        </w:rPr>
      </w:pPr>
    </w:p>
    <w:p>
      <w:pPr>
        <w:ind w:left="760" w:hanging="378"/>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6500" w:type="dxa"/>
        <w:tblCellMar>
          <w:top w:w="0" w:type="dxa"/>
          <w:left w:w="0" w:type="dxa"/>
          <w:bottom w:w="0" w:type="dxa"/>
          <w:right w:w="0" w:type="dxa"/>
        </w:tblCellMar>
      </w:tblP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Michael Carulli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vMerge w:val="continue"/>
          </w:tcPr>
          <w:p>
            <w:pPr>
              <w:spacing w:after="0"/>
              <w:rPr>
                <w:sz w:val="22"/>
                <w:szCs w:val="22"/>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Carulli</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FILENAME  \* MERGEFORMAT Normal.dotm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1)"/>
      <w:numFmt w:val="decimal"/>
      <w:start w:val="2"/>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1)"/>
      <w:numFmt w:val="lowerRoman"/>
      <w:start w:val="2"/>
    </w:lvl>
  </w:abstractNum>
  <w:abstractNum w:abstractNumId="61">
    <w:nsid w:val="A0382C5"/>
    <w:multiLevelType w:val="hybridMultilevel"/>
    <w:lvl w:ilvl="0">
      <w:lvlJc w:val="left"/>
      <w:lvlText w:val="*"/>
      <w:numFmt w:val="bullet"/>
      <w:start w:val="1"/>
    </w:lvl>
    <w:lvl w:ilvl="1">
      <w:lvlJc w:val="left"/>
      <w:lvlText w:val="%2"/>
      <w:numFmt w:val="decimal"/>
      <w:start w:val="104"/>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upperLetter"/>
      <w:start w:val="1"/>
    </w:lvl>
  </w:abstractNum>
  <w:abstractNum w:abstractNumId="65">
    <w:nsid w:val="68EB2F6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66">
    <w:nsid w:val="4962813B"/>
    <w:multiLevelType w:val="hybridMultilevel"/>
    <w:lvl w:ilvl="0">
      <w:lvlJc w:val="left"/>
      <w:lvlText w:val="%1."/>
      <w:numFmt w:val="decimal"/>
      <w:start w:val="2"/>
    </w:lvl>
  </w:abstractNum>
  <w:abstractNum w:abstractNumId="67">
    <w:nsid w:val="60B6DF70"/>
    <w:multiLevelType w:val="hybridMultilevel"/>
    <w:lvl w:ilvl="0">
      <w:lvlJc w:val="left"/>
      <w:lvlText w:val="%1."/>
      <w:numFmt w:val="decimal"/>
      <w:start w:val="3"/>
    </w:lvl>
  </w:abstractNum>
  <w:abstractNum w:abstractNumId="68">
    <w:nsid w:val="6A5EE64"/>
    <w:multiLevelType w:val="hybridMultilevel"/>
    <w:lvl w:ilvl="0">
      <w:lvlJc w:val="left"/>
      <w:lvlText w:val="%1."/>
      <w:numFmt w:val="lowerLetter"/>
      <w:start w:val="1"/>
    </w:lvl>
    <w:lvl w:ilvl="1">
      <w:lvlJc w:val="left"/>
      <w:lvlText w:val="-"/>
      <w:numFmt w:val="bullet"/>
      <w:start w:val="1"/>
    </w:lvl>
  </w:abstractNum>
  <w:abstractNum w:abstractNumId="69">
    <w:nsid w:val="14330624"/>
    <w:multiLevelType w:val="hybridMultilevel"/>
    <w:lvl w:ilvl="0">
      <w:lvlJc w:val="left"/>
      <w:lvlText w:val="%1."/>
      <w:numFmt w:val="lowerLetter"/>
      <w:start w:val="10"/>
    </w:lvl>
  </w:abstractNum>
  <w:abstractNum w:abstractNumId="70">
    <w:nsid w:val="7FFFCA11"/>
    <w:multiLevelType w:val="hybridMultilevel"/>
    <w:lvl w:ilvl="0">
      <w:lvlJc w:val="left"/>
      <w:lvlText w:val="%1."/>
      <w:numFmt w:val="upperLetter"/>
      <w:start w:val="3"/>
    </w:lvl>
  </w:abstractNum>
  <w:abstractNum w:abstractNumId="71">
    <w:nsid w:val="1A27709E"/>
    <w:multiLevelType w:val="hybridMultilevel"/>
    <w:lvl w:ilvl="0">
      <w:lvlJc w:val="left"/>
      <w:lvlText w:val="%1."/>
      <w:numFmt w:val="upperLetter"/>
      <w:start w:val="4"/>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upperLetter"/>
      <w:start w:val="5"/>
    </w:lvl>
    <w:lvl w:ilvl="1">
      <w:lvlJc w:val="left"/>
      <w:lvlText w:val="%2."/>
      <w:numFmt w:val="decimal"/>
      <w:start w:val="1"/>
    </w:lvl>
  </w:abstractNum>
  <w:abstractNum w:abstractNumId="74">
    <w:nsid w:val="7FB7E0AA"/>
    <w:multiLevelType w:val="hybridMultilevel"/>
    <w:lvl w:ilvl="0">
      <w:lvlJc w:val="left"/>
      <w:lvlText w:val="%1"/>
      <w:numFmt w:val="upperLetter"/>
      <w:start w:val="1"/>
    </w:lvl>
    <w:lvl w:ilvl="1">
      <w:lvlJc w:val="left"/>
      <w:lvlText w:val="%2."/>
      <w:numFmt w:val="decimal"/>
      <w:start w:val="2"/>
    </w:lvl>
  </w:abstractNum>
  <w:abstractNum w:abstractNumId="75">
    <w:nsid w:val="6EB5BD4"/>
    <w:multiLevelType w:val="hybridMultilevel"/>
    <w:lvl w:ilvl="0">
      <w:lvlJc w:val="left"/>
      <w:lvlText w:val="%1."/>
      <w:numFmt w:val="upperLetter"/>
      <w:start w:val="6"/>
    </w:lvl>
    <w:lvl w:ilvl="1">
      <w:lvlJc w:val="left"/>
      <w:lvlText w:val="%2"/>
      <w:numFmt w:val="decimal"/>
      <w:start w:val="1"/>
    </w:lvl>
  </w:abstractNum>
  <w:abstractNum w:abstractNumId="76">
    <w:nsid w:val="6F6DD9AC"/>
    <w:multiLevelType w:val="hybridMultilevel"/>
    <w:lvl w:ilvl="0">
      <w:lvlJc w:val="left"/>
      <w:lvlText w:val="%1"/>
      <w:numFmt w:val="upperLetter"/>
      <w:start w:val="1"/>
    </w:lvl>
    <w:lvl w:ilvl="1">
      <w:lvlJc w:val="left"/>
      <w:lvlText w:val="%2."/>
      <w:numFmt w:val="decimal"/>
      <w:start w:val="1"/>
    </w:lvl>
  </w:abstractNum>
  <w:abstractNum w:abstractNumId="77">
    <w:nsid w:val="94211F2"/>
    <w:multiLevelType w:val="hybridMultilevel"/>
    <w:lvl w:ilvl="0">
      <w:lvlJc w:val="left"/>
      <w:lvlText w:val="%1."/>
      <w:numFmt w:val="upperLetter"/>
      <w:start w:val="7"/>
    </w:lvl>
    <w:lvl w:ilvl="1">
      <w:lvlJc w:val="left"/>
      <w:lvlText w:val="%2"/>
      <w:numFmt w:val="decimal"/>
      <w:start w:val="1"/>
    </w:lvl>
  </w:abstractNum>
  <w:abstractNum w:abstractNumId="78">
    <w:nsid w:val="885E1B"/>
    <w:multiLevelType w:val="hybridMultilevel"/>
    <w:lvl w:ilvl="0">
      <w:lvlJc w:val="left"/>
      <w:lvlText w:val="%1."/>
      <w:numFmt w:val="upperLetter"/>
      <w:start w:val="8"/>
    </w:lvl>
  </w:abstractNum>
  <w:abstractNum w:abstractNumId="79">
    <w:nsid w:val="76272110"/>
    <w:multiLevelType w:val="hybridMultilevel"/>
    <w:lvl w:ilvl="0">
      <w:lvlJc w:val="left"/>
      <w:lvlText w:val="%1."/>
      <w:numFmt w:val="decimal"/>
      <w:start w:val="3"/>
    </w:lvl>
    <w:lvl w:ilvl="1">
      <w:lvlJc w:val="left"/>
      <w:lvlText w:val="-"/>
      <w:numFmt w:val="bullet"/>
      <w:start w:val="1"/>
    </w:lvl>
  </w:abstractNum>
  <w:abstractNum w:abstractNumId="80">
    <w:nsid w:val="4C04A8AF"/>
    <w:multiLevelType w:val="hybridMultilevel"/>
    <w:lvl w:ilvl="0">
      <w:lvlJc w:val="left"/>
      <w:lvlText w:val="%1."/>
      <w:numFmt w:val="decimal"/>
      <w:start w:val="7"/>
    </w:lvl>
  </w:abstractNum>
  <w:abstractNum w:abstractNumId="81">
    <w:nsid w:val="1716703B"/>
    <w:multiLevelType w:val="hybridMultilevel"/>
    <w:lvl w:ilvl="0">
      <w:lvlJc w:val="left"/>
      <w:lvlText w:val="%1."/>
      <w:numFmt w:val="upperLetter"/>
      <w:start w:val="9"/>
    </w:lvl>
  </w:abstractNum>
  <w:abstractNum w:abstractNumId="82">
    <w:nsid w:val="14E17E33"/>
    <w:multiLevelType w:val="hybridMultilevel"/>
    <w:lvl w:ilvl="0">
      <w:lvlJc w:val="left"/>
      <w:lvlText w:val="%1."/>
      <w:numFmt w:val="upperLetter"/>
      <w:start w:val="10"/>
    </w:lvl>
  </w:abstractNum>
  <w:abstractNum w:abstractNumId="83">
    <w:nsid w:val="3222E7CD"/>
    <w:multiLevelType w:val="hybridMultilevel"/>
    <w:lvl w:ilvl="0">
      <w:lvlJc w:val="left"/>
      <w:lvlText w:val="%1."/>
      <w:numFmt w:val="upperLetter"/>
      <w:start w:val="11"/>
    </w:lvl>
  </w:abstractNum>
  <w:abstractNum w:abstractNumId="84">
    <w:nsid w:val="74DE0EE3"/>
    <w:multiLevelType w:val="hybridMultilevel"/>
    <w:lvl w:ilvl="0">
      <w:lvlJc w:val="left"/>
      <w:lvlText w:val="%1."/>
      <w:numFmt w:val="upperLetter"/>
      <w:start w:val="12"/>
    </w:lvl>
  </w:abstractNum>
  <w:abstractNum w:abstractNumId="85">
    <w:nsid w:val="68EBC550"/>
    <w:multiLevelType w:val="hybridMultilevel"/>
    <w:lvl w:ilvl="0">
      <w:lvlJc w:val="left"/>
      <w:lvlText w:val="%1."/>
      <w:numFmt w:val="upperLetter"/>
      <w:start w:val="13"/>
    </w:lvl>
  </w:abstractNum>
  <w:abstractNum w:abstractNumId="86">
    <w:nsid w:val="2DF6D648"/>
    <w:multiLevelType w:val="hybridMultilevel"/>
    <w:lvl w:ilvl="0">
      <w:lvlJc w:val="left"/>
      <w:lvlText w:val="%1."/>
      <w:numFmt w:val="upperLetter"/>
      <w:start w:val="14"/>
    </w:lvl>
  </w:abstractNum>
  <w:abstractNum w:abstractNumId="87">
    <w:nsid w:val="46B7D44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8">
    <w:nsid w:val="4A2AC315"/>
    <w:multiLevelType w:val="hybridMultilevel"/>
    <w:lvl w:ilvl="0">
      <w:lvlJc w:val="left"/>
      <w:lvlText w:val="%1."/>
      <w:numFmt w:val="decimal"/>
      <w:start w:val="9"/>
    </w:lvl>
    <w:lvl w:ilvl="1">
      <w:lvlJc w:val="left"/>
      <w:lvlText w:val="%2."/>
      <w:numFmt w:val="lowerLetter"/>
      <w:start w:val="1"/>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65"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349" Type="http://schemas.openxmlformats.org/officeDocument/2006/relationships/hyperlink" Target="https://www.sec.gov/Archives/edgar/data/1699382/000119312520257820/d95525dex31.htm" TargetMode="External"/><Relationship Id="rId350" Type="http://schemas.openxmlformats.org/officeDocument/2006/relationships/hyperlink" Target="https://www.sec.gov/Archives/edgar/data/1699382/000095017023020100/pmvp-ex3_3.htm" TargetMode="External"/><Relationship Id="rId351" Type="http://schemas.openxmlformats.org/officeDocument/2006/relationships/hyperlink" Target="https://www.sec.gov/Archives/edgar/data/1699382/000156459021010578/pmvp-ex41_260.htm" TargetMode="External"/><Relationship Id="rId352" Type="http://schemas.openxmlformats.org/officeDocument/2006/relationships/hyperlink" Target="https://www.sec.gov/Archives/edgar/data/0001699382/000119312520249570/d922470dex42.htm" TargetMode="External"/><Relationship Id="rId353" Type="http://schemas.openxmlformats.org/officeDocument/2006/relationships/hyperlink" Target="https://www.sec.gov/Archives/edgar/data/1699382/000119312524262148/d868133dex45.htm" TargetMode="External"/><Relationship Id="rId354" Type="http://schemas.openxmlformats.org/officeDocument/2006/relationships/hyperlink" Target="https://www.sec.gov/Archives/edgar/data/0001699382/000119312520240132/d922470dex101.htm" TargetMode="External"/><Relationship Id="rId355" Type="http://schemas.openxmlformats.org/officeDocument/2006/relationships/hyperlink" Target="https://www.sec.gov/Archives/edgar/data/0001699382/000119312520249570/d922470dex102.htm" TargetMode="External"/><Relationship Id="rId356" Type="http://schemas.openxmlformats.org/officeDocument/2006/relationships/hyperlink" Target="https://www.sec.gov/Archives/edgar/data/0001699382/000119312520249570/d922470dex103.htm" TargetMode="External"/><Relationship Id="rId357" Type="http://schemas.openxmlformats.org/officeDocument/2006/relationships/hyperlink" Target="https://www.sec.gov/Archives/edgar/data/0001699382/000095017024056295/pmvp-ex10_4.htm" TargetMode="External"/><Relationship Id="rId358" Type="http://schemas.openxmlformats.org/officeDocument/2006/relationships/hyperlink" Target="https://www.sec.gov/Archives/edgar/data/0001699382/000119312520240132/d922470dex105.htm" TargetMode="External"/><Relationship Id="rId359" Type="http://schemas.openxmlformats.org/officeDocument/2006/relationships/hyperlink" Target="https://www.sec.gov/Archives/edgar/data/1699382/000156459022007860/pmvp-ex108_331.htm" TargetMode="External"/><Relationship Id="rId360" Type="http://schemas.openxmlformats.org/officeDocument/2006/relationships/hyperlink" Target="https://www.sec.gov/Archives/edgar/data/0001699382/000119312520240132/d922470dex109.htm" TargetMode="External"/><Relationship Id="rId361" Type="http://schemas.openxmlformats.org/officeDocument/2006/relationships/hyperlink" Target="https://www.sec.gov/Archives/edgar/data/0001699382/000119312520240132/d922470dex1010.htm" TargetMode="External"/><Relationship Id="rId362" Type="http://schemas.openxmlformats.org/officeDocument/2006/relationships/hyperlink" Target="https://www.sec.gov/Archives/edgar/data/0001699382/000119312520240132/d922470dex1011.htm" TargetMode="External"/><Relationship Id="rId363" Type="http://schemas.openxmlformats.org/officeDocument/2006/relationships/hyperlink" Target="https://www.sec.gov/Archives/edgar/data/1699382/000156459022007860/pmvp-ex1014_338.htm" TargetMode="External"/><Relationship Id="rId364" Type="http://schemas.openxmlformats.org/officeDocument/2006/relationships/hyperlink" Target="https://www.sec.gov/Archives/edgar/data/1699382/000095017024023062/pmvp-ex10_15.htm" TargetMode="External"/><Relationship Id="rId366" Type="http://schemas.openxmlformats.org/officeDocument/2006/relationships/hyperlink" Target="https://www.sec.gov/Archives/edgar/data/0001699382/000119312520240132/d922470dex1016.htm" TargetMode="External"/><Relationship Id="rId367" Type="http://schemas.openxmlformats.org/officeDocument/2006/relationships/hyperlink" Target="https://www.sec.gov/Archives/edgar/data/1699382/000156459022007860/pmvp-ex1017_538.htm" TargetMode="External"/><Relationship Id="rId368" Type="http://schemas.openxmlformats.org/officeDocument/2006/relationships/hyperlink" Target="https://www.sec.gov/Archives/edgar/data/1699382/000095017024093345/pmvp-ex10_1.htm" TargetMode="External"/><Relationship Id="rId369" Type="http://schemas.openxmlformats.org/officeDocument/2006/relationships/hyperlink" Target="https://www.sec.gov/Archives/edgar/data/1699382/000119312521290972/d231282dex12.htm" TargetMode="External"/><Relationship Id="rId370" Type="http://schemas.openxmlformats.org/officeDocument/2006/relationships/hyperlink" Target="https://www.sec.gov/Archives/edgar/data/1699382/000095017024023062/pmvp-ex10_22.htm" TargetMode="External"/><Relationship Id="rId371" Type="http://schemas.openxmlformats.org/officeDocument/2006/relationships/hyperlink" Target="https://www.sec.gov/Archives/edgar/data/1699382/000095017024023062/pmvp-ex10_23.htm" TargetMode="External"/><Relationship Id="rId372" Type="http://schemas.openxmlformats.org/officeDocument/2006/relationships/hyperlink" Target="https://www.sec.gov/Archives/edgar/data/1699382/000095017024023062/pmvp-ex10_24.htm" TargetMode="External"/><Relationship Id="rId373" Type="http://schemas.openxmlformats.org/officeDocument/2006/relationships/hyperlink" Target="https://www.sec.gov/Archives/edgar/data/1699382/000156459022007860/pmvp-ex211_332.htm" TargetMode="External"/><Relationship Id="rId374" Type="http://schemas.openxmlformats.org/officeDocument/2006/relationships/hyperlink" Target="https://www.sec.gov/Archives/edgar/data/1699382/000095017024023062/pmv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2025-03-03T08:02:21Z</dcterms:created>
  <dcterms:modified xsi:type="dcterms:W3CDTF">2025-03-03T08:02:21Z</dcterms:modified>
</cp:coreProperties>
</file>