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180340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3220" w:type="dxa"/>
            <w:vAlign w:val="bottom"/>
          </w:tcPr>
          <w:p>
            <w:pPr>
              <w:jc w:val="center"/>
              <w:ind w:right="821"/>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1541"/>
              <w:spacing w:after="0"/>
              <w:rPr>
                <w:sz w:val="20"/>
                <w:szCs w:val="20"/>
                <w:color w:val="auto"/>
              </w:rPr>
            </w:pPr>
            <w:r>
              <w:rPr>
                <w:rFonts w:ascii="Arial" w:cs="Arial" w:eastAsia="Arial" w:hAnsi="Arial"/>
                <w:sz w:val="18"/>
                <w:szCs w:val="18"/>
                <w:b w:val="1"/>
                <w:bCs w:val="1"/>
                <w:color w:val="auto"/>
              </w:rPr>
              <w:t>001-39539</w:t>
            </w:r>
          </w:p>
        </w:tc>
        <w:tc>
          <w:tcPr>
            <w:tcW w:w="2280" w:type="dxa"/>
            <w:vAlign w:val="bottom"/>
          </w:tcPr>
          <w:p>
            <w:pPr>
              <w:jc w:val="right"/>
              <w:ind w:right="24"/>
              <w:spacing w:after="0"/>
              <w:rPr>
                <w:sz w:val="20"/>
                <w:szCs w:val="20"/>
                <w:color w:val="auto"/>
              </w:rPr>
            </w:pPr>
            <w:r>
              <w:rPr>
                <w:rFonts w:ascii="Arial" w:cs="Arial" w:eastAsia="Arial" w:hAnsi="Arial"/>
                <w:sz w:val="18"/>
                <w:szCs w:val="18"/>
                <w:b w:val="1"/>
                <w:bCs w:val="1"/>
                <w:color w:val="auto"/>
              </w:rPr>
              <w:t>46-3218129</w:t>
            </w:r>
          </w:p>
        </w:tc>
      </w:tr>
      <w:tr>
        <w:trPr>
          <w:trHeight w:val="149"/>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41"/>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44"/>
              <w:spacing w:after="0"/>
              <w:rPr>
                <w:sz w:val="20"/>
                <w:szCs w:val="20"/>
                <w:color w:val="auto"/>
              </w:rPr>
            </w:pPr>
            <w:r>
              <w:rPr>
                <w:rFonts w:ascii="Arial" w:cs="Arial" w:eastAsia="Arial" w:hAnsi="Arial"/>
                <w:sz w:val="13"/>
                <w:szCs w:val="13"/>
                <w:b w:val="1"/>
                <w:bCs w:val="1"/>
                <w:color w:val="auto"/>
                <w:w w:val="96"/>
              </w:rPr>
              <w:t>Identification No.)</w:t>
            </w:r>
          </w:p>
        </w:tc>
      </w:tr>
      <w:tr>
        <w:trPr>
          <w:trHeight w:val="333"/>
        </w:trPr>
        <w:tc>
          <w:tcPr>
            <w:tcW w:w="3220" w:type="dxa"/>
            <w:vAlign w:val="bottom"/>
          </w:tcPr>
          <w:p>
            <w:pPr>
              <w:jc w:val="center"/>
              <w:ind w:right="841"/>
              <w:spacing w:after="0"/>
              <w:rPr>
                <w:sz w:val="20"/>
                <w:szCs w:val="20"/>
                <w:color w:val="auto"/>
              </w:rPr>
            </w:pPr>
            <w:r>
              <w:rPr>
                <w:rFonts w:ascii="Arial" w:cs="Arial" w:eastAsia="Arial" w:hAnsi="Arial"/>
                <w:sz w:val="18"/>
                <w:szCs w:val="18"/>
                <w:b w:val="1"/>
                <w:bCs w:val="1"/>
                <w:color w:val="auto"/>
                <w:w w:val="92"/>
              </w:rPr>
              <w:t>Clarke Drive, Suite 3,</w:t>
            </w:r>
          </w:p>
        </w:tc>
        <w:tc>
          <w:tcPr>
            <w:tcW w:w="36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2"/>
        </w:trPr>
        <w:tc>
          <w:tcPr>
            <w:tcW w:w="3220" w:type="dxa"/>
            <w:vAlign w:val="bottom"/>
          </w:tcPr>
          <w:p>
            <w:pPr>
              <w:jc w:val="center"/>
              <w:ind w:right="821"/>
              <w:spacing w:after="0"/>
              <w:rPr>
                <w:sz w:val="20"/>
                <w:szCs w:val="20"/>
                <w:color w:val="auto"/>
              </w:rPr>
            </w:pPr>
            <w:r>
              <w:rPr>
                <w:rFonts w:ascii="Arial" w:cs="Arial" w:eastAsia="Arial" w:hAnsi="Arial"/>
                <w:sz w:val="18"/>
                <w:szCs w:val="18"/>
                <w:b w:val="1"/>
                <w:bCs w:val="1"/>
                <w:color w:val="auto"/>
                <w:w w:val="95"/>
              </w:rPr>
              <w:t>Cranbury, NJ</w:t>
            </w:r>
          </w:p>
        </w:tc>
        <w:tc>
          <w:tcPr>
            <w:tcW w:w="3680" w:type="dxa"/>
            <w:vAlign w:val="bottom"/>
          </w:tcPr>
          <w:p>
            <w:pPr>
              <w:spacing w:after="0"/>
              <w:rPr>
                <w:sz w:val="19"/>
                <w:szCs w:val="19"/>
                <w:color w:val="auto"/>
              </w:rPr>
            </w:pPr>
          </w:p>
        </w:tc>
        <w:tc>
          <w:tcPr>
            <w:tcW w:w="2280" w:type="dxa"/>
            <w:vAlign w:val="bottom"/>
          </w:tcPr>
          <w:p>
            <w:pPr>
              <w:jc w:val="right"/>
              <w:ind w:right="244"/>
              <w:spacing w:after="0"/>
              <w:rPr>
                <w:sz w:val="20"/>
                <w:szCs w:val="20"/>
                <w:color w:val="auto"/>
              </w:rPr>
            </w:pPr>
            <w:r>
              <w:rPr>
                <w:rFonts w:ascii="Arial" w:cs="Arial" w:eastAsia="Arial" w:hAnsi="Arial"/>
                <w:sz w:val="18"/>
                <w:szCs w:val="18"/>
                <w:b w:val="1"/>
                <w:bCs w:val="1"/>
                <w:color w:val="auto"/>
              </w:rPr>
              <w:t>08512</w:t>
            </w:r>
          </w:p>
        </w:tc>
      </w:tr>
      <w:tr>
        <w:trPr>
          <w:trHeight w:val="174"/>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Arial" w:cs="Arial" w:eastAsia="Arial" w:hAnsi="Arial"/>
                <w:sz w:val="13"/>
                <w:szCs w:val="13"/>
                <w:b w:val="1"/>
                <w:bCs w:val="1"/>
                <w:color w:val="auto"/>
                <w:w w:val="96"/>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(609) 642-6670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153670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$0.00001 par value per share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PMVP</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May 14, 2021, PMV Pharmaceuticals, Inc. issued a press release announcing its financial results for the first quarter ended March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attached as Exhibit 99.1 to this Current Report on Form 8-K and is incorporated herein by reference.</w:t>
      </w:r>
    </w:p>
    <w:p>
      <w:pPr>
        <w:spacing w:after="0" w:line="211"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Exhibit</w:t>
            </w:r>
          </w:p>
        </w:tc>
        <w:tc>
          <w:tcPr>
            <w:tcW w:w="10200" w:type="dxa"/>
            <w:vAlign w:val="bottom"/>
            <w:gridSpan w:val="2"/>
            <w:vMerge w:val="restart"/>
          </w:tcPr>
          <w:p>
            <w:pPr>
              <w:ind w:left="4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Number</w:t>
            </w:r>
          </w:p>
        </w:tc>
        <w:tc>
          <w:tcPr>
            <w:tcW w:w="10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80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w w:val="85"/>
              </w:rPr>
              <w:t>99.1</w:t>
            </w:r>
          </w:p>
        </w:tc>
        <w:tc>
          <w:tcPr>
            <w:tcW w:w="240" w:type="dxa"/>
            <w:vAlign w:val="bottom"/>
          </w:tcPr>
          <w:p>
            <w:pPr>
              <w:spacing w:after="0"/>
              <w:rPr>
                <w:sz w:val="24"/>
                <w:szCs w:val="24"/>
                <w:color w:val="auto"/>
              </w:rPr>
            </w:pPr>
          </w:p>
        </w:tc>
        <w:tc>
          <w:tcPr>
            <w:tcW w:w="1020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issued by PMV Pharmaceuticals, Inc., dated May 14, 2021</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60" w:type="dxa"/>
            <w:vAlign w:val="bottom"/>
            <w:shd w:val="clear" w:color="auto" w:fill="0000EE"/>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PMV Pharmaceuticals, Inc.</w:t>
      </w:r>
    </w:p>
    <w:p>
      <w:pPr>
        <w:spacing w:after="0" w:line="252" w:lineRule="exact"/>
        <w:rPr>
          <w:sz w:val="20"/>
          <w:szCs w:val="20"/>
          <w:color w:val="auto"/>
        </w:rPr>
      </w:pPr>
    </w:p>
    <w:p>
      <w:pPr>
        <w:spacing w:after="0"/>
        <w:tabs>
          <w:tab w:leader="none" w:pos="5720" w:val="left"/>
          <w:tab w:leader="none" w:pos="800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Winston Kung</w:t>
      </w:r>
    </w:p>
    <w:p>
      <w:pPr>
        <w:spacing w:after="0" w:line="27"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Chief Operating Officer, and</w:t>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553"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99.1</w:t>
      </w:r>
    </w:p>
    <w:p>
      <w:pPr>
        <w:spacing w:after="0" w:line="188" w:lineRule="exact"/>
        <w:rPr>
          <w:sz w:val="20"/>
          <w:szCs w:val="20"/>
          <w:color w:val="auto"/>
        </w:rPr>
      </w:pPr>
    </w:p>
    <w:p>
      <w:pPr>
        <w:ind w:right="1180"/>
        <w:spacing w:after="0" w:line="281" w:lineRule="auto"/>
        <w:rPr>
          <w:sz w:val="20"/>
          <w:szCs w:val="20"/>
          <w:color w:val="auto"/>
        </w:rPr>
      </w:pPr>
      <w:r>
        <w:rPr>
          <w:rFonts w:ascii="Arial" w:cs="Arial" w:eastAsia="Arial" w:hAnsi="Arial"/>
          <w:sz w:val="43"/>
          <w:szCs w:val="43"/>
          <w:b w:val="1"/>
          <w:bCs w:val="1"/>
          <w:color w:val="auto"/>
        </w:rPr>
        <w:t>PMV Pharmaceuticals Reports First Quarter 2021 Financial Results and Corporate Highlights</w:t>
      </w:r>
    </w:p>
    <w:p>
      <w:pPr>
        <w:spacing w:after="0" w:line="190" w:lineRule="exact"/>
        <w:rPr>
          <w:sz w:val="20"/>
          <w:szCs w:val="20"/>
          <w:color w:val="auto"/>
        </w:rPr>
      </w:pPr>
    </w:p>
    <w:p>
      <w:pPr>
        <w:jc w:val="both"/>
        <w:ind w:left="880" w:hanging="440"/>
        <w:spacing w:after="0" w:line="23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2"/>
          <w:szCs w:val="22"/>
          <w:i w:val="1"/>
          <w:iCs w:val="1"/>
          <w:color w:val="auto"/>
        </w:rPr>
        <w:t>Presented late breaking preclinical data on PC14586, the Company’s first-in-class, tumor-agnostic, investigational small molecule p53 Y220C reactivator at the American Association for Cancer Research Annual Meeting 2021</w:t>
      </w:r>
    </w:p>
    <w:p>
      <w:pPr>
        <w:spacing w:after="0" w:line="1" w:lineRule="exact"/>
        <w:rPr>
          <w:rFonts w:ascii="Arial" w:cs="Arial" w:eastAsia="Arial" w:hAnsi="Arial"/>
          <w:sz w:val="18"/>
          <w:szCs w:val="18"/>
          <w:color w:val="auto"/>
        </w:rPr>
      </w:pPr>
    </w:p>
    <w:p>
      <w:pPr>
        <w:ind w:left="880" w:hanging="440"/>
        <w:spacing w:after="0" w:line="23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2"/>
          <w:szCs w:val="22"/>
          <w:i w:val="1"/>
          <w:iCs w:val="1"/>
          <w:color w:val="auto"/>
        </w:rPr>
        <w:t>Expanded Board of Directors with the appointment of Charles M. Baum, M.D., Ph.D.</w:t>
      </w: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2"/>
          <w:szCs w:val="22"/>
          <w:i w:val="1"/>
          <w:iCs w:val="1"/>
          <w:color w:val="auto"/>
        </w:rPr>
        <w:t>Appointed Guillermina (Gigi) Lozano, Ph.D. to the Scientific Advisory Board</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CRANBURY, NJ, May 14, 2021 (GLOBE NEWSWIRE) – PMV Pharmaceuticals, Inc. (Nasdaq: PMVP), a precision oncology company pioneering the discovery and development of small molecule, tumor-agnostic therapies targeting p53 mutants, today reported financial results for the quarter ended March 31, 2021 and provided corporate highlights.</w:t>
      </w:r>
    </w:p>
    <w:p>
      <w:pPr>
        <w:spacing w:after="0" w:line="19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“PMV had a successful first quarter. We continued to advance our clinical and discovery programs, and our presentation at AACR provided compelling evidence that PC14586 selectively reactivates the p53 Y220C mutant protein, both in vitro and in vivo,” said David Mack, Ph.D., President and Chief Executive Officer. “Enrollment in our Phase 1/2 trial of PC14586, our first in class p53 Y220C reactivator, is progressing as planned. We are also thrilled to have welcomed Chuck Baum to our Board and Gigi Lozano to our SAB and look forward to leveraging their deep expertise in precision therapeutics and genetic drivers of cancer.”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Highlights:</w:t>
      </w:r>
    </w:p>
    <w:p>
      <w:pPr>
        <w:spacing w:after="0" w:line="232" w:lineRule="exact"/>
        <w:rPr>
          <w:sz w:val="20"/>
          <w:szCs w:val="20"/>
          <w:color w:val="auto"/>
        </w:rPr>
      </w:pPr>
    </w:p>
    <w:p>
      <w:pPr>
        <w:jc w:val="both"/>
        <w:ind w:left="760" w:hanging="442"/>
        <w:spacing w:after="0" w:line="23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22"/>
          <w:szCs w:val="22"/>
          <w:color w:val="auto"/>
        </w:rPr>
        <w:t>In March 2021, PMV Pharma presented late breaking preclinical data on PC14586, the Company’s first-in-class, tumor-agnostic, investigational small molecule p53 Y220C reactivator at the American Association for Cancer Research Annual Meeting 2021. The Oral presentation titled, “PC14586: The First Orally Bioavailable Small Molecule Reactivator of Y220C Mutant p53 in Clinical Development” was given by Melissa L. Dumble, Ph.D., Vice President Preclinical Development and Translational Science of PMV.</w:t>
      </w:r>
    </w:p>
    <w:p>
      <w:pPr>
        <w:spacing w:after="0" w:line="2" w:lineRule="exact"/>
        <w:rPr>
          <w:rFonts w:ascii="Arial" w:cs="Arial" w:eastAsia="Arial" w:hAnsi="Arial"/>
          <w:sz w:val="18"/>
          <w:szCs w:val="18"/>
          <w:color w:val="auto"/>
        </w:rPr>
      </w:pPr>
    </w:p>
    <w:p>
      <w:pPr>
        <w:jc w:val="both"/>
        <w:ind w:left="760" w:hanging="442"/>
        <w:spacing w:after="0" w:line="23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22"/>
          <w:szCs w:val="22"/>
          <w:color w:val="auto"/>
        </w:rPr>
        <w:t>PMV Pharma continued to enroll patients in the Phase 1 portion of a Phase 1/2 clinical trial of PC14586 (NCT04585750). PC14586 is being developed for the treatment of patients with locally advanced or metastatic solid tumors that have a p53 Y220C mutation.</w:t>
      </w:r>
    </w:p>
    <w:p>
      <w:pPr>
        <w:spacing w:after="0" w:line="1" w:lineRule="exact"/>
        <w:rPr>
          <w:rFonts w:ascii="Arial" w:cs="Arial" w:eastAsia="Arial" w:hAnsi="Arial"/>
          <w:sz w:val="18"/>
          <w:szCs w:val="18"/>
          <w:color w:val="auto"/>
        </w:rPr>
      </w:pPr>
    </w:p>
    <w:p>
      <w:pPr>
        <w:ind w:left="760" w:hanging="442"/>
        <w:spacing w:after="0" w:line="23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22"/>
          <w:szCs w:val="22"/>
          <w:color w:val="auto"/>
        </w:rPr>
        <w:t>Appointment of Charles Baum, M.D., Ph.D., to the Board of Directors. Dr. Baum is the President and Chief Executive Officer and a Board Member of Mirati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ind w:left="760" w:hanging="442"/>
        <w:spacing w:after="0" w:line="230"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22"/>
          <w:szCs w:val="22"/>
          <w:color w:val="auto"/>
        </w:rPr>
        <w:t>Expanded Scientific Advisory Board with the appointment of p53 pioneer Dr. Guillermina (Gigi) Lozano, Professor and Chair, Department of Genetics, MD Anderson Cancer Center.</w:t>
      </w:r>
    </w:p>
    <w:p>
      <w:pPr>
        <w:spacing w:after="0" w:line="1" w:lineRule="exact"/>
        <w:rPr>
          <w:rFonts w:ascii="Arial" w:cs="Arial" w:eastAsia="Arial" w:hAnsi="Arial"/>
          <w:sz w:val="18"/>
          <w:szCs w:val="18"/>
          <w:color w:val="auto"/>
        </w:rPr>
      </w:pPr>
    </w:p>
    <w:p>
      <w:pPr>
        <w:ind w:left="760" w:hanging="442"/>
        <w:spacing w:after="0" w:line="23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22"/>
          <w:szCs w:val="22"/>
          <w:color w:val="auto"/>
        </w:rPr>
        <w:t>PMV Pharma is the process of relocating to a state-of-the-art laboratory and office building located in Princeton, NJ.</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2021 Financial Results</w:t>
      </w:r>
    </w:p>
    <w:p>
      <w:pPr>
        <w:spacing w:after="0" w:line="232" w:lineRule="exact"/>
        <w:rPr>
          <w:sz w:val="20"/>
          <w:szCs w:val="20"/>
          <w:color w:val="auto"/>
        </w:rPr>
      </w:pPr>
    </w:p>
    <w:p>
      <w:pPr>
        <w:jc w:val="both"/>
        <w:ind w:left="760" w:hanging="442"/>
        <w:spacing w:after="0" w:line="230"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22"/>
          <w:szCs w:val="22"/>
          <w:color w:val="auto"/>
        </w:rPr>
        <w:t>PMV Pharma ended the fourth quarter with $348.4 million in cash, cash equivalents, and marketable securities, compared to $361.4 million as of December 31, 2020. Net cash used in operations was $12.9 million for the three months ended March 31, 2021 compared to $8.1 million for the three months ended March 31, 2020.</w:t>
      </w:r>
    </w:p>
    <w:p>
      <w:pPr>
        <w:spacing w:after="0" w:line="2" w:lineRule="exact"/>
        <w:rPr>
          <w:rFonts w:ascii="Arial" w:cs="Arial" w:eastAsia="Arial" w:hAnsi="Arial"/>
          <w:sz w:val="18"/>
          <w:szCs w:val="18"/>
          <w:color w:val="auto"/>
        </w:rPr>
      </w:pPr>
    </w:p>
    <w:p>
      <w:pPr>
        <w:ind w:left="760" w:right="20" w:hanging="442"/>
        <w:spacing w:after="0" w:line="230"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22"/>
          <w:szCs w:val="22"/>
          <w:color w:val="auto"/>
        </w:rPr>
        <w:t>Net loss for the quarter ended March 31, 2021 was $11.6 million compared to $7.3 million for the quarter ended March 31, 2020.</w:t>
      </w:r>
    </w:p>
    <w:p>
      <w:pPr>
        <w:spacing w:after="0" w:line="1" w:lineRule="exact"/>
        <w:rPr>
          <w:rFonts w:ascii="Arial" w:cs="Arial" w:eastAsia="Arial" w:hAnsi="Arial"/>
          <w:sz w:val="18"/>
          <w:szCs w:val="18"/>
          <w:color w:val="auto"/>
        </w:rPr>
      </w:pPr>
    </w:p>
    <w:p>
      <w:pPr>
        <w:jc w:val="both"/>
        <w:ind w:left="760" w:hanging="442"/>
        <w:spacing w:after="0" w:line="230"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22"/>
          <w:szCs w:val="22"/>
          <w:color w:val="auto"/>
        </w:rPr>
        <w:t>Research and development (R&amp;D) expenses were $7.5 million for the three months ended March 31, 2021 compared to $6.0 million for the three months ended March 31, 2020. The increase in R&amp;D expenses was primarily related to increased headcount and clinical expenses for advancing development of PC14586, the Company’s lead drug candidate.</w:t>
      </w:r>
    </w:p>
    <w:p>
      <w:pPr>
        <w:spacing w:after="0" w:line="2" w:lineRule="exact"/>
        <w:rPr>
          <w:rFonts w:ascii="Arial" w:cs="Arial" w:eastAsia="Arial" w:hAnsi="Arial"/>
          <w:sz w:val="18"/>
          <w:szCs w:val="18"/>
          <w:color w:val="auto"/>
        </w:rPr>
      </w:pPr>
    </w:p>
    <w:p>
      <w:pPr>
        <w:jc w:val="both"/>
        <w:ind w:left="760" w:hanging="442"/>
        <w:spacing w:after="0" w:line="235"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22"/>
          <w:szCs w:val="22"/>
          <w:color w:val="auto"/>
        </w:rPr>
        <w:t>General and administrative (G&amp;A) expenses were $4.2 million for the three months ended March 31, 2021, compared to $1.7 million for the three months ended March 31, 2020. The increase in G&amp;A expenses was primarily due to expanding the infrastructure necessary for operating as a public company.</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p53</w:t>
      </w:r>
    </w:p>
    <w:p>
      <w:pPr>
        <w:spacing w:after="0" w:line="23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p53 plays a pivotal role in preventing abnormal cells from becoming a tumor by inducing programmed cell death. Mutant p53 takes on oncogenic properties that endow cancer cells with a growth advantage and resistance to anti-cancer therapy. The p53 Y220C mutation is associated with many cancers, including but not limited to breast, non-small cell lung cancer, colorectal, pancreatic, and ovarian cancers.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PC14586</w:t>
      </w:r>
    </w:p>
    <w:p>
      <w:pPr>
        <w:spacing w:after="0" w:line="23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PC14586 is a first-in-class, small molecule, p53 reactivator designed to selectively bind to the crevice present in the p53 Y220C mutant protein, hence, restoring the wild-type, or normal, p53 protein structure and tumor suppressing function. PC14586 is being developed for the treatment of patients with locally advanced or metastatic solid tumors that have the p53 Y220C mutation and has been granted Fast Track designation by the U.S. FDA.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PMV Pharma</w:t>
      </w:r>
    </w:p>
    <w:p>
      <w:pPr>
        <w:spacing w:after="0" w:line="23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PMV Pharma is a precision oncology company pioneering the discovery and development of small molecule, tumor-agnostic therapies targeting p53 mutants. p53 mutations are found in approximately half of all cancers. The field of p53 biology was established by our co-founder Dr. Arnold Levine when he discovered the p53 protein in 1979. Bringing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 w:name="page6"/>
    <w:bookmarkEnd w:id="5"/>
    <w:p>
      <w:pPr>
        <w:jc w:val="both"/>
        <w:ind w:right="20"/>
        <w:spacing w:after="0" w:line="235" w:lineRule="auto"/>
        <w:rPr>
          <w:sz w:val="20"/>
          <w:szCs w:val="20"/>
          <w:color w:val="auto"/>
        </w:rPr>
      </w:pPr>
      <w:r>
        <w:rPr>
          <w:rFonts w:ascii="Arial" w:cs="Arial" w:eastAsia="Arial" w:hAnsi="Arial"/>
          <w:sz w:val="22"/>
          <w:szCs w:val="22"/>
          <w:color w:val="auto"/>
        </w:rPr>
        <w:t xml:space="preserve">together leaders in the field to utilize over four decades of p53 biology, PMV Pharma combines unique biological understanding with pharmaceutical development focus. PMV Pharma is headquartered in Cranbury, New Jersey. For more information, please visit </w:t>
      </w:r>
      <w:r>
        <w:rPr>
          <w:rFonts w:ascii="Arial" w:cs="Arial" w:eastAsia="Arial" w:hAnsi="Arial"/>
          <w:sz w:val="22"/>
          <w:szCs w:val="22"/>
          <w:b w:val="1"/>
          <w:bCs w:val="1"/>
          <w:u w:val="single" w:color="auto"/>
          <w:color w:val="auto"/>
        </w:rPr>
        <w:t>www.pmvpharma.com</w:t>
      </w:r>
      <w:r>
        <w:rPr>
          <w:rFonts w:ascii="Arial" w:cs="Arial" w:eastAsia="Arial" w:hAnsi="Arial"/>
          <w:sz w:val="22"/>
          <w:szCs w:val="22"/>
          <w:b w:val="1"/>
          <w:bCs w:val="1"/>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2"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expectations regarding the timing for patient enrollment and success of its current clinical trial for PC14586; the future plans or expectations for the Company’s discovery platform; and the period over which the Company estimates its existing cash and cash equivalents will be sufficient to fund its current operating plan.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an early clinical stage company, the potential for clinical trials of PC14586 or any future clinical trials of other product candidates to differ from preclinical, preliminary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 Annual Report on Form 10-K filed with the Securities and Exchange Commission (the “SEC”) on March 3, 2021, the Company’s Quarterly Report on Form 10-Q filed with the SEC on May 14, 2021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2"/>
          <w:szCs w:val="22"/>
          <w:b w:val="1"/>
          <w:bCs w:val="1"/>
          <w:color w:val="auto"/>
        </w:rPr>
        <w:t>PMV Pharmaceuticals, Inc.</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Balance Sheet Data</w:t>
      </w:r>
    </w:p>
    <w:p>
      <w:pPr>
        <w:jc w:val="center"/>
        <w:ind w:right="20"/>
        <w:spacing w:after="0"/>
        <w:rPr>
          <w:sz w:val="20"/>
          <w:szCs w:val="20"/>
          <w:color w:val="auto"/>
        </w:rPr>
      </w:pPr>
      <w:r>
        <w:rPr>
          <w:rFonts w:ascii="Arial" w:cs="Arial" w:eastAsia="Arial" w:hAnsi="Arial"/>
          <w:sz w:val="22"/>
          <w:szCs w:val="22"/>
          <w:b w:val="1"/>
          <w:bCs w:val="1"/>
          <w:color w:val="auto"/>
        </w:rPr>
        <w:t>(unaudited,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7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208,783</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60"/>
              <w:spacing w:after="0"/>
              <w:rPr>
                <w:sz w:val="20"/>
                <w:szCs w:val="20"/>
                <w:color w:val="auto"/>
              </w:rPr>
            </w:pPr>
            <w:r>
              <w:rPr>
                <w:rFonts w:ascii="Arial" w:cs="Arial" w:eastAsia="Arial" w:hAnsi="Arial"/>
                <w:sz w:val="18"/>
                <w:szCs w:val="18"/>
                <w:color w:val="auto"/>
              </w:rPr>
              <w:t>Marketable securities, current</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122,706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334,953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364,761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Marketable securities, noncurrent</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operating leases</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4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4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354,393</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365,531</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Liabilities, Convertible Preferred Stock, and Stockholders’ Equity</w:t>
            </w: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7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1,252</w:t>
            </w:r>
          </w:p>
        </w:tc>
        <w:tc>
          <w:tcPr>
            <w:tcW w:w="30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60"/>
              <w:spacing w:after="0"/>
              <w:rPr>
                <w:sz w:val="20"/>
                <w:szCs w:val="20"/>
                <w:color w:val="auto"/>
              </w:rPr>
            </w:pPr>
            <w:r>
              <w:rPr>
                <w:rFonts w:ascii="Arial" w:cs="Arial" w:eastAsia="Arial" w:hAnsi="Arial"/>
                <w:sz w:val="18"/>
                <w:szCs w:val="18"/>
                <w:color w:val="auto"/>
              </w:rPr>
              <w:t>Operating lease liability, current</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Operating lease liability, noncurrent</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4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6,098</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Stockholders’ equity:</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469,790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469,001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(121,482)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4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348,295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359,121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4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354,393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3"/>
        </w:trPr>
        <w:tc>
          <w:tcPr>
            <w:tcW w:w="62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PMV Pharmaceuticals,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Statements of Operations and Comprehensive Loss</w:t>
      </w:r>
    </w:p>
    <w:p>
      <w:pPr>
        <w:jc w:val="center"/>
        <w:spacing w:after="0"/>
        <w:rPr>
          <w:sz w:val="20"/>
          <w:szCs w:val="20"/>
          <w:color w:val="auto"/>
        </w:rPr>
      </w:pPr>
      <w:r>
        <w:rPr>
          <w:rFonts w:ascii="Arial" w:cs="Arial" w:eastAsia="Arial" w:hAnsi="Arial"/>
          <w:sz w:val="22"/>
          <w:szCs w:val="22"/>
          <w:b w:val="1"/>
          <w:bCs w:val="1"/>
          <w:color w:val="auto"/>
        </w:rPr>
        <w:t>(unaudited, 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55"/>
        </w:trPr>
        <w:tc>
          <w:tcPr>
            <w:tcW w:w="6620" w:type="dxa"/>
            <w:vAlign w:val="bottom"/>
            <w:tcBorders>
              <w:bottom w:val="single" w:sz="8" w:color="CFF0FC"/>
            </w:tcBorders>
          </w:tcPr>
          <w:p>
            <w:pPr>
              <w:spacing w:after="0"/>
              <w:rPr>
                <w:sz w:val="13"/>
                <w:szCs w:val="13"/>
                <w:color w:val="auto"/>
              </w:rPr>
            </w:pPr>
          </w:p>
        </w:tc>
        <w:tc>
          <w:tcPr>
            <w:tcW w:w="19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9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9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operations</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Other income (expense):</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w:t>
            </w:r>
          </w:p>
        </w:tc>
        <w:tc>
          <w:tcPr>
            <w:tcW w:w="19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9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gains (losses) on marketable securities, net of tax</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63"/>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loss</w:t>
            </w:r>
          </w:p>
        </w:tc>
        <w:tc>
          <w:tcPr>
            <w:tcW w:w="19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 per share -- basic and diluted</w:t>
            </w:r>
          </w:p>
        </w:tc>
        <w:tc>
          <w:tcPr>
            <w:tcW w:w="19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260"/>
              <w:spacing w:after="0"/>
              <w:rPr>
                <w:sz w:val="20"/>
                <w:szCs w:val="20"/>
                <w:color w:val="auto"/>
              </w:rPr>
            </w:pPr>
            <w:r>
              <w:rPr>
                <w:rFonts w:ascii="Arial" w:cs="Arial" w:eastAsia="Arial" w:hAnsi="Arial"/>
                <w:sz w:val="18"/>
                <w:szCs w:val="18"/>
                <w:color w:val="auto"/>
              </w:rPr>
              <w:t>Weighted-average common shares outstanding</w:t>
            </w: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44,785,226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For Investors &amp; Media:</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Winston Kung</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3AFFD"/>
        </w:rPr>
        <w:t>investors@pmvpharma.com</w:t>
      </w:r>
    </w:p>
    <w:sectPr>
      <w:pgSz w:w="11900" w:h="16838" w:orient="portrait"/>
      <w:cols w:equalWidth="0" w:num="1">
        <w:col w:w="11240"/>
      </w:cols>
      <w:pgMar w:left="320" w:top="5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2021-05-14T12:12:03Z</dcterms:created>
  <dcterms:modified xsi:type="dcterms:W3CDTF">2021-05-14T12:12:03Z</dcterms:modified>
</cp:coreProperties>
</file>