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178435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highlight w:val="black"/>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§240.14a-11(c) or §240.14a-2</w:t>
      </w:r>
    </w:p>
    <w:p>
      <w:pPr>
        <w:spacing w:after="0" w:line="23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8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374015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151130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210820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102870</wp:posOffset>
            </wp:positionV>
            <wp:extent cx="3394710"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400 Alexander Park Drive, Suite 301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642-6670</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PMV Pharmaceuticals,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pleased to invite you to attend the 2025 annual meeting of stockholders of PMV Pharmaceuticals, Inc.</w:t>
      </w:r>
    </w:p>
    <w:p>
      <w:pPr>
        <w:spacing w:after="0" w:line="27" w:lineRule="exact"/>
        <w:rPr>
          <w:sz w:val="20"/>
          <w:szCs w:val="20"/>
          <w:color w:val="auto"/>
        </w:rPr>
      </w:pPr>
    </w:p>
    <w:p>
      <w:pPr>
        <w:ind w:left="300" w:right="439"/>
        <w:spacing w:after="0" w:line="250" w:lineRule="auto"/>
        <w:rPr>
          <w:sz w:val="20"/>
          <w:szCs w:val="20"/>
          <w:color w:val="auto"/>
        </w:rPr>
      </w:pPr>
      <w:r>
        <w:rPr>
          <w:rFonts w:ascii="Times New Roman" w:cs="Times New Roman" w:eastAsia="Times New Roman" w:hAnsi="Times New Roman"/>
          <w:sz w:val="18"/>
          <w:szCs w:val="18"/>
          <w:color w:val="auto"/>
        </w:rPr>
        <w:t>(the “Annual Meeting”) to be held on Thursday, June 5, 2025 at 10:00 a.m., Eastern. The Annual Meeting will be a virtual meeting conducted exclusively via the Internet. There will not be a physical meeting location, and stockholders will not be able to attend the Annual Meeting in person. Details regarding admission to the</w:t>
      </w:r>
    </w:p>
    <w:p>
      <w:pPr>
        <w:spacing w:after="0" w:line="1"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18"/>
          <w:szCs w:val="18"/>
          <w:color w:val="auto"/>
        </w:rPr>
        <w:t>Annual Meeting and the business to be conducted are more fully described in the accompanying Notice of Annual Meeting of Stockholders and proxy statement.</w:t>
      </w:r>
    </w:p>
    <w:p>
      <w:pPr>
        <w:spacing w:after="0" w:line="73"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spacing w:after="0" w:line="75"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We are also pleased to furnish proxy materials to stockholders primarily over the Internet. This process expedites stockholders’ receipt of proxy materials, while lowering the costs of our Annual Meeting and conserving natural resources. On or around April 25, 2025, we will mail our stockholders a notice containing instructions on how to access our proxy materials and Annual Report for the fiscal year ended December 31, 2024 and vote online. The notice also provides instructions on how to vote online, by phone or by mail, and includes instructions on how you can receive a paper copy of proxy materials by mail.</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year’s Annual Meeting, the agenda includes the following proposals: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Arnold Levine, Ph.D. and Charles M. Baum, M.D., Ph.D. as Class II directors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of our named executive officers</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 accounting firm</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50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PMV Pharmaceuticals.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1088390"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08540</w:t>
            </w: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1700" w:type="dxa"/>
            <w:vAlign w:val="bottom"/>
          </w:tcPr>
          <w:p>
            <w:pPr>
              <w:spacing w:after="0"/>
              <w:rPr>
                <w:sz w:val="18"/>
                <w:szCs w:val="18"/>
                <w:color w:val="auto"/>
              </w:rPr>
            </w:pPr>
          </w:p>
        </w:tc>
        <w:tc>
          <w:tcPr>
            <w:tcW w:w="6700" w:type="dxa"/>
            <w:vAlign w:val="bottom"/>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r>
      <w:tr>
        <w:trPr>
          <w:trHeight w:val="238"/>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JUNE 5, 2025</w:t>
            </w:r>
          </w:p>
        </w:tc>
      </w:tr>
      <w:tr>
        <w:trPr>
          <w:trHeight w:val="268"/>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Time and Date</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10:00 a.m., Eastern, on Thursday, June 5, 2025.</w:t>
            </w:r>
          </w:p>
        </w:tc>
      </w:tr>
      <w:tr>
        <w:trPr>
          <w:trHeight w:val="405"/>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www.virtualshareholdermeeting.com/PMVP2025</w:t>
            </w:r>
          </w:p>
        </w:tc>
      </w:tr>
      <w:tr>
        <w:trPr>
          <w:trHeight w:val="382"/>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Items of Business</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1.   To elect two Class II directors, Arnold Levine, Ph.D. and Charles M. Baum,</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M.D., Ph.D., to hold office until our 2028 annual meeting of stockholders and until their</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respective successors are elected and qualified;</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approve, on a non-binding advisory basis, the compensation of our named executive</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officers;</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ratify the appointment of Ernst &amp; Young LLP as our independent registered public</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accounting firm for our fiscal year ending December 31, 2025; and</w:t>
            </w:r>
          </w:p>
        </w:tc>
      </w:tr>
      <w:tr>
        <w:trPr>
          <w:trHeight w:val="203"/>
        </w:trPr>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4.</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conduct any other business properly brought before the Annual Meeting and any</w:t>
            </w:r>
          </w:p>
        </w:tc>
      </w:tr>
      <w:tr>
        <w:trPr>
          <w:trHeight w:val="226"/>
        </w:trPr>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adjournment or postponement thereof.</w:t>
            </w: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Adjournment and</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Any action on the items of business described above may be considered at the Annual</w:t>
            </w:r>
          </w:p>
        </w:tc>
      </w:tr>
      <w:tr>
        <w:trPr>
          <w:trHeight w:val="204"/>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Postponements</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Meeting at the time and on the date specified above or at any time and date to which the</w:t>
            </w:r>
          </w:p>
        </w:tc>
      </w:tr>
      <w:tr>
        <w:trPr>
          <w:trHeight w:val="226"/>
        </w:trPr>
        <w:tc>
          <w:tcPr>
            <w:tcW w:w="1700" w:type="dxa"/>
            <w:vAlign w:val="bottom"/>
          </w:tcPr>
          <w:p>
            <w:pPr>
              <w:spacing w:after="0"/>
              <w:rPr>
                <w:sz w:val="19"/>
                <w:szCs w:val="19"/>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Annual Meeting may be properly adjourned or postponed.</w:t>
            </w:r>
          </w:p>
        </w:tc>
      </w:tr>
      <w:tr>
        <w:trPr>
          <w:trHeight w:val="382"/>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You are entitled to notice of and to vote at the Annual Meeting and at any adjournment or</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postponement that may take place only if you were a stockholder as of the close of business</w:t>
            </w:r>
          </w:p>
        </w:tc>
      </w:tr>
      <w:tr>
        <w:trPr>
          <w:trHeight w:val="226"/>
        </w:trPr>
        <w:tc>
          <w:tcPr>
            <w:tcW w:w="1700" w:type="dxa"/>
            <w:vAlign w:val="bottom"/>
          </w:tcPr>
          <w:p>
            <w:pPr>
              <w:spacing w:after="0"/>
              <w:rPr>
                <w:sz w:val="19"/>
                <w:szCs w:val="19"/>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on April 8, 2025.</w:t>
            </w: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Availability of Proxy</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i w:val="1"/>
                <w:iCs w:val="1"/>
                <w:color w:val="auto"/>
              </w:rPr>
              <w:t>The Notice of Internet Availability of Proxy Materials containing instructions on how to</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Materials ad Annual</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i w:val="1"/>
                <w:iCs w:val="1"/>
                <w:color w:val="auto"/>
              </w:rPr>
              <w:t>access our proxy statement, notice of annual meeting, form of proxy and our annual report, is</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Report</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i w:val="1"/>
                <w:iCs w:val="1"/>
                <w:color w:val="auto"/>
              </w:rPr>
              <w:t>first being sent or given on or about April 25, 2025 to all stockholders entitled to vote at the</w:t>
            </w:r>
          </w:p>
        </w:tc>
      </w:tr>
      <w:tr>
        <w:trPr>
          <w:trHeight w:val="228"/>
        </w:trPr>
        <w:tc>
          <w:tcPr>
            <w:tcW w:w="1700" w:type="dxa"/>
            <w:vAlign w:val="bottom"/>
          </w:tcPr>
          <w:p>
            <w:pPr>
              <w:spacing w:after="0"/>
              <w:rPr>
                <w:sz w:val="19"/>
                <w:szCs w:val="19"/>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w:t>
            </w:r>
          </w:p>
        </w:tc>
      </w:tr>
      <w:tr>
        <w:trPr>
          <w:trHeight w:val="405"/>
        </w:trPr>
        <w:tc>
          <w:tcPr>
            <w:tcW w:w="1700" w:type="dxa"/>
            <w:vAlign w:val="bottom"/>
          </w:tcPr>
          <w:p>
            <w:pPr>
              <w:spacing w:after="0"/>
              <w:rPr>
                <w:sz w:val="24"/>
                <w:szCs w:val="24"/>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The proxy materials and our annual report can be accessed by visiting ir.pmvpharma.com.</w:t>
            </w:r>
          </w:p>
        </w:tc>
      </w:tr>
      <w:tr>
        <w:trPr>
          <w:trHeight w:val="382"/>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Annual Meeting, we</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encourage you to read this proxy statement and submit your proxy or voting instructions as</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soon as possible. You may submit your proxy or voting instruction card for the Annual</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Meeting by completing, signing, dating and returning your proxy or voting instruction card in</w:t>
            </w:r>
          </w:p>
        </w:tc>
      </w:tr>
      <w:tr>
        <w:trPr>
          <w:trHeight w:val="200"/>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the pre-addressed envelope provided, or, in most cases, by using the Internet. For specific</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instructions on how to vote your shares, please refer to the section entitled “</w:t>
            </w:r>
            <w:r>
              <w:rPr>
                <w:rFonts w:ascii="Times New Roman" w:cs="Times New Roman" w:eastAsia="Times New Roman" w:hAnsi="Times New Roman"/>
                <w:sz w:val="17"/>
                <w:szCs w:val="17"/>
                <w:i w:val="1"/>
                <w:iCs w:val="1"/>
                <w:color w:val="auto"/>
              </w:rPr>
              <w:t>Questions and</w:t>
            </w:r>
          </w:p>
        </w:tc>
      </w:tr>
      <w:tr>
        <w:trPr>
          <w:trHeight w:val="189"/>
        </w:trPr>
        <w:tc>
          <w:tcPr>
            <w:tcW w:w="1700" w:type="dxa"/>
            <w:vAlign w:val="bottom"/>
          </w:tcPr>
          <w:p>
            <w:pPr>
              <w:spacing w:after="0"/>
              <w:rPr>
                <w:sz w:val="16"/>
                <w:szCs w:val="16"/>
                <w:color w:val="auto"/>
              </w:rPr>
            </w:pPr>
          </w:p>
        </w:tc>
        <w:tc>
          <w:tcPr>
            <w:tcW w:w="6700" w:type="dxa"/>
            <w:vAlign w:val="bottom"/>
            <w:gridSpan w:val="4"/>
          </w:tcPr>
          <w:p>
            <w:pPr>
              <w:ind w:left="220"/>
              <w:spacing w:after="0" w:line="189" w:lineRule="exact"/>
              <w:rPr>
                <w:sz w:val="20"/>
                <w:szCs w:val="20"/>
                <w:color w:val="auto"/>
              </w:rPr>
            </w:pPr>
            <w:r>
              <w:rPr>
                <w:rFonts w:ascii="Times New Roman" w:cs="Times New Roman" w:eastAsia="Times New Roman" w:hAnsi="Times New Roman"/>
                <w:sz w:val="17"/>
                <w:szCs w:val="17"/>
                <w:i w:val="1"/>
                <w:iCs w:val="1"/>
                <w:color w:val="auto"/>
              </w:rPr>
              <w:t>Answers About the Proxy Materials and our Annual Meeting</w:t>
            </w:r>
            <w:r>
              <w:rPr>
                <w:rFonts w:ascii="Times New Roman" w:cs="Times New Roman" w:eastAsia="Times New Roman" w:hAnsi="Times New Roman"/>
                <w:sz w:val="17"/>
                <w:szCs w:val="17"/>
                <w:color w:val="auto"/>
              </w:rPr>
              <w:t>” beginning on page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0000EE"/>
              </w:rPr>
              <w:t>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w:t>
            </w:r>
          </w:p>
        </w:tc>
      </w:tr>
      <w:tr>
        <w:trPr>
          <w:trHeight w:val="20"/>
        </w:trPr>
        <w:tc>
          <w:tcPr>
            <w:tcW w:w="170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8"/>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accompanying proxy statement and the instructions on the proxy or voting instruction card.</w:t>
            </w:r>
          </w:p>
        </w:tc>
      </w:tr>
      <w:tr>
        <w:trPr>
          <w:trHeight w:val="203"/>
        </w:trPr>
        <w:tc>
          <w:tcPr>
            <w:tcW w:w="1700" w:type="dxa"/>
            <w:vAlign w:val="bottom"/>
          </w:tcPr>
          <w:p>
            <w:pPr>
              <w:spacing w:after="0"/>
              <w:rPr>
                <w:sz w:val="17"/>
                <w:szCs w:val="17"/>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You can revoke a proxy prior to its exercise at the Annual Meeting by following the</w:t>
            </w:r>
          </w:p>
        </w:tc>
      </w:tr>
      <w:tr>
        <w:trPr>
          <w:trHeight w:val="226"/>
        </w:trPr>
        <w:tc>
          <w:tcPr>
            <w:tcW w:w="1700" w:type="dxa"/>
            <w:vAlign w:val="bottom"/>
          </w:tcPr>
          <w:p>
            <w:pPr>
              <w:spacing w:after="0"/>
              <w:rPr>
                <w:sz w:val="19"/>
                <w:szCs w:val="19"/>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instructions in the accompanying proxy statement.</w:t>
            </w:r>
          </w:p>
        </w:tc>
      </w:tr>
    </w:tbl>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31127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Robert Ticktin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Corporate Secretary and Head of Operations</w:t>
      </w:r>
    </w:p>
    <w:p>
      <w:pPr>
        <w:spacing w:after="0" w:line="149" w:lineRule="exact"/>
        <w:rPr>
          <w:sz w:val="20"/>
          <w:szCs w:val="20"/>
          <w:color w:val="auto"/>
        </w:rPr>
      </w:pPr>
    </w:p>
    <w:p>
      <w:pPr>
        <w:ind w:left="1880" w:right="1939" w:firstLine="176"/>
        <w:spacing w:after="0" w:line="263"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5, 2025:</w:t>
      </w:r>
    </w:p>
    <w:p>
      <w:pPr>
        <w:spacing w:after="0" w:line="1" w:lineRule="exact"/>
        <w:rPr>
          <w:sz w:val="20"/>
          <w:szCs w:val="20"/>
          <w:color w:val="auto"/>
        </w:rPr>
      </w:pPr>
    </w:p>
    <w:p>
      <w:pPr>
        <w:jc w:val="center"/>
        <w:ind w:left="300" w:right="359"/>
        <w:spacing w:after="0" w:line="255" w:lineRule="auto"/>
        <w:rPr>
          <w:sz w:val="20"/>
          <w:szCs w:val="20"/>
          <w:color w:val="auto"/>
        </w:rPr>
      </w:pPr>
      <w:r>
        <w:rPr>
          <w:rFonts w:ascii="Times New Roman" w:cs="Times New Roman" w:eastAsia="Times New Roman" w:hAnsi="Times New Roman"/>
          <w:sz w:val="18"/>
          <w:szCs w:val="18"/>
          <w:b w:val="1"/>
          <w:bCs w:val="1"/>
          <w:color w:val="auto"/>
        </w:rPr>
        <w:t>This Notice of 2025 Annual Stockholders’ Meeting and Proxy Statement and Fiscal Year 2024 Annual Report on Form 10-K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7620" w:type="dxa"/>
            <w:vAlign w:val="bottom"/>
            <w:gridSpan w:val="4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PROXY MATERIALS AND OUR ANNUAL MEETING</w:t>
            </w: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6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DIRECTORS AND CORPORATE GOVERNANCE</w:t>
            </w:r>
          </w:p>
        </w:tc>
        <w:tc>
          <w:tcPr>
            <w:tcW w:w="500" w:type="dxa"/>
            <w:vAlign w:val="bottom"/>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Nominees for Election to a Three-Year Term Ending at the 2028 Annual Meeting</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Continuing in Office</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Diversity Matrix</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6300" w:type="dxa"/>
            <w:vAlign w:val="bottom"/>
            <w:gridSpan w:val="35"/>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Committees and Meetings</w:t>
            </w:r>
          </w:p>
        </w:tc>
        <w:tc>
          <w:tcPr>
            <w:tcW w:w="2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Identifying and Evaluating Director Nominees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5340" w:type="dxa"/>
            <w:vAlign w:val="bottom"/>
            <w:gridSpan w:val="2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Role of Independent Compensation Consultant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Stockholder Recommendations and Nominations to our Board of Directors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2560" w:type="dxa"/>
            <w:vAlign w:val="bottom"/>
            <w:gridSpan w:val="6"/>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5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2420" w:type="dxa"/>
            <w:vAlign w:val="bottom"/>
            <w:gridSpan w:val="4"/>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5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420" w:type="dxa"/>
            <w:vAlign w:val="bottom"/>
            <w:gridSpan w:val="4"/>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Outside Director Compensation Policy</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w w:val="99"/>
              </w:rPr>
              <w:t>Scientific &amp; Clinical Advisory Boards</w:t>
            </w:r>
          </w:p>
        </w:tc>
        <w:tc>
          <w:tcPr>
            <w:tcW w:w="5160" w:type="dxa"/>
            <w:vAlign w:val="bottom"/>
            <w:gridSpan w:val="2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Environmental, Social and Governance (ESG) Initiatives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5720" w:type="dxa"/>
            <w:vAlign w:val="bottom"/>
            <w:gridSpan w:val="30"/>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2024 Bonus Plan</w:t>
            </w:r>
          </w:p>
        </w:tc>
        <w:tc>
          <w:tcPr>
            <w:tcW w:w="5720" w:type="dxa"/>
            <w:vAlign w:val="bottom"/>
            <w:gridSpan w:val="3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6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Employment Arrangements with our Named Executive Officers</w:t>
            </w:r>
          </w:p>
        </w:tc>
        <w:tc>
          <w:tcPr>
            <w:tcW w:w="3340" w:type="dxa"/>
            <w:vAlign w:val="bottom"/>
            <w:gridSpan w:val="8"/>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60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Grants of Plan-Based Awards for Fiscal 2024</w:t>
            </w:r>
          </w:p>
        </w:tc>
        <w:tc>
          <w:tcPr>
            <w:tcW w:w="3340" w:type="dxa"/>
            <w:vAlign w:val="bottom"/>
            <w:gridSpan w:val="8"/>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Fiscal 2024 Year-End</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401(k) Plan</w:t>
            </w:r>
          </w:p>
        </w:tc>
        <w:tc>
          <w:tcPr>
            <w:tcW w:w="4180" w:type="dxa"/>
            <w:vAlign w:val="bottom"/>
            <w:gridSpan w:val="14"/>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2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3660" w:type="dxa"/>
            <w:vAlign w:val="bottom"/>
            <w:gridSpan w:val="10"/>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2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Policies and Procedures</w:t>
            </w:r>
          </w:p>
        </w:tc>
        <w:tc>
          <w:tcPr>
            <w:tcW w:w="3660" w:type="dxa"/>
            <w:vAlign w:val="bottom"/>
            <w:gridSpan w:val="1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Policies and Practices for Granting Certain Equity Awards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7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6180" w:type="dxa"/>
            <w:vAlign w:val="bottom"/>
            <w:gridSpan w:val="33"/>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BENEFICIAL OWNERSHIP OF SHARES OF COMMON STOCK</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9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200" w:type="dxa"/>
            <w:vAlign w:val="bottom"/>
            <w:gridSpan w:val="7"/>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Related Party Transactions Policy</w:t>
            </w:r>
          </w:p>
        </w:tc>
        <w:tc>
          <w:tcPr>
            <w:tcW w:w="2540" w:type="dxa"/>
            <w:vAlign w:val="bottom"/>
            <w:gridSpan w:val="5"/>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Transactions and Relationships with Directors, Officers and 5% Stockholders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PROPOSAL NO. 1: ELECTION OF CLASS II DIRECTORS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of Directors; Board Structure</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Nominees</w:t>
            </w:r>
          </w:p>
        </w:tc>
        <w:tc>
          <w:tcPr>
            <w:tcW w:w="5220" w:type="dxa"/>
            <w:vAlign w:val="bottom"/>
            <w:gridSpan w:val="25"/>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20"/>
        </w:trPr>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PROPOSAL NO. 2: NON-BINDING ADVISORY VOTE TO APPROVE THE COMPENSATION OF OUR</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260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NAMED EXECUTIVE OFFICERS</w:t>
            </w:r>
          </w:p>
        </w:tc>
        <w:tc>
          <w:tcPr>
            <w:tcW w:w="5080" w:type="dxa"/>
            <w:vAlign w:val="bottom"/>
            <w:tcBorders>
              <w:top w:val="single" w:sz="8" w:color="0000EE"/>
            </w:tcBorders>
            <w:gridSpan w:val="7"/>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6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5340" w:type="dxa"/>
            <w:vAlign w:val="bottom"/>
            <w:gridSpan w:val="8"/>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700" w:type="dxa"/>
            <w:vAlign w:val="bottom"/>
            <w:tcBorders>
              <w:bottom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3: RATIFICATION OF APPOINTMENT OF INDEPENDENT REGISTERED PUBLIC</w:t>
            </w:r>
          </w:p>
        </w:tc>
        <w:tc>
          <w:tcPr>
            <w:tcW w:w="4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3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and Audit-Related Fees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Auditor Independence</w:t>
            </w:r>
          </w:p>
        </w:tc>
        <w:tc>
          <w:tcPr>
            <w:tcW w:w="5800" w:type="dxa"/>
            <w:vAlign w:val="bottom"/>
            <w:gridSpan w:val="9"/>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Policy on Pre-Approval of Audit and Permissible Non-Audit Services of Independent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440" w:type="dxa"/>
            <w:vAlign w:val="bottom"/>
            <w:tcBorders>
              <w:top w:val="single" w:sz="8" w:color="0000EE"/>
            </w:tcBorders>
            <w:gridSpan w:val="1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50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38</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6660" w:type="dxa"/>
            <w:vAlign w:val="bottom"/>
            <w:gridSpan w:val="14"/>
            <w:shd w:val="clear" w:color="auto" w:fill="CCEEFF"/>
          </w:tcPr>
          <w:p>
            <w:pPr>
              <w:spacing w:after="0"/>
              <w:rPr>
                <w:sz w:val="16"/>
                <w:szCs w:val="16"/>
                <w:color w:val="auto"/>
              </w:rPr>
            </w:pP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Stockholder Proposals or Director Nominations for 2026 Annual Meeting</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3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Availability of Amended and Restated Bylaws</w:t>
            </w:r>
          </w:p>
        </w:tc>
        <w:tc>
          <w:tcPr>
            <w:tcW w:w="4600" w:type="dxa"/>
            <w:vAlign w:val="bottom"/>
            <w:gridSpan w:val="5"/>
            <w:shd w:val="clear" w:color="auto" w:fill="CCEEFF"/>
          </w:tcPr>
          <w:p>
            <w:pPr>
              <w:spacing w:after="0"/>
              <w:rPr>
                <w:sz w:val="16"/>
                <w:szCs w:val="16"/>
                <w:color w:val="auto"/>
              </w:rPr>
            </w:pP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3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2024 Annual Report</w:t>
            </w:r>
          </w:p>
        </w:tc>
        <w:tc>
          <w:tcPr>
            <w:tcW w:w="4600" w:type="dxa"/>
            <w:vAlign w:val="bottom"/>
            <w:gridSpan w:val="5"/>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40</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 2025 ANNUAL MEETING OF STOCKHOLDERS</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To be held at 10:00 am, Eastern, on Thursday, June 5, 2025</w:t>
      </w:r>
    </w:p>
    <w:p>
      <w:pPr>
        <w:spacing w:after="0" w:line="99" w:lineRule="exact"/>
        <w:rPr>
          <w:sz w:val="20"/>
          <w:szCs w:val="20"/>
          <w:color w:val="auto"/>
        </w:rPr>
      </w:pPr>
    </w:p>
    <w:p>
      <w:pPr>
        <w:ind w:left="300" w:right="339"/>
        <w:spacing w:after="0" w:line="312" w:lineRule="auto"/>
        <w:rPr>
          <w:sz w:val="20"/>
          <w:szCs w:val="20"/>
          <w:color w:val="auto"/>
        </w:rPr>
      </w:pPr>
      <w:r>
        <w:rPr>
          <w:rFonts w:ascii="Times New Roman" w:cs="Times New Roman" w:eastAsia="Times New Roman" w:hAnsi="Times New Roman"/>
          <w:sz w:val="17"/>
          <w:szCs w:val="17"/>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2025 Annual Meeting of Stockholders (the “Annual Meeting”) which will take place on Thursday, June 5, 2025 at 10:00 a.m., Eastern.</w:t>
      </w:r>
    </w:p>
    <w:p>
      <w:pPr>
        <w:spacing w:after="0" w:line="179"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printed proxy materials?</w:t>
      </w:r>
    </w:p>
    <w:p>
      <w:pPr>
        <w:spacing w:after="0" w:line="5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Pursuant to the “notice and access” rules adopted by the U.S. Securities and Exchange Commission (the “SEC”), we have elected to provide stockholders access to our proxy materials over the Internet. Accordingly, we sent a Notice of Internet Availability of Proxy Materials (the “Notice”) to all of our stockholders as of April 8, 2025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stockholders to vote on the following proposals to:</w:t>
      </w:r>
    </w:p>
    <w:p>
      <w:pPr>
        <w:spacing w:after="0" w:line="11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Arnold Levine, Ph.D. and Charles M. Baum, M.D., Ph.D. as Class II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our independent registered public accounting firm for the fiscal year ending December 31, 2025;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Annual Meeting.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Arnold Levine, Ph.D. and Charles M. Baum, M.D., Ph.D. as Class II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Holders of our common stock as of the Record Date are entitled to receive the Notice and may vote their shares at the Annual Meeting. As of the Record Date, there were 51,951,761 shares of our common stock outstanding. Each share of common stock is entitled to one vote on each matter properly brought before the Annual Meeting. Stockholders are not permitted to cumulate votes with respect to the election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75"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p>
      <w:pPr>
        <w:spacing w:after="0" w:line="66" w:lineRule="exact"/>
        <w:rPr>
          <w:sz w:val="20"/>
          <w:szCs w:val="20"/>
          <w:color w:val="auto"/>
        </w:rPr>
      </w:pPr>
    </w:p>
    <w:p>
      <w:pPr>
        <w:ind w:left="1000" w:right="4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by following the instructions provided in the Notice or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5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can vote by telephone by following the instructions in the Notice or if you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you can vote by mailing your proxy card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w:t>
      </w:r>
    </w:p>
    <w:p>
      <w:pPr>
        <w:spacing w:after="0" w:line="5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If you are a stockholder as of the Record Date, you may vote online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by following the provided instructions to join the Annual Meeting at www.virtualshareholdermeeting.com/PMVP2025, starting at 10:00 a.m., Eastern, on Thursday, June 5, 2025.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p>
      <w:pPr>
        <w:spacing w:after="0" w:line="7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In order to be counted, proxies submitted by telephone or Internet must be received by 11:59 p.m., Eastern, on Wednesday, June 4, 2025. If you vote by telephone or Internet, you do not need to return your proxy card or voting instruction card. Proxies submitted by mail must be received before the start of the virtual Annual Meeting. 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w:t>
      </w:r>
    </w:p>
    <w:p>
      <w:pPr>
        <w:spacing w:after="0" w:line="18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What happens if I decide to attend the virtual Annual Meeting, but I have already voted or submitted a proxy covering my shares?</w:t>
      </w:r>
    </w:p>
    <w:p>
      <w:pPr>
        <w:spacing w:after="0" w:line="5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You may still attend the virtual Annual Meeting. Please be aware that attendance at the Annual Meeting will not, by itself, revoke a proxy.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shareholders. You will be able to attend the Annual Meeting, vote and submit your questions during the Annual Meeting via live webcast by visiting www.virtualshareholdermeeting.com/PMVP2025.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We have decided to hold the Annual Meeting virtually this year and there will not be a physical location for attending the 2025 Annual Meeting. We believe that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all while reducing the environmental impact of the Annual Meeting.</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77"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49" w:lineRule="exact"/>
        <w:rPr>
          <w:sz w:val="20"/>
          <w:szCs w:val="20"/>
          <w:color w:val="auto"/>
        </w:rPr>
      </w:pPr>
    </w:p>
    <w:p>
      <w:pPr>
        <w:ind w:left="300" w:right="659"/>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4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Class II director nominee named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for our fiscal year ending December 31, 2025.</w:t>
      </w:r>
    </w:p>
    <w:p>
      <w:pPr>
        <w:spacing w:after="0" w:line="5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5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2025.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can change your vote or revoke your proxy before the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99" w:lineRule="exact"/>
        <w:rPr>
          <w:sz w:val="20"/>
          <w:szCs w:val="20"/>
          <w:color w:val="auto"/>
        </w:rPr>
      </w:pPr>
    </w:p>
    <w:p>
      <w:pPr>
        <w:ind w:left="1000" w:right="5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PMV Pharmaceuticals, Inc.,</w:t>
      </w:r>
    </w:p>
    <w:p>
      <w:pPr>
        <w:spacing w:after="0" w:line="27" w:lineRule="exact"/>
        <w:rPr>
          <w:rFonts w:ascii="Times New Roman" w:cs="Times New Roman" w:eastAsia="Times New Roman" w:hAnsi="Times New Roman"/>
          <w:sz w:val="18"/>
          <w:szCs w:val="18"/>
          <w:color w:val="auto"/>
        </w:rPr>
      </w:pPr>
    </w:p>
    <w:p>
      <w:pPr>
        <w:ind w:left="1000" w:right="3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Alexander Park Drive, Suite 301, Princeton, New Jersey 08540, Attention: Corporate Secretary, which must be received prior to the Annual Meeting.</w:t>
      </w:r>
    </w:p>
    <w:p>
      <w:pPr>
        <w:spacing w:after="0" w:line="71" w:lineRule="exact"/>
        <w:rPr>
          <w:sz w:val="20"/>
          <w:szCs w:val="20"/>
          <w:color w:val="auto"/>
        </w:rPr>
      </w:pPr>
    </w:p>
    <w:p>
      <w:pPr>
        <w:ind w:left="300" w:right="339"/>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with instructions on how to change or revoke your proxy.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121" w:lineRule="exact"/>
        <w:rPr>
          <w:sz w:val="20"/>
          <w:szCs w:val="20"/>
          <w:color w:val="auto"/>
        </w:rPr>
      </w:pPr>
    </w:p>
    <w:p>
      <w:pPr>
        <w:jc w:val="both"/>
        <w:ind w:left="300" w:right="779"/>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Thursday, June 5, 2025.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stockholder can attend the virtual Annual Meeting live online at www.virtualshareholdermeeting.com/PMVP2025. The meeting will start at 10:00 a.m., Eastern, on Thursday, June 5, 2025. Stockholders attending the virtual Annual Meeting will be afforded the same rights and opportunities to participate as they would at an in-person meeting.</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spacing w:after="0" w:line="8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www.virtualshareholdermeeting.com/PMVP2025 using your 16-digit control number, click on the “</w:t>
      </w:r>
      <w:r>
        <w:rPr>
          <w:rFonts w:ascii="Times New Roman" w:cs="Times New Roman" w:eastAsia="Times New Roman" w:hAnsi="Times New Roman"/>
          <w:sz w:val="18"/>
          <w:szCs w:val="18"/>
          <w:b w:val="1"/>
          <w:bCs w:val="1"/>
          <w:i w:val="1"/>
          <w:iCs w:val="1"/>
          <w:color w:val="auto"/>
        </w:rPr>
        <w:t>Q&amp;A</w:t>
      </w:r>
      <w:r>
        <w:rPr>
          <w:rFonts w:ascii="Times New Roman" w:cs="Times New Roman" w:eastAsia="Times New Roman" w:hAnsi="Times New Roman"/>
          <w:sz w:val="18"/>
          <w:szCs w:val="18"/>
          <w:color w:val="auto"/>
        </w:rPr>
        <w:t>” button to open the panel, enter your question in the field labelled “</w:t>
      </w:r>
      <w:r>
        <w:rPr>
          <w:rFonts w:ascii="Times New Roman" w:cs="Times New Roman" w:eastAsia="Times New Roman" w:hAnsi="Times New Roman"/>
          <w:sz w:val="18"/>
          <w:szCs w:val="18"/>
          <w:b w:val="1"/>
          <w:bCs w:val="1"/>
          <w:i w:val="1"/>
          <w:iCs w:val="1"/>
          <w:color w:val="auto"/>
        </w:rPr>
        <w:t>ASK a question</w:t>
      </w:r>
      <w:r>
        <w:rPr>
          <w:rFonts w:ascii="Times New Roman" w:cs="Times New Roman" w:eastAsia="Times New Roman" w:hAnsi="Times New Roman"/>
          <w:sz w:val="18"/>
          <w:szCs w:val="18"/>
          <w:color w:val="auto"/>
        </w:rPr>
        <w:t>” and click “</w:t>
      </w:r>
      <w:r>
        <w:rPr>
          <w:rFonts w:ascii="Times New Roman" w:cs="Times New Roman" w:eastAsia="Times New Roman" w:hAnsi="Times New Roman"/>
          <w:sz w:val="18"/>
          <w:szCs w:val="18"/>
          <w:b w:val="1"/>
          <w:bCs w:val="1"/>
          <w:i w:val="1"/>
          <w:iCs w:val="1"/>
          <w:color w:val="auto"/>
        </w:rPr>
        <w:t>SUBMIT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8" w:lineRule="exact"/>
        <w:rPr>
          <w:sz w:val="20"/>
          <w:szCs w:val="20"/>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or by calling the toll-free number listed there during the Annual Meeting.</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David H. Mack, Ph.D.,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 and/or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change my mind after I vote my shares?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before it is exercised by:</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Corporate Secretary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delivery of a valid, later-dated proxy or a later-dated vote on the Internet; 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virtual Annual Meeting; however, simply attending the virtual meeting will not, by itself, revoke your proxy.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you should follow the instructions of your bank, broker or other nominee to change or revoke your voting instructions. You may also vote in person at the Annual Meeting if you obtain a legal proxy as described in the answer to the previous question.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Proxies are solicited on behalf of the Company and our board of directors. David H. Mack, Ph.D., our President, Chief Executive Officer and Director, and Michael Carulli,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online during the Annual Meeting at www.virtualshareholdermeeting.com/PMVP2025,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 400 Alexander Park Drive, Suite 301, Princeton, New Jersey 08540, by contacting the Corporate Secretary of the Company.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are required to approve the proposals being voted upon at the Annual Meeting?</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r>
      <w:tr>
        <w:trPr>
          <w:trHeight w:val="23"/>
        </w:trPr>
        <w:tc>
          <w:tcPr>
            <w:tcW w:w="14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Plurality of votes cast</w:t>
            </w: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30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234"/>
        </w:trPr>
        <w:tc>
          <w:tcPr>
            <w:tcW w:w="140" w:type="dxa"/>
            <w:vAlign w:val="bottom"/>
          </w:tcPr>
          <w:p>
            <w:pPr>
              <w:spacing w:after="0"/>
              <w:rPr>
                <w:sz w:val="20"/>
                <w:szCs w:val="20"/>
                <w:color w:val="auto"/>
              </w:rPr>
            </w:pP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firm for fiscal year 2025</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ind w:left="300" w:right="619"/>
        <w:spacing w:after="0" w:line="256" w:lineRule="auto"/>
        <w:rPr>
          <w:sz w:val="20"/>
          <w:szCs w:val="20"/>
          <w:color w:val="auto"/>
        </w:rPr>
      </w:pPr>
      <w:r>
        <w:rPr>
          <w:rFonts w:ascii="Times New Roman" w:cs="Times New Roman" w:eastAsia="Times New Roman" w:hAnsi="Times New Roman"/>
          <w:sz w:val="18"/>
          <w:szCs w:val="18"/>
          <w:color w:val="auto"/>
        </w:rPr>
        <w:t>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PMV Pharmaceuticals has designated Lou Larsen, a representative from Broadridge Financial Solutions, Inc., as the Inspector of Election who will tabulate the votes.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contact PMV Pharmaceuticals’ transfer agent?</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You may contact our transfer agent, Equiniti Trust Company, LLC, by telephone at (800) 937-5449, or by writing Equiniti Trust Company, LLC, at 55 Challenger Road, 2nd Floor, Ridgefield Park, New Jersey 07660.</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printed proxy materials?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w:t>
      </w:r>
    </w:p>
    <w:p>
      <w:pPr>
        <w:spacing w:after="0" w:line="334" w:lineRule="exact"/>
        <w:rPr>
          <w:sz w:val="20"/>
          <w:szCs w:val="20"/>
          <w:color w:val="auto"/>
        </w:rPr>
      </w:pPr>
    </w:p>
    <w:p>
      <w:pPr>
        <w:ind w:left="300" w:right="339"/>
        <w:spacing w:after="0" w:line="317" w:lineRule="auto"/>
        <w:rPr>
          <w:sz w:val="20"/>
          <w:szCs w:val="20"/>
          <w:color w:val="auto"/>
        </w:rPr>
      </w:pPr>
      <w:r>
        <w:rPr>
          <w:rFonts w:ascii="Times New Roman" w:cs="Times New Roman" w:eastAsia="Times New Roman" w:hAnsi="Times New Roman"/>
          <w:sz w:val="17"/>
          <w:szCs w:val="17"/>
          <w:b w:val="1"/>
          <w:bCs w:val="1"/>
          <w:color w:val="auto"/>
        </w:rPr>
        <w:t>I share an address with another stockholder, and we received only one copy of the Notice or proxy statement and annual report. How may I obtain an additional copy of the Notice or proxy statement and annual report?</w:t>
      </w:r>
    </w:p>
    <w:p>
      <w:pPr>
        <w:spacing w:after="0" w:line="28"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Tel: (609) 642-6670</w:t>
      </w:r>
    </w:p>
    <w:p>
      <w:pPr>
        <w:spacing w:after="0" w:line="99"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CORPORATE GOVERNANCE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75" w:lineRule="exact"/>
        <w:rPr>
          <w:sz w:val="20"/>
          <w:szCs w:val="20"/>
          <w:color w:val="auto"/>
        </w:rPr>
      </w:pPr>
    </w:p>
    <w:p>
      <w:pPr>
        <w:ind w:left="300" w:right="739"/>
        <w:spacing w:after="0" w:line="266"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the nominees and the additional members of our board of directors (including the skills and qualifications that led to the conclusion that they should serve as directors) are set forth below.</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Term</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Which</w:t>
            </w:r>
          </w:p>
        </w:tc>
      </w:tr>
      <w:tr>
        <w:trPr>
          <w:trHeight w:val="170"/>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w:t>
            </w: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20" w:type="dxa"/>
            <w:vAlign w:val="bottom"/>
          </w:tcPr>
          <w:p>
            <w:pPr>
              <w:spacing w:after="0"/>
              <w:rPr>
                <w:sz w:val="14"/>
                <w:szCs w:val="14"/>
                <w:color w:val="auto"/>
              </w:rPr>
            </w:pPr>
          </w:p>
        </w:tc>
        <w:tc>
          <w:tcPr>
            <w:tcW w:w="23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Since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Expires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Nominated</w:t>
            </w:r>
          </w:p>
        </w:tc>
      </w:tr>
      <w:tr>
        <w:trPr>
          <w:trHeight w:val="29"/>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Nominees for Director</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1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85</w:t>
            </w: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2013</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2025</w:t>
            </w:r>
          </w:p>
        </w:tc>
        <w:tc>
          <w:tcPr>
            <w:tcW w:w="760" w:type="dxa"/>
            <w:vAlign w:val="bottom"/>
            <w:gridSpan w:val="2"/>
          </w:tcPr>
          <w:p>
            <w:pPr>
              <w:jc w:val="right"/>
              <w:ind w:right="86"/>
              <w:spacing w:after="0"/>
              <w:rPr>
                <w:sz w:val="20"/>
                <w:szCs w:val="20"/>
                <w:color w:val="auto"/>
              </w:rPr>
            </w:pPr>
            <w:r>
              <w:rPr>
                <w:rFonts w:ascii="Times New Roman" w:cs="Times New Roman" w:eastAsia="Times New Roman" w:hAnsi="Times New Roman"/>
                <w:sz w:val="16"/>
                <w:szCs w:val="16"/>
                <w:color w:val="auto"/>
              </w:rPr>
              <w:t>2028</w:t>
            </w: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r>
      <w:tr>
        <w:trPr>
          <w:trHeight w:val="283"/>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Charles M. Baum, M.D., Ph.D.</w:t>
            </w:r>
            <w:r>
              <w:rPr>
                <w:rFonts w:ascii="Times New Roman" w:cs="Times New Roman" w:eastAsia="Times New Roman" w:hAnsi="Times New Roman"/>
                <w:sz w:val="26"/>
                <w:szCs w:val="26"/>
                <w:color w:val="auto"/>
                <w:vertAlign w:val="superscript"/>
              </w:rPr>
              <w:t>(2)(3)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67</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2021</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2025</w:t>
            </w:r>
          </w:p>
        </w:tc>
        <w:tc>
          <w:tcPr>
            <w:tcW w:w="7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2028</w:t>
            </w:r>
          </w:p>
        </w:tc>
      </w:tr>
      <w:tr>
        <w:trPr>
          <w:trHeight w:val="243"/>
        </w:trPr>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83"/>
        </w:trPr>
        <w:tc>
          <w:tcPr>
            <w:tcW w:w="2580" w:type="dxa"/>
            <w:vAlign w:val="bottom"/>
          </w:tcPr>
          <w:p>
            <w:pPr>
              <w:spacing w:after="0" w:line="283" w:lineRule="exact"/>
              <w:rPr>
                <w:sz w:val="20"/>
                <w:szCs w:val="20"/>
                <w:color w:val="auto"/>
              </w:rPr>
            </w:pPr>
            <w:r>
              <w:rPr>
                <w:rFonts w:ascii="Times New Roman" w:cs="Times New Roman" w:eastAsia="Times New Roman" w:hAnsi="Times New Roman"/>
                <w:sz w:val="16"/>
                <w:szCs w:val="16"/>
                <w:color w:val="auto"/>
              </w:rPr>
              <w:t>Kirsten Flowers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50</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Carol Gallagher, Pharm.D.</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David H. Mack, Ph.D.</w:t>
            </w:r>
          </w:p>
        </w:tc>
        <w:tc>
          <w:tcPr>
            <w:tcW w:w="12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63</w:t>
            </w:r>
          </w:p>
        </w:tc>
        <w:tc>
          <w:tcPr>
            <w:tcW w:w="1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2013</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7"/>
                <w:szCs w:val="17"/>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and Class III Director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83"/>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Richard Heyman, Ph.D.</w:t>
            </w:r>
            <w:r>
              <w:rPr>
                <w:rFonts w:ascii="Times New Roman" w:cs="Times New Roman" w:eastAsia="Times New Roman" w:hAnsi="Times New Roman"/>
                <w:sz w:val="26"/>
                <w:szCs w:val="26"/>
                <w:color w:val="auto"/>
                <w:vertAlign w:val="superscript"/>
              </w:rPr>
              <w:t>(1)(2)(3)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67</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Chairperson and Class III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355"/>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Laurie Stelzer</w:t>
            </w:r>
            <w:r>
              <w:rPr>
                <w:rFonts w:ascii="Times New Roman" w:cs="Times New Roman" w:eastAsia="Times New Roman" w:hAnsi="Times New Roman"/>
                <w:sz w:val="26"/>
                <w:szCs w:val="26"/>
                <w:color w:val="auto"/>
                <w:vertAlign w:val="superscript"/>
              </w:rPr>
              <w:t>(1)(2)</w:t>
            </w: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Class III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117475</wp:posOffset>
            </wp:positionV>
            <wp:extent cx="822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9"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Ending at the 2028 Annual Meeting</w:t>
      </w:r>
    </w:p>
    <w:p>
      <w:pPr>
        <w:spacing w:after="0" w:line="117"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Arnold Levine, Ph.D. </w:t>
      </w:r>
      <w:r>
        <w:rPr>
          <w:rFonts w:ascii="Times New Roman" w:cs="Times New Roman" w:eastAsia="Times New Roman" w:hAnsi="Times New Roman"/>
          <w:sz w:val="18"/>
          <w:szCs w:val="18"/>
          <w:color w:val="auto"/>
        </w:rPr>
        <w:t>has served as a member of our board of directors since June 2013. Since 2011, Dr. Levine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currently serves on the board of directors of GeneCentric Therapeutics, a private biomarker producer, and serves on the scientific advisory board of Chugai Pharmabody Research, a subsidiary of Chugai Pharmaceutical focused on utilizing proprietary antibody engineering technologies. Dr. Levine previously was a member of the board of directors of Adaptive Biotechnologies (Nasdaq: ADPT), a commercial-stage biotechnology company, and Meira GTX (Nasdaq: MGTX), a clinical-stage gene therapy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M. Baum, M.D., Ph.D. </w:t>
      </w:r>
      <w:r>
        <w:rPr>
          <w:rFonts w:ascii="Times New Roman" w:cs="Times New Roman" w:eastAsia="Times New Roman" w:hAnsi="Times New Roman"/>
          <w:sz w:val="18"/>
          <w:szCs w:val="18"/>
          <w:color w:val="auto"/>
        </w:rPr>
        <w:t>has served as a member of our board of directors since April 2021. Since July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Baum has served as the Chief Executive Officer and board member of Terremoto Biosciences, Inc., a biotechnology company. Previously, Dr. Baum was the Founder, President and Chief Executive Officer of Mirati Therapeutics, Inc. (Nasdaq: MRTX), a commercial stage biotechnology company (“Mirati”), from November 2012 to September 2021, and also from August 2023 through January 2024, when Mirati was acquired by Briston-Myers-Squibb Company (NYSE: BMY), a multinational pharmaceutical company (“Bristol”). Dr. Baum also served as Mirati’s President, Founder and Head of Research and Development from September 2021 to August 2023, and was a board member from November 2012 to January 2024 when Mirati was acquired by Bristol. Dr. Baum currently serves on the board of directors of Acrivon Therapeutics, Inc. (Nasdaq: ACRV), a clinical-stage biopharmaceutical company. Previously, Dr. Baum served on the board of directors of Poseida Therapeutics, Inc. (Nasdaq: PSTX), a clinical-stage biopharmaceutical company, from May 2022 to January 2025, when PSTX was acquired by Roche Genentech. From June 2003 to September 2012, Dr. Baum worked at Pfizer Inc. (NYSE: PFE), a biopharmaceutical company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&amp; Co., Inc. (NYSE: MRK)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received his M.D. and 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Kirsten Flowers </w:t>
      </w:r>
      <w:r>
        <w:rPr>
          <w:rFonts w:ascii="Times New Roman" w:cs="Times New Roman" w:eastAsia="Times New Roman" w:hAnsi="Times New Roman"/>
          <w:sz w:val="18"/>
          <w:szCs w:val="18"/>
          <w:color w:val="auto"/>
        </w:rPr>
        <w:t>has served as a member of our board of directors since January 2022. Since June 2024,</w:t>
      </w:r>
    </w:p>
    <w:p>
      <w:pPr>
        <w:spacing w:after="0" w:line="3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Ms. Flowers has served as the Chief Executive Officer and co-founder of Chiara Biosciences, Inc., a platform and therapeutics company leveraging a differentiated approach to targeted protein degradation. Ms. Flowers previously served as the Chief Commercial &amp; Corporate Strategy Officer of Kura Oncology, Inc. (Nasdaq: KURA), a clinical-stage biopharmaceutical company, from July 2022 to January 2023 and also served as its Chief Commercial Officer from January 2020 to June 2022. From September 2021 to June 2024, she served as a member of the board of directors of Comera Life Sciences (Nasdaq: CMRA) (formerly Reform Biologics Inc.), a biologic formulations company. Prior to joining Kura Oncology, Inc., Ms. Flowers was the Senior Vice President of Commercial Operations at Array Biopharma, Inc. (acquired by Pfizer) from April 2018 to October 2019 and was the Vice President of Global Marketing from August 2017 to April 2018. Previously, Ms. Flowers was at Pfizer and held several leadership positions, including Group Leader for the United States oncology business. Ms. Flowers has more than 25 years of pharmaceutical and biotech experience. Ms. Flowers received her B.S. in Molecular &amp; Cellular Biology / Psychology from the University of Arizona and her M.B.A. from Harvard Business School. We believe that Ms. Flowers is qualified to serve on our board of directors because of her extensive executive and commercial experience in the biopharmaceutical and biotechnology industries.</w:t>
      </w:r>
    </w:p>
    <w:p>
      <w:pPr>
        <w:spacing w:after="0" w:line="79"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Carol Gallagher, Pharm.D. </w:t>
      </w:r>
      <w:r>
        <w:rPr>
          <w:rFonts w:ascii="Times New Roman" w:cs="Times New Roman" w:eastAsia="Times New Roman" w:hAnsi="Times New Roman"/>
          <w:sz w:val="17"/>
          <w:szCs w:val="17"/>
          <w:color w:val="auto"/>
        </w:rPr>
        <w:t>has served as a member of our board of directors since November 2022. Dr. Gallagher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serves on the board of directors of Atara Biotherapeutics, Inc. (Nasdaq: ATRA), an allogeneic T-cell immunotherapy company. Previously, Dr. Gallagher served on the boards of directors at Anaptys Bio Inc. (Nasdaq: ANAB) from 2011 until 2018, Tempest Therapeutics (formerly Millendo Therapeutics, Inc.) (Nasdaq: TPST) from 2012 until 2021, Annexon, Inc. (Nasdaq: ANNX) from 2018 to February 2021, Turning Point Therapeutics, Inc. from July 2019 until its acquisition by Bristol in August 2022, Certara, Inc. (Nasdaq: CERT) from June 2021 to April 2022,</w:t>
      </w:r>
    </w:p>
    <w:p>
      <w:pPr>
        <w:spacing w:after="0" w:line="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Frazier Life Sciences Acquisition Corp. (Nasdaq: FLAC), a special purpose acquisition company (currently, Nasdaq: NAMS), from October 2020 until December 2022, and Mirati from June 2023 until its acquisition by Bristol in January 2024. From October 2014 to December 2023, Dr. Gallagher served as a partner, venture partner and venture advisor at New Enterprise Associates, a venture capital firm. Prior to joining New Enterprise Associates, Dr. Gallagher served as a venture partner with Frazier Healthcare, a venture capital firm, from October 2013 to September 2014. Dr. Gallagher served as the President and Chief Executive Officer of Calistoga Pharmaceuticals, a biopharmaceutical company, from 2008 to 2011, when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company was acquired by Gilead Sciences, Inc. (Nasdaq: GILD), a biopharmaceutical company. From 2007 to 2008, Dr. Gallagher was the President and Chief Executive Officer of Metastatix, Inc., a biopharmaceutical company. Prior to that time starting in 1989, she served in various roles at pharmaceutical companies, including at Eli Lilly and Company (NYSE: LLY), a multinational pharmaceutical company, Amgen, Inc. (Nasdaq: AMGN), a global biopharmaceutical company (“Amgen”), and Pfizer. Dr. Gallagher attended Vanderbilt University and holds a B.S. and Doctor of Pharmacy degrees from the University of Kentucky. We believe that Dr. Gallagher is qualified to serve on our board of directors due to her extensive experience in the pharmaceuticals industry, her leadership and management experience, and her service as a director of other biopharmaceutical companies.</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 Mack, Ph.D. </w:t>
      </w:r>
      <w:r>
        <w:rPr>
          <w:rFonts w:ascii="Times New Roman" w:cs="Times New Roman" w:eastAsia="Times New Roman" w:hAnsi="Times New Roman"/>
          <w:sz w:val="18"/>
          <w:szCs w:val="18"/>
          <w:color w:val="auto"/>
        </w:rPr>
        <w:t>has served as a member of our board of directors since June 2013 and as our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July 2013. Previously, Dr. Mack was a general partner at Alta Partners, a venture capital firm focusing on investments in biotechnology and life sciences companies, from 2002 to 2013.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77" w:lineRule="exact"/>
        <w:rPr>
          <w:sz w:val="20"/>
          <w:szCs w:val="20"/>
          <w:color w:val="auto"/>
        </w:rPr>
      </w:pPr>
    </w:p>
    <w:p>
      <w:pPr>
        <w:ind w:left="300" w:right="29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Richard Heyman, Ph.D. </w:t>
      </w:r>
      <w:r>
        <w:rPr>
          <w:rFonts w:ascii="Times New Roman" w:cs="Times New Roman" w:eastAsia="Times New Roman" w:hAnsi="Times New Roman"/>
          <w:sz w:val="17"/>
          <w:szCs w:val="17"/>
          <w:color w:val="auto"/>
        </w:rPr>
        <w:t>has served as a member of our board of directors and as our Chairperson since June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Heyman is the co-founder of ORIC Pharmaceuticals (Nasdaq: ORIC), a clinical-stage biopharmaceutical company (“ORIC”). Dr. Heyman has served on ORIC’s board of directors since March 2015 and was appointed to the chairman role in May 2018. From March 2021 through February 2023, Dr. Heyman served as chairman of Enliven Therapeutics, Inc. (Nasdaq: ELVN), a pharmaceutical company (“Enliven”), until its merger with Imara Inc., and since February 2023, has served as a member of Enliven’s board of directors. Dr. Heyman also serves as a member of the board of Vividion Therapeutics, a biopharmaceutical company, which was acquired in August 2021 by Bayer AG. Dr. Heyman served as Chairman of the board of directors of RayzeBio, Inc., a biopharmaceutical company, which was acquired in February 2024 by Bristol and Amunix Pharmaceuticals, an immuno-oncology company, which was acquired by Sanofi S.A. in December 2021. Previously, Dr. Heyman was the co-founder and Chief Executive Officer of Aragon Pharmaceuticals, a biotechnology company which was acquired by Johnson &amp; Johnson (NYSE: JNJ), a multinational pharmaceutical, biotechnology and medical device company, in August 2013, and Seragon Pharmaceuticals, a pharmaceuticals company which was acquired by Roche Genentech in August 2014. Dr. Heyman has been involved in the discovery and development of multiple therapeutic agents approved by the</w:t>
      </w:r>
    </w:p>
    <w:p>
      <w:pPr>
        <w:spacing w:after="0" w:line="2" w:lineRule="exact"/>
        <w:rPr>
          <w:sz w:val="20"/>
          <w:szCs w:val="20"/>
          <w:color w:val="auto"/>
        </w:rPr>
      </w:pPr>
    </w:p>
    <w:p>
      <w:pPr>
        <w:ind w:left="300" w:right="379"/>
        <w:spacing w:after="0" w:line="242" w:lineRule="auto"/>
        <w:rPr>
          <w:sz w:val="20"/>
          <w:szCs w:val="20"/>
          <w:color w:val="auto"/>
        </w:rPr>
      </w:pPr>
      <w:r>
        <w:rPr>
          <w:rFonts w:ascii="Times New Roman" w:cs="Times New Roman" w:eastAsia="Times New Roman" w:hAnsi="Times New Roman"/>
          <w:sz w:val="18"/>
          <w:szCs w:val="18"/>
          <w:color w:val="auto"/>
        </w:rPr>
        <w:t>U.S. Food and Drug Administration, including the prostate cancer drug, Erleada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Since 2019, Dr. Heyman has served as a Venture Partner for Arch Ventures, a venture capital firm. Dr. Heyman is also Vice Chair of the Board of Trustees at the Salk Institute for Biological Studies and serves on the Board Foundation for the American Association for Cancer Research and on the board at the University of California at San Diego (“UCSD”) Moores Cancer Center. Previously, Dr. Heyman served on the board of directors of Gritstone bio, Inc. (Nasdaq: GRTS), a clinical-stage biotechnology company, Metacrine, Inc. (formerly Nasdaq: MTCR), a clinical-stage biopharmaceutical company, and Yumanity Therapeutics, Inc. (Nasdaq: YMTX), a biotechnology company. Dr. Heyman has won numerous awards, including the Ernst and Young San Diego Regional Entrepreneur of the Year, the Connect Hall of Fame Award, the Endocrine Society Outstanding Innovation Award and the UCSD Rell Sunn Award.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93"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Laurie Stelzer </w:t>
      </w:r>
      <w:r>
        <w:rPr>
          <w:rFonts w:ascii="Times New Roman" w:cs="Times New Roman" w:eastAsia="Times New Roman" w:hAnsi="Times New Roman"/>
          <w:sz w:val="18"/>
          <w:szCs w:val="18"/>
          <w:color w:val="auto"/>
        </w:rPr>
        <w:t>has served as a member of our board of directors since August 2020. Since January 2025, Ms. Stelzer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the Chief Financial officer of Kailera Therapeutics, Inc. a clinical-stage biopharmaceutical company. Ms. Stelzer previously served as the Chief Financial Officer of Orna Therapeutics,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biotechnology company, from May 2024 until January 2025. From September 2023 until May 2024, she served as the Chief Financial Officer of ReNAgade Therapeutics, Inc., a biotechnology company, until its acquisition by Orna Therapeutics. She previously served as the Chief Financial Officer of Mirati from May 2022 until September 2023. Ms. Stelzer formerly served as Executive Vice President and Chief Financial Officer of Arena Pharmaceuticals, Inc. (acquired by Pfizer) from March 2020 until the completion of Pfizer’s acquisition in March 2022. She also serves on the board of directors of Sionna Therapeutics (Nasdaq: SION), a clinical-stage biopharmaceutical company, Spyre Therapeutics Inc. (Nasdaq: SYRE), a biotechnology company, and served on the board of directors of Surface Oncology, Inc. (Nasdaq: SURF), a clinical-stage immuno-oncology company until its acquisition by Coherus BioSciences in September 2023. Prior to joining Arena Pharmaceuticals, Ms. Stelzer was the Chief Financial Officer at Halozyme Therapeutics, Inc. (Nasdaq: HALO), a biopharma technology platform company, from June 2015 to March 2020.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Diversity Matrix</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As of (Date)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Did Not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2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1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40" w:type="dxa"/>
            <w:vAlign w:val="bottom"/>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90"/>
        </w:trPr>
        <w:tc>
          <w:tcPr>
            <w:tcW w:w="4020" w:type="dxa"/>
            <w:vAlign w:val="bottom"/>
            <w:gridSpan w:val="3"/>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4</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90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3</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center"/>
              <w:ind w:right="208"/>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Demographic Background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center"/>
              <w:ind w:right="208"/>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committee, compensation committee and nominating and corporate governance committee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0"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8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each of Charles M. Baum, M.D., Ph.D., Kirsten Flowers, Carol Gallagher, Pharm.D., Richard Heyman, Ph.D., Laurie Stelzer, and Arnold Levine, Ph.D.,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86"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is currently chaired by Richard Heyman, Ph.D.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serves as the chairperson of our board of directors, but is not an officer. We currently expect and intend the positions of chairperson of our board of directors and Chief Executive Officer to continue to be held by two individuals in the future. We believe that our board leadership structure is appropriate for our Company, particularly where we have a majority of independent directors who are all actively involved in meetings of the board of directors and its committees, which include activate engagement with management for oversight of our key risk areas. In addition, our board of directors, including our leadership, is comprised of individuals who have expertise in research, product and clinical development, finance, accounting, commercialization, corporate development and general management of other biopharmaceutical companies.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committee are described below. Members serve on these committees until their resignation or until otherwise determined by our board of directors. Each of the audit committee, compensation committee and nominating and corporate governance committee is a standing committee and operates pursuant to a separate written charter adopted by our board of directors that is available on the Investors section of the Company’s website at ir.pmvpharma.com. The inclusion of our website address in this proxy statement does not include or incorporate by reference into this proxy statement the information on or accessible through our website.</w:t>
      </w:r>
    </w:p>
    <w:p>
      <w:pPr>
        <w:spacing w:after="0" w:line="84"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Our board of directors met seven times during fiscal year 2024. During fiscal year 2024, each of our directors attended 75% or more of the aggregate of (a) the total number of meetings of the board of directors held while 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director (during the period in which the director served on the board of directors) and (b) the total number of meetings held by all committees on which the director served (during the period in which the director served on such committees). Pursuant to our corporate governance guidelines, each director is encouraged to attend each annual meeting of stockholders.</w:t>
      </w:r>
    </w:p>
    <w:p>
      <w:pPr>
        <w:spacing w:after="0" w:line="72"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Two of our seven directors attended our 2024 annual meeting of stockholders.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audit committee consists of Ms. Stelzer, Ms. Flowers and Dr. Heyman. Ms. Stelzer is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p>
      <w:pPr>
        <w:spacing w:after="0" w:line="80"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hires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audit and non-audit services and fees;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that the SEC requires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reports and communications from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 and disclosure controls and procedure;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conflict of interest situations, and approves or prohibits any involvement in matters that may involve a conflict of interest or taking of a corporate opportunity;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person transactions; and</w:t>
      </w:r>
    </w:p>
    <w:p>
      <w:pPr>
        <w:spacing w:after="0" w:line="117" w:lineRule="exact"/>
        <w:rPr>
          <w:rFonts w:ascii="Times New Roman" w:cs="Times New Roman" w:eastAsia="Times New Roman" w:hAnsi="Times New Roman"/>
          <w:sz w:val="18"/>
          <w:szCs w:val="18"/>
          <w:color w:val="auto"/>
        </w:rPr>
      </w:pPr>
    </w:p>
    <w:p>
      <w:pPr>
        <w:jc w:val="both"/>
        <w:ind w:left="1000" w:right="9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rules of the SEC and Nasdaq listing rules. Our audit committee’s written charter may be located on our website at ir.pmvpharma.com. The audit committee met five times in fiscal year 2024.</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Dr. Heyman, Ms. Stelzer and Dr. Baum, each of whom meets the requirements for independence under current Nasdaq listing standards and SEC rules and regulations. Dr. Heyman is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w:t>
      </w:r>
    </w:p>
    <w:p>
      <w:pPr>
        <w:spacing w:after="0" w:line="75"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overall compensation philosophy and compensation policies, plans and benefits programs;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to the board of directors for approval, compensation for our executive officers and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5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compensation committee report that the SEC will require to be included in our annual proxy statement;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right, in its sole discretion, to retain or obtain the advice of compensation consultants, independent legal counsel and other advisers.</w:t>
      </w:r>
    </w:p>
    <w:p>
      <w:pPr>
        <w:spacing w:after="0" w:line="54"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rules of the SEC and Nasdaq listing rules. Our compensation committee’s written charter may be located on our website at ir.pmvpharma.com. The compensation committee met five times in fiscal year 2024.</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consists of Dr. Baum, Dr. Gallagher and Dr. Heyman, each of whom meets the requirements for independence under current Nasdaq listing standards and SEC rules and regulations. Dr. Baum is the chairperson of the nominating and corporate governance committee. The nominating and corporate governance committee oversees and assists our board of directors in reviewing and recommending nominees for election as directors. Among other matters, our nominating and corporate governance committee also:</w:t>
      </w:r>
    </w:p>
    <w:p>
      <w:pPr>
        <w:spacing w:after="0" w:line="60"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makes recommendations to our board of directors regarding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our board of directors regarding the composition of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our board of directors with respect to management succession planning;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including providing oversight for our sustainability related to Environmental, Social and Governance programs, reporting and policy initiatives;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of directors and individual members.</w:t>
      </w:r>
    </w:p>
    <w:p>
      <w:pPr>
        <w:spacing w:after="0" w:line="117"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applicable rules of the SEC and Nasdaq listing rules. Our nominating and corporate governance committee’s written charter may be located on our website at ir.pmvpharma.com. The nominating and corporate governance committee met three times in fiscal year 2024.</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Identifying and Evaluating Director Nominees</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Our board of directors has delegated to the nominating and corporate governance committee the responsibility of identifying individuals qualified to become members of the board of directors and recommending to the board of directors nominees to fill vacancies and newly created directorships and the nominees to stand for election as directors. If the nominating and corporate governance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spacing w:after="0" w:line="84"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the nominating and corporate governance committee will consider the current size and composition of the board of directors and the needs of the board of directors and its committees. Some of the factors that our nominating and corporate governance committee considers include, without limitation, character, integrity, judgment, including diversity in terms of gender, race, ethnicity and, experience, independence, area of expertise, corporate experience, length of service, potential conflicts of interest, other commitments and similar factors.</w:t>
      </w:r>
    </w:p>
    <w:p>
      <w:pPr>
        <w:spacing w:after="0" w:line="79" w:lineRule="exact"/>
        <w:rPr>
          <w:sz w:val="20"/>
          <w:szCs w:val="20"/>
          <w:color w:val="auto"/>
        </w:rPr>
      </w:pPr>
    </w:p>
    <w:p>
      <w:pPr>
        <w:ind w:left="300" w:right="899"/>
        <w:spacing w:after="0" w:line="282" w:lineRule="auto"/>
        <w:rPr>
          <w:sz w:val="20"/>
          <w:szCs w:val="20"/>
          <w:color w:val="auto"/>
        </w:rPr>
      </w:pPr>
      <w:r>
        <w:rPr>
          <w:rFonts w:ascii="Times New Roman" w:cs="Times New Roman" w:eastAsia="Times New Roman" w:hAnsi="Times New Roman"/>
          <w:sz w:val="18"/>
          <w:szCs w:val="18"/>
          <w:color w:val="auto"/>
        </w:rPr>
        <w:t>Nominees must also have the highest personal and professional ethics and integrity, proven achievement and competence in the nominee’s field and the ability to exercise sound business judgment, skills that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and cybersecurity matters and financial reporting. The nominating and corporate governance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precision oncology company, as well as through discussions from committee members about their respective areas of risk oversight. The board of directors’ allocation of risk oversight responsibility may change from time to time based on the evolving needs of the Company.</w:t>
      </w:r>
    </w:p>
    <w:p>
      <w:pPr>
        <w:spacing w:after="0" w:line="82"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Independent Compensation Consultant</w:t>
      </w:r>
    </w:p>
    <w:p>
      <w:pPr>
        <w:spacing w:after="0" w:line="12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compensation committee has authority to appoint and retain a compensation consultant. The fees for services rendered by the compensation consultant are paid by our company. For executive compensation decisions for fiscal year 2024, our compensation committee engaged Pearl Meyer &amp; Partners, LLC (“Pearl Meyer”), as its independent compensation consultant to advise on executive compensation matters including: overall compensation program design, peer group development and updates, and collecting market data to inform our compensation programs for our executives and members of our board of directors. We develop our compensation programs after reviewing publicly available compensation data and we also subscribe to other specialized life sciences and general industry surveys on an ongoing basis. Our compensation consultant advised the compensation committee on all of the principal aspects of executive compensation. Representatives from our compensation consultant attend meetings of the compensation committee when requested to do so. Our compensation consultant reports directly to our compensation committee and not to management, although it meets with management for purposes of gathering information for its analyses and recommendations. Our compensation committee has assessed the independence of our compensation consultant consistent with Nasdaq listing standards and has concluded that the engagement of our compensation consultant does not raise any conflict of interest.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corporate governance committee will evaluate such recommendations in accordance with its charter, our amended and restated bylaws and corporate governance guidelines and the director nominee criteria described above.</w:t>
      </w:r>
    </w:p>
    <w:p>
      <w:pPr>
        <w:spacing w:after="0" w:line="8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PMV Pharmaceuticals, Inc., 400 Alexander Park Drive,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Suite 301, Princeton, New Jersey 08540,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8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2026 annual meeting of stockholders, nominations must be received by our corporate secretary observing the deadlines discussed below under “</w:t>
      </w:r>
      <w:r>
        <w:rPr>
          <w:rFonts w:ascii="Times New Roman" w:cs="Times New Roman" w:eastAsia="Times New Roman" w:hAnsi="Times New Roman"/>
          <w:sz w:val="18"/>
          <w:szCs w:val="18"/>
          <w:i w:val="1"/>
          <w:iCs w:val="1"/>
          <w:color w:val="auto"/>
        </w:rPr>
        <w:t>Other Matters—Stockholder Proposals or Director Nominations for 2026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General Counsel by mail to our principal executive offices at PMV Pharmaceuticals, Inc., 400 Alexander Park Drive, Suite 301, Princeton, New Jersey 08540. Our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General Counsel will route such communications to the appropriate director(s) or, if none is specified, then to the chairperson of the board of directors. These policies and procedures do not apply to communications to non-management directors from our officers or directors who are stockholders or stockholder proposals submitted pursuant to Rule 14a-8 under the Exchange Act.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ir.pmvpharma.com. We will post amendments to our code of business conduct and ethics or any waivers of our code of business conduct and ethics for directors and executive officers on the same website.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During 2024, the members of our compensation committee were Dr. Heyman, Ms. Stelzer and Dr. Baum. None of the members of our compensation committee has been an officer or employee of PMV Pharmaceuticals or any of our subsidiaries at any time.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Outside Director Compensation Policy</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To attract, retain and reward qualified non-employee candidates to serve on our board of directors, we have adopted an outside director compensation policy (the “Director Compensation Policy”). Our compensation committee reviews the Director Compensation Policy annually in consultation with our compensation consultant, and makes recommendations for any revisions to our board of directors. In April 2025, the Company revised the Director Compensation Policy to modify the equity award component again to align with our equity strategy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remain competitive with companies similar to its industry and market capitalization. Our board of directors has the discretion to revise non-employee director compensation as it deems necessary or appropriate. Under our Director Compensation Policy as currently in effect, each non-employee director upon first becoming a non-employee director automatically receives an initial option to purchase 67,000 shares of common stock. The initial option vests in 36 equal, monthly installments after the grant date, subject to continued service through the vesting date. Additionally, each non-employee director automatically receives an annual option to purchase 33,500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non-employee directors are entitled to receive the following cash compensation for their services: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Base Director Fee</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Chairperson Fee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Nominating and Corporate Governance Committee</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$ 8,000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Additional Committee Member Fee (excluding chairpersons)</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$ 7,500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$ 5,000</w:t>
            </w:r>
          </w:p>
        </w:tc>
        <w:tc>
          <w:tcPr>
            <w:tcW w:w="0" w:type="dxa"/>
            <w:vAlign w:val="bottom"/>
          </w:tcPr>
          <w:p>
            <w:pPr>
              <w:spacing w:after="0"/>
              <w:rPr>
                <w:sz w:val="1"/>
                <w:szCs w:val="1"/>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$ 4,000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Ending 2024</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ending December 31, 2024. Directors who are also our employees receive no additional compensation for their service as directors. For the fiscal year ending December 31, 2024, Dr. Mack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Dr. Mack’s compensation.</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Value and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Nonqualified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Fees Paid or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Earned in</w:t>
            </w:r>
          </w:p>
        </w:tc>
        <w:tc>
          <w:tcPr>
            <w:tcW w:w="8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80" w:type="dxa"/>
            <w:vAlign w:val="bottom"/>
          </w:tcPr>
          <w:p>
            <w:pPr>
              <w:spacing w:after="0"/>
              <w:rPr>
                <w:sz w:val="11"/>
                <w:szCs w:val="11"/>
                <w:color w:val="auto"/>
              </w:rPr>
            </w:pPr>
          </w:p>
        </w:tc>
        <w:tc>
          <w:tcPr>
            <w:tcW w:w="1020" w:type="dxa"/>
            <w:vAlign w:val="bottom"/>
          </w:tcPr>
          <w:p>
            <w:pPr>
              <w:jc w:val="right"/>
              <w:ind w:right="184"/>
              <w:spacing w:after="0" w:line="132"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Cash ($)</w:t>
            </w:r>
          </w:p>
        </w:tc>
        <w:tc>
          <w:tcPr>
            <w:tcW w:w="80" w:type="dxa"/>
            <w:vAlign w:val="bottom"/>
          </w:tcPr>
          <w:p>
            <w:pPr>
              <w:spacing w:after="0"/>
              <w:rPr>
                <w:sz w:val="18"/>
                <w:szCs w:val="18"/>
                <w:color w:val="auto"/>
              </w:rPr>
            </w:pPr>
          </w:p>
        </w:tc>
        <w:tc>
          <w:tcPr>
            <w:tcW w:w="1400" w:type="dxa"/>
            <w:vAlign w:val="bottom"/>
            <w:gridSpan w:val="3"/>
          </w:tcPr>
          <w:p>
            <w:pPr>
              <w:spacing w:after="0" w:line="216" w:lineRule="exact"/>
              <w:rPr>
                <w:sz w:val="20"/>
                <w:szCs w:val="20"/>
                <w:color w:val="auto"/>
              </w:rPr>
            </w:pPr>
            <w:r>
              <w:rPr>
                <w:rFonts w:ascii="Times New Roman" w:cs="Times New Roman" w:eastAsia="Times New Roman" w:hAnsi="Times New Roman"/>
                <w:sz w:val="13"/>
                <w:szCs w:val="13"/>
                <w:b w:val="1"/>
                <w:bCs w:val="1"/>
                <w:color w:val="auto"/>
                <w:w w:val="96"/>
              </w:rPr>
              <w:t>Awards ($) Awards</w:t>
            </w:r>
            <w:r>
              <w:rPr>
                <w:rFonts w:ascii="Times New Roman" w:cs="Times New Roman" w:eastAsia="Times New Roman" w:hAnsi="Times New Roman"/>
                <w:sz w:val="21"/>
                <w:szCs w:val="21"/>
                <w:b w:val="1"/>
                <w:bCs w:val="1"/>
                <w:color w:val="auto"/>
                <w:w w:val="96"/>
                <w:vertAlign w:val="superscript"/>
              </w:rPr>
              <w:t>(1)</w:t>
            </w:r>
            <w:r>
              <w:rPr>
                <w:rFonts w:ascii="Times New Roman" w:cs="Times New Roman" w:eastAsia="Times New Roman" w:hAnsi="Times New Roman"/>
                <w:sz w:val="13"/>
                <w:szCs w:val="13"/>
                <w:b w:val="1"/>
                <w:bCs w:val="1"/>
                <w:color w:val="auto"/>
                <w:w w:val="96"/>
              </w:rPr>
              <w:t xml:space="preserve"> ($)</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 ($)</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 ($)</w:t>
            </w:r>
          </w:p>
        </w:tc>
        <w:tc>
          <w:tcPr>
            <w:tcW w:w="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 ($)  Total ($)</w:t>
            </w:r>
          </w:p>
        </w:tc>
        <w:tc>
          <w:tcPr>
            <w:tcW w:w="0" w:type="dxa"/>
            <w:vAlign w:val="bottom"/>
          </w:tcPr>
          <w:p>
            <w:pPr>
              <w:spacing w:after="0"/>
              <w:rPr>
                <w:sz w:val="1"/>
                <w:szCs w:val="1"/>
                <w:color w:val="auto"/>
              </w:rPr>
            </w:pPr>
          </w:p>
        </w:tc>
      </w:tr>
      <w:tr>
        <w:trPr>
          <w:trHeight w:val="230"/>
        </w:trPr>
        <w:tc>
          <w:tcPr>
            <w:tcW w:w="2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Heyman, Ph.D.</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96,500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177,532</w:t>
            </w: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Charles M. Baum, M.D., Ph.D.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53,000</w:t>
            </w:r>
          </w:p>
        </w:tc>
        <w:tc>
          <w:tcPr>
            <w:tcW w:w="8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
              <w:spacing w:after="0" w:line="283" w:lineRule="exact"/>
              <w:rPr>
                <w:sz w:val="20"/>
                <w:szCs w:val="20"/>
                <w:color w:val="auto"/>
              </w:rPr>
            </w:pPr>
            <w:r>
              <w:rPr>
                <w:rFonts w:ascii="Times New Roman" w:cs="Times New Roman" w:eastAsia="Times New Roman" w:hAnsi="Times New Roman"/>
                <w:sz w:val="16"/>
                <w:szCs w:val="16"/>
                <w:color w:val="auto"/>
              </w:rPr>
              <w:t>87,069</w:t>
            </w:r>
            <w:r>
              <w:rPr>
                <w:rFonts w:ascii="Times New Roman" w:cs="Times New Roman" w:eastAsia="Times New Roman" w:hAnsi="Times New Roman"/>
                <w:sz w:val="26"/>
                <w:szCs w:val="26"/>
                <w:color w:val="auto"/>
                <w:vertAlign w:val="superscript"/>
              </w:rPr>
              <w:t>(2)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221,101</w:t>
            </w: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Kirsten Flowers</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47,500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128,532</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Carol Gallagher, Pharm.D.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44,000</w:t>
            </w:r>
          </w:p>
        </w:tc>
        <w:tc>
          <w:tcPr>
            <w:tcW w:w="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125,032</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4"/>
              <w:spacing w:after="0" w:line="283"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6"/>
                <w:szCs w:val="26"/>
                <w:color w:val="auto"/>
                <w:vertAlign w:val="superscript"/>
              </w:rPr>
              <w:t>(3)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221,032</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Laurie Stelzer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140970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4" w:lineRule="exact"/>
        <w:rPr>
          <w:sz w:val="20"/>
          <w:szCs w:val="20"/>
          <w:color w:val="auto"/>
        </w:rPr>
      </w:pPr>
    </w:p>
    <w:p>
      <w:pPr>
        <w:ind w:left="640" w:right="539" w:hanging="348"/>
        <w:spacing w:after="0" w:line="26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in addition to the annual option grant award under our “</w:t>
      </w:r>
      <w:r>
        <w:rPr>
          <w:rFonts w:ascii="Times New Roman" w:cs="Times New Roman" w:eastAsia="Times New Roman" w:hAnsi="Times New Roman"/>
          <w:sz w:val="14"/>
          <w:szCs w:val="14"/>
          <w:i w:val="1"/>
          <w:iCs w:val="1"/>
          <w:color w:val="auto"/>
        </w:rPr>
        <w:t>Outside Director Compensation Policy</w:t>
      </w:r>
      <w:r>
        <w:rPr>
          <w:rFonts w:ascii="Times New Roman" w:cs="Times New Roman" w:eastAsia="Times New Roman" w:hAnsi="Times New Roman"/>
          <w:sz w:val="14"/>
          <w:szCs w:val="14"/>
          <w:color w:val="auto"/>
        </w:rPr>
        <w:t>”, each continuing non-employee director received a one-time special award of 45,000 stock options, which vest in equal monthly installments over three years.</w:t>
      </w:r>
    </w:p>
    <w:p>
      <w:pPr>
        <w:ind w:left="640" w:right="31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Baum received annual compensation of $87,069 pursuant to a consulting agreement. For additional information regarding our consulting agreement with Dr. Baum, see “</w:t>
      </w:r>
      <w:r>
        <w:rPr>
          <w:rFonts w:ascii="Times New Roman" w:cs="Times New Roman" w:eastAsia="Times New Roman" w:hAnsi="Times New Roman"/>
          <w:sz w:val="14"/>
          <w:szCs w:val="14"/>
          <w:i w:val="1"/>
          <w:iCs w:val="1"/>
          <w:color w:val="auto"/>
        </w:rPr>
        <w:t>Certain Relationships and Related Person Transactions—Consulting Agreement with Charles 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Baum, M.D., Ph.D.</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Levine received annual compensation of $100,000 pursuant to a consulting agreement. For additional information regarding our consulting agreement with Dr. Levine, see “</w:t>
      </w:r>
      <w:r>
        <w:rPr>
          <w:rFonts w:ascii="Times New Roman" w:cs="Times New Roman" w:eastAsia="Times New Roman" w:hAnsi="Times New Roman"/>
          <w:sz w:val="14"/>
          <w:szCs w:val="14"/>
          <w:i w:val="1"/>
          <w:iCs w:val="1"/>
          <w:color w:val="auto"/>
        </w:rPr>
        <w:t>Certain Relationships and Related Person Transactions—Consulting Agreement with Arnold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Levine, Ph.D.</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2024.</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370,758</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154,338</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Kirsten Flowers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141,167</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Carol Gallagher, Pharm.D.</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128,000</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130,614</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157,500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Scientific &amp; Clinical Advisory Boards</w:t>
      </w:r>
    </w:p>
    <w:p>
      <w:pPr>
        <w:spacing w:after="0" w:line="121" w:lineRule="exact"/>
        <w:rPr>
          <w:sz w:val="20"/>
          <w:szCs w:val="20"/>
          <w:color w:val="auto"/>
        </w:rPr>
      </w:pPr>
    </w:p>
    <w:p>
      <w:pPr>
        <w:jc w:val="both"/>
        <w:ind w:left="300" w:right="479"/>
        <w:spacing w:after="0" w:line="270" w:lineRule="auto"/>
        <w:rPr>
          <w:sz w:val="20"/>
          <w:szCs w:val="20"/>
          <w:color w:val="auto"/>
        </w:rPr>
      </w:pPr>
      <w:r>
        <w:rPr>
          <w:rFonts w:ascii="Times New Roman" w:cs="Times New Roman" w:eastAsia="Times New Roman" w:hAnsi="Times New Roman"/>
          <w:sz w:val="17"/>
          <w:szCs w:val="17"/>
          <w:color w:val="auto"/>
        </w:rPr>
        <w:t>We have established scientific and clinical advisory boards composed of leading academic and industry scientists. We seek advice and input from these scientists on an ad hoc basis, individually or as a group, to provide scientific and clinical feedback and advice related to our research and development platform and programs. The members of our advisory boards consist of experts across a range of key disciplines relevant to our programs. Except for Drs.</w:t>
      </w:r>
    </w:p>
    <w:p>
      <w:pPr>
        <w:spacing w:after="0" w:line="3"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Baum, Heyman and Levine, who are members of our board of directors, our advisory board members are not our employees or directors and have no decision-making authority over our activities. Our advisory board members may have commitments to, or consulting or advisory contracts with, other entities that may limit their availability to us. In addition, our advisory board members may have arrangements with other companies to assist those companies in developing products or technologies that may compete with ours. All of our advisory board members are affiliated with other entities and devote only a small portion of their time to us. Our advisory board members receive cash and equity compensation based upon consulting services rendered. Effective September 1, 2021, Dr. Heyman agreed to waive any future scientific advisory compensation he is otherwise entitled to be paid for those services to us.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and our amended and restated certificate of incorporation and amended and restated bylaws require us to indemnify our directors and executive officers to the fullest extent permitted by Delaware law. See “</w:t>
      </w:r>
      <w:r>
        <w:rPr>
          <w:rFonts w:ascii="Times New Roman" w:cs="Times New Roman" w:eastAsia="Times New Roman" w:hAnsi="Times New Roman"/>
          <w:sz w:val="18"/>
          <w:szCs w:val="18"/>
          <w:i w:val="1"/>
          <w:iCs w:val="1"/>
          <w:color w:val="auto"/>
        </w:rPr>
        <w:t>Certain Relationships and Related Person Transactions—Indemnification of Directors and Officers</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and oversight by the nominating and corporate governance committee of our board of directors to oversee our sustainability efforts and have documented our initiatives in our 2024 ESG Report, which is available on our website at ir.pmvpharma.com. The content provided in our 2024 ESG Report or accessible through our website is not part of our proxy solicitation materials.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the date of this proxy statement. Information regarding Dr. Mack, who also serves as a director, is set forth above under “</w:t>
      </w:r>
      <w:r>
        <w:rPr>
          <w:rFonts w:ascii="Times New Roman" w:cs="Times New Roman" w:eastAsia="Times New Roman" w:hAnsi="Times New Roman"/>
          <w:sz w:val="18"/>
          <w:szCs w:val="18"/>
          <w:i w:val="1"/>
          <w:iCs w:val="1"/>
          <w:color w:val="auto"/>
        </w:rPr>
        <w:t>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Governance—Continuing Directors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Michael Carulli</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Robert Ticktin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Chief Operating Officer</w:t>
            </w:r>
          </w:p>
        </w:tc>
      </w:tr>
    </w:tbl>
    <w:p>
      <w:pPr>
        <w:spacing w:after="0" w:line="135" w:lineRule="exact"/>
        <w:rPr>
          <w:sz w:val="20"/>
          <w:szCs w:val="20"/>
          <w:color w:val="auto"/>
        </w:rPr>
      </w:pPr>
    </w:p>
    <w:p>
      <w:pPr>
        <w:ind w:left="300" w:right="3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Carulli </w:t>
      </w:r>
      <w:r>
        <w:rPr>
          <w:rFonts w:ascii="Times New Roman" w:cs="Times New Roman" w:eastAsia="Times New Roman" w:hAnsi="Times New Roman"/>
          <w:sz w:val="17"/>
          <w:szCs w:val="17"/>
          <w:color w:val="auto"/>
        </w:rPr>
        <w:t>has served as our Chief Financial Officer since January 2024. Prior to being promoted as our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Officer, Mr. Carulli served as our Senior Vice President of Finance from March 2023 to January 2024 and as Vice President of Finance from May 2020 to March 2023. Before joining PMV Pharmaceuticals, from May 2010 to May 2020, Mr. Carulli worked at Celgene Corporation, a global biopharmaceutical company, where he held multiple positions, including as Executive Director FP&amp;A – Research &amp; Development. Mr. Carulli received a B.S. in Marketing and Management from Siena College and a M.B.A. from the Fordham Gabelli School of Business.</w:t>
      </w:r>
    </w:p>
    <w:p>
      <w:pPr>
        <w:spacing w:after="0" w:line="60"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Deepika Jalota, Pharm.D. </w:t>
      </w:r>
      <w:r>
        <w:rPr>
          <w:rFonts w:ascii="Times New Roman" w:cs="Times New Roman" w:eastAsia="Times New Roman" w:hAnsi="Times New Roman"/>
          <w:sz w:val="18"/>
          <w:szCs w:val="18"/>
          <w:color w:val="auto"/>
        </w:rPr>
        <w:t>has served as our Chief Development Officer since May 2023. Prior to being promoted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Chief Development Officer, Dr. Jalota served as our Chief Regulatory and Quality Officer from February 2021 to May 2023 and also previously served as our Senior Vice President, Regulatory Affairs and Quality Assurance from June 2019 to February 2021. Before joining PMV Pharmaceuticals,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7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Ticktin </w:t>
      </w:r>
      <w:r>
        <w:rPr>
          <w:rFonts w:ascii="Times New Roman" w:cs="Times New Roman" w:eastAsia="Times New Roman" w:hAnsi="Times New Roman"/>
          <w:sz w:val="18"/>
          <w:szCs w:val="18"/>
          <w:color w:val="auto"/>
        </w:rPr>
        <w:t>has served as our General Counsel and Chief Operating Officer since December 2024. Prior to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promoted as our General Counsel and Chief Operating Officer, Mr. Ticktin served as our General Counsel from August 2020 to December 2024. Before joining PMV Pharmaceuticals, from April 2017 to June 2020, Mr. Ticktin was an Associate General Counsel, Corporate at Tesaro, Inc., a development and commercial oncology company (formerly Nasdaq: TSRO), which was acquired by GSK plc, a British multinational pharmaceutical and biotechnology company (NYSE: GSK), in December 2018. Mr. Ticktin was General Counsel of Epirus Biopharmaceuticals (formerly Nasdaq: EPRS), a biosimilar drug development company, from April 2014 to August 2016, and previously served in legal roles of increasing responsibility at Amgen from 2004 to 2014.</w:t>
      </w:r>
    </w:p>
    <w:p>
      <w:pPr>
        <w:spacing w:after="0" w:line="5" w:lineRule="exact"/>
        <w:rPr>
          <w:sz w:val="20"/>
          <w:szCs w:val="20"/>
          <w:color w:val="auto"/>
        </w:rPr>
      </w:pPr>
    </w:p>
    <w:p>
      <w:pPr>
        <w:ind w:left="300" w:right="819"/>
        <w:spacing w:after="0" w:line="260" w:lineRule="auto"/>
        <w:rPr>
          <w:sz w:val="20"/>
          <w:szCs w:val="20"/>
          <w:color w:val="auto"/>
        </w:rPr>
      </w:pPr>
      <w:r>
        <w:rPr>
          <w:rFonts w:ascii="Times New Roman" w:cs="Times New Roman" w:eastAsia="Times New Roman" w:hAnsi="Times New Roman"/>
          <w:sz w:val="18"/>
          <w:szCs w:val="18"/>
          <w:color w:val="auto"/>
        </w:rPr>
        <w:t>Mr. Ticktin received a B.A. in Economics, Computer Science from The Ohio State University and a J.D. from Fordham University School of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fiscal year ended December 31, 2024, which consist of our principal executive officer and the next two most highly compensated executive officers, are:</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 Mack, Ph.D.,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Carulli, our Chief Financial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Deepika Jalota, Pharm.D., our Chief Development Officer.</w:t>
      </w:r>
    </w:p>
    <w:p>
      <w:pPr>
        <w:spacing w:after="0" w:line="11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fiscal 2023 and 2024.</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Pension Value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00" w:type="dxa"/>
            <w:vAlign w:val="bottom"/>
          </w:tcPr>
          <w:p>
            <w:pPr>
              <w:spacing w:after="0"/>
              <w:rPr>
                <w:sz w:val="4"/>
                <w:szCs w:val="4"/>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80" w:type="dxa"/>
            <w:vAlign w:val="bottom"/>
          </w:tcPr>
          <w:p>
            <w:pPr>
              <w:jc w:val="right"/>
              <w:ind w:right="33"/>
              <w:spacing w:after="0" w:line="49" w:lineRule="exact"/>
              <w:rPr>
                <w:sz w:val="20"/>
                <w:szCs w:val="20"/>
                <w:color w:val="auto"/>
              </w:rPr>
            </w:pPr>
            <w:r>
              <w:rPr>
                <w:rFonts w:ascii="Times New Roman" w:cs="Times New Roman" w:eastAsia="Times New Roman" w:hAnsi="Times New Roman"/>
                <w:sz w:val="5"/>
                <w:szCs w:val="5"/>
                <w:b w:val="1"/>
                <w:bCs w:val="1"/>
                <w:color w:val="auto"/>
              </w:rPr>
              <w:t>(1)</w:t>
            </w:r>
          </w:p>
        </w:tc>
        <w:tc>
          <w:tcPr>
            <w:tcW w:w="1060" w:type="dxa"/>
            <w:vAlign w:val="bottom"/>
            <w:gridSpan w:val="2"/>
          </w:tcPr>
          <w:p>
            <w:pPr>
              <w:jc w:val="right"/>
              <w:spacing w:after="0" w:line="49" w:lineRule="exact"/>
              <w:rPr>
                <w:sz w:val="20"/>
                <w:szCs w:val="20"/>
                <w:color w:val="auto"/>
              </w:rPr>
            </w:pPr>
            <w:r>
              <w:rPr>
                <w:rFonts w:ascii="Times New Roman" w:cs="Times New Roman" w:eastAsia="Times New Roman" w:hAnsi="Times New Roman"/>
                <w:sz w:val="5"/>
                <w:szCs w:val="5"/>
                <w:b w:val="1"/>
                <w:bCs w:val="1"/>
                <w:color w:val="auto"/>
              </w:rPr>
              <w:t>(2)</w:t>
            </w: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Awards</w:t>
            </w: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74"/>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0" w:type="dxa"/>
            <w:vAlign w:val="bottom"/>
            <w:gridSpan w:val="2"/>
          </w:tcPr>
          <w:p>
            <w:pPr>
              <w:jc w:val="center"/>
              <w:ind w:left="2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1060" w:type="dxa"/>
            <w:vAlign w:val="bottom"/>
            <w:gridSpan w:val="2"/>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left="2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8"/>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H. Mack, Ph.D.</w:t>
            </w:r>
          </w:p>
        </w:tc>
        <w:tc>
          <w:tcPr>
            <w:tcW w:w="1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2024</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607,208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295,002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3,522,213</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335,858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4,760,281</w:t>
            </w:r>
          </w:p>
        </w:tc>
        <w:tc>
          <w:tcPr>
            <w:tcW w:w="0" w:type="dxa"/>
            <w:vAlign w:val="bottom"/>
          </w:tcPr>
          <w:p>
            <w:pPr>
              <w:spacing w:after="0"/>
              <w:rPr>
                <w:sz w:val="1"/>
                <w:szCs w:val="1"/>
                <w:color w:val="auto"/>
              </w:rPr>
            </w:pPr>
          </w:p>
        </w:tc>
      </w:tr>
      <w:tr>
        <w:trPr>
          <w:trHeight w:val="197"/>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President, Chief Executive</w:t>
            </w:r>
          </w:p>
        </w:tc>
        <w:tc>
          <w:tcPr>
            <w:tcW w:w="1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2023</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586,083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1,328,712</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295,000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2,209,795</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Officer and Director</w:t>
            </w:r>
          </w:p>
        </w:tc>
        <w:tc>
          <w:tcPr>
            <w:tcW w:w="1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Michael Carulli</w:t>
            </w:r>
            <w:r>
              <w:rPr>
                <w:rFonts w:ascii="Times New Roman" w:cs="Times New Roman" w:eastAsia="Times New Roman" w:hAnsi="Times New Roman"/>
                <w:sz w:val="21"/>
                <w:szCs w:val="21"/>
                <w:color w:val="auto"/>
                <w:vertAlign w:val="superscript"/>
              </w:rPr>
              <w:t>(3)</w:t>
            </w:r>
          </w:p>
        </w:tc>
        <w:tc>
          <w:tcPr>
            <w:tcW w:w="1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2024</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370,001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147,996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698,718</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162,800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1,379,515</w:t>
            </w: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10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740" w:type="dxa"/>
            <w:vAlign w:val="bottom"/>
            <w:gridSpan w:val="3"/>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9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Deepika Jalota, Pharm.D.</w:t>
            </w:r>
          </w:p>
        </w:tc>
        <w:tc>
          <w:tcPr>
            <w:tcW w:w="1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w w:val="99"/>
              </w:rPr>
              <w:t>2024</w:t>
            </w:r>
          </w:p>
        </w:tc>
        <w:tc>
          <w:tcPr>
            <w:tcW w:w="600" w:type="dxa"/>
            <w:vAlign w:val="bottom"/>
            <w:gridSpan w:val="2"/>
            <w:shd w:val="clear" w:color="auto" w:fill="CCEEFF"/>
          </w:tcPr>
          <w:p>
            <w:pPr>
              <w:jc w:val="center"/>
              <w:ind w:left="25"/>
              <w:spacing w:after="0" w:line="154" w:lineRule="exact"/>
              <w:rPr>
                <w:sz w:val="20"/>
                <w:szCs w:val="20"/>
                <w:color w:val="auto"/>
              </w:rPr>
            </w:pPr>
            <w:r>
              <w:rPr>
                <w:rFonts w:ascii="Times New Roman" w:cs="Times New Roman" w:eastAsia="Times New Roman" w:hAnsi="Times New Roman"/>
                <w:sz w:val="15"/>
                <w:szCs w:val="15"/>
                <w:color w:val="auto"/>
              </w:rPr>
              <w:t>442,542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171,999</w:t>
            </w:r>
          </w:p>
        </w:tc>
        <w:tc>
          <w:tcPr>
            <w:tcW w:w="740" w:type="dxa"/>
            <w:vAlign w:val="bottom"/>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1,118,651</w:t>
            </w:r>
          </w:p>
        </w:tc>
        <w:tc>
          <w:tcPr>
            <w:tcW w:w="1060" w:type="dxa"/>
            <w:vAlign w:val="bottom"/>
            <w:gridSpan w:val="2"/>
            <w:shd w:val="clear" w:color="auto" w:fill="CCEEFF"/>
          </w:tcPr>
          <w:p>
            <w:pPr>
              <w:jc w:val="center"/>
              <w:ind w:left="12"/>
              <w:spacing w:after="0" w:line="154" w:lineRule="exact"/>
              <w:rPr>
                <w:sz w:val="20"/>
                <w:szCs w:val="20"/>
                <w:color w:val="auto"/>
              </w:rPr>
            </w:pPr>
            <w:r>
              <w:rPr>
                <w:rFonts w:ascii="Times New Roman" w:cs="Times New Roman" w:eastAsia="Times New Roman" w:hAnsi="Times New Roman"/>
                <w:sz w:val="15"/>
                <w:szCs w:val="15"/>
                <w:color w:val="auto"/>
              </w:rPr>
              <w:t>195,822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ind w:left="3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center"/>
              <w:spacing w:after="0" w:line="154" w:lineRule="exact"/>
              <w:rPr>
                <w:sz w:val="20"/>
                <w:szCs w:val="20"/>
                <w:color w:val="auto"/>
              </w:rPr>
            </w:pPr>
            <w:r>
              <w:rPr>
                <w:rFonts w:ascii="Times New Roman" w:cs="Times New Roman" w:eastAsia="Times New Roman" w:hAnsi="Times New Roman"/>
                <w:sz w:val="15"/>
                <w:szCs w:val="15"/>
                <w:color w:val="auto"/>
              </w:rPr>
              <w:t>1,929,014</w:t>
            </w:r>
          </w:p>
        </w:tc>
        <w:tc>
          <w:tcPr>
            <w:tcW w:w="0" w:type="dxa"/>
            <w:vAlign w:val="bottom"/>
          </w:tcPr>
          <w:p>
            <w:pPr>
              <w:spacing w:after="0"/>
              <w:rPr>
                <w:sz w:val="1"/>
                <w:szCs w:val="1"/>
                <w:color w:val="auto"/>
              </w:rPr>
            </w:pPr>
          </w:p>
        </w:tc>
      </w:tr>
      <w:tr>
        <w:trPr>
          <w:trHeight w:val="217"/>
        </w:trPr>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Chief Development Officer</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shd w:val="clear" w:color="auto" w:fill="CCEEFF"/>
              </w:rPr>
              <w:t>2023</w:t>
            </w:r>
          </w:p>
        </w:tc>
        <w:tc>
          <w:tcPr>
            <w:tcW w:w="600" w:type="dxa"/>
            <w:vAlign w:val="bottom"/>
            <w:tcBorders>
              <w:bottom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421,898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503,300</w:t>
            </w:r>
          </w:p>
        </w:tc>
        <w:tc>
          <w:tcPr>
            <w:tcW w:w="10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172,000</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1,097,198</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00" w:type="dxa"/>
            <w:vAlign w:val="bottom"/>
            <w:tcBorders>
              <w:right w:val="single" w:sz="8" w:color="CCEEFF"/>
            </w:tcBorders>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-33655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27"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8 to the Company’s financial statements for the year ended December 31, 2024 included in the Company’s Annual Report on Form 10-K for such year. The amounts reported represent grants of options pursuant to our 2020 Equity Incentive Plan as described further in the table of outstanding equity awards below. Additionally, solely for fiscal year 2024, the amounts disclosed include the incremental fair value, calculated in accordance with ASC 718, associated with new option grants that were exchanged for prior option grants pursuant to the Tender Offer Statement on Schedule TO filed with the Securities and Exchange Commission on July 16, 2024, as amended.</w:t>
      </w:r>
    </w:p>
    <w:p>
      <w:pPr>
        <w:spacing w:after="0" w:line="20"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amounts reported cash bonuses earned under our 2024 bonus plan based upon the achievement of various development, pipeline, and corporate goals for the year ended December 31, 2024, which were paid in 2025.</w:t>
      </w: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Carulli became our Chief Financial Officer in January 2024 and was not a named executive officer in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Bonus Plan</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Each named executive officer has an established target bonus amount as set forth in the section below titled “— Employment Arrangements with our Named Executive Officers.” In 2024, our named executive officers were eligible for non-equity incentive compensation pursuant to the terms of a bonus plan for 2024, with the actual amount payable tied to the achievement of various development, pipeline, and corporate goals. The amount earned by our named executive officers is set forth in our Summary Compensation Table above.</w:t>
      </w:r>
    </w:p>
    <w:p>
      <w:pPr>
        <w:spacing w:after="0" w:line="233" w:lineRule="exact"/>
        <w:rPr>
          <w:sz w:val="20"/>
          <w:szCs w:val="20"/>
          <w:color w:val="auto"/>
        </w:rPr>
      </w:pPr>
    </w:p>
    <w:p>
      <w:pPr>
        <w:ind w:left="300" w:right="38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Employment Arrangements with our Named Executive Officers </w:t>
      </w:r>
      <w:r>
        <w:rPr>
          <w:rFonts w:ascii="Times New Roman" w:cs="Times New Roman" w:eastAsia="Times New Roman" w:hAnsi="Times New Roman"/>
          <w:sz w:val="18"/>
          <w:szCs w:val="18"/>
          <w:b w:val="1"/>
          <w:bCs w:val="1"/>
          <w:i w:val="1"/>
          <w:iCs w:val="1"/>
          <w:color w:val="auto"/>
        </w:rPr>
        <w:t>David H. Mack, Ph.D.</w:t>
      </w:r>
    </w:p>
    <w:p>
      <w:pPr>
        <w:spacing w:after="0" w:line="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Dr. Mack, our President and Chief Executive Officer, on August 17, 2020. The employment letter has no specific term and provides for at-will employment. Dr. Mack’s current annual base salary, effective as of March 1, 2025, is $632,023, and Dr. Mack’s annual target bonus is 55% of his annual base salary. Dr. Mack’s annual base salary in fiscal year 2024 was $610,500.</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Michael Carulli</w:t>
      </w:r>
    </w:p>
    <w:p>
      <w:pPr>
        <w:spacing w:after="0" w:line="121"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Michael Carulli, our Chief Financial Officer, on January 5, 2024. The confirmatory employment letter has no specific term and provides for at-will employment. Mr. Carulli’s current annual base salary, effective as of March 1, 2025, is $419,950, and Mr. Carulli’s annual target bonus is 40% of his annual base salary. Mr. Carulli’s base salary in fiscal year 2024 was $370,000.</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Deepika Jalota, Pharm.D.</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entered into a confirmatory employment letter with Dr. Jalota, our Chief Development Officer, updated as of May 15, 2023 in connection with her promotion in fiscal year 2023. The employment letter has no specific term and provides for at-will employment. Dr. Jalota’s current annual base salary, effective as of March 1, 2025, is $485,105, and Dr. Jalota’s annual target bonus is 40% of her annual base salary. Dr. Jalota’s base salary in fiscal year 2024 was $445,050.</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2024</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our named executive officers, concerning grants of plan-based awards made during fiscal 2024.</w:t>
      </w:r>
    </w:p>
    <w:p>
      <w:pPr>
        <w:sectPr>
          <w:pgSz w:w="11900" w:h="16838" w:orient="portrait"/>
          <w:cols w:equalWidth="0" w:num="1">
            <w:col w:w="9019"/>
          </w:cols>
          <w:pgMar w:left="1440" w:top="114" w:right="1440" w:bottom="1440" w:gutter="0" w:footer="0" w:header="0"/>
        </w:sectPr>
      </w:pP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All Other Option Awards:</w:t>
            </w:r>
          </w:p>
        </w:tc>
        <w:tc>
          <w:tcPr>
            <w:tcW w:w="980" w:type="dxa"/>
            <w:vAlign w:val="bottom"/>
          </w:tcPr>
          <w:p>
            <w:pPr>
              <w:spacing w:after="0"/>
              <w:rPr>
                <w:sz w:val="12"/>
                <w:szCs w:val="12"/>
                <w:color w:val="auto"/>
              </w:rPr>
            </w:pPr>
          </w:p>
        </w:tc>
      </w:tr>
      <w:tr>
        <w:trPr>
          <w:trHeight w:val="135"/>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All Other Stock Awards:</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980" w:type="dxa"/>
            <w:vAlign w:val="bottom"/>
          </w:tcPr>
          <w:p>
            <w:pPr>
              <w:jc w:val="center"/>
              <w:ind w:left="59"/>
              <w:spacing w:after="0" w:line="135" w:lineRule="exact"/>
              <w:rPr>
                <w:sz w:val="20"/>
                <w:szCs w:val="20"/>
                <w:color w:val="auto"/>
              </w:rPr>
            </w:pPr>
            <w:r>
              <w:rPr>
                <w:rFonts w:ascii="Times New Roman" w:cs="Times New Roman" w:eastAsia="Times New Roman" w:hAnsi="Times New Roman"/>
                <w:sz w:val="12"/>
                <w:szCs w:val="12"/>
                <w:b w:val="1"/>
                <w:bCs w:val="1"/>
                <w:color w:val="auto"/>
              </w:rPr>
              <w:t>Exercise or Base</w:t>
            </w:r>
          </w:p>
        </w:tc>
      </w:tr>
      <w:tr>
        <w:trPr>
          <w:trHeight w:val="135"/>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 Shares of</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Underlying Options</w:t>
            </w:r>
          </w:p>
        </w:tc>
        <w:tc>
          <w:tcPr>
            <w:tcW w:w="980" w:type="dxa"/>
            <w:vAlign w:val="bottom"/>
          </w:tcPr>
          <w:p>
            <w:pPr>
              <w:jc w:val="center"/>
              <w:ind w:left="39"/>
              <w:spacing w:after="0" w:line="135" w:lineRule="exact"/>
              <w:rPr>
                <w:sz w:val="20"/>
                <w:szCs w:val="20"/>
                <w:color w:val="auto"/>
              </w:rPr>
            </w:pPr>
            <w:r>
              <w:rPr>
                <w:rFonts w:ascii="Times New Roman" w:cs="Times New Roman" w:eastAsia="Times New Roman" w:hAnsi="Times New Roman"/>
                <w:sz w:val="12"/>
                <w:szCs w:val="12"/>
                <w:b w:val="1"/>
                <w:bCs w:val="1"/>
                <w:color w:val="auto"/>
              </w:rPr>
              <w:t>Price of Option</w:t>
            </w: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58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 or Units</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rPr>
              <w:t>Awards ($/Sh)</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2"/>
          <w:szCs w:val="12"/>
          <w:b w:val="1"/>
          <w:bCs w:val="1"/>
          <w:color w:val="auto"/>
        </w:rPr>
        <w:t>Grant Date Fair Value of</w:t>
      </w:r>
    </w:p>
    <w:p>
      <w:pPr>
        <w:spacing w:after="0" w:line="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2"/>
          <w:szCs w:val="12"/>
          <w:b w:val="1"/>
          <w:bCs w:val="1"/>
          <w:color w:val="auto"/>
        </w:rPr>
        <w:t>Stock and Option</w:t>
      </w:r>
    </w:p>
    <w:p>
      <w:pPr>
        <w:ind w:left="400"/>
        <w:spacing w:after="0" w:line="223" w:lineRule="auto"/>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(1)</w:t>
      </w:r>
    </w:p>
    <w:p>
      <w:pPr>
        <w:spacing w:after="0" w:line="1" w:lineRule="exact"/>
        <w:rPr>
          <w:sz w:val="20"/>
          <w:szCs w:val="20"/>
          <w:color w:val="auto"/>
        </w:rPr>
      </w:pPr>
    </w:p>
    <w:p>
      <w:pPr>
        <w:sectPr>
          <w:pgSz w:w="11900" w:h="16838" w:orient="portrait"/>
          <w:cols w:equalWidth="0" w:num="2">
            <w:col w:w="7120" w:space="240"/>
            <w:col w:w="165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5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8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200" w:type="dxa"/>
            <w:vAlign w:val="bottom"/>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248"/>
              <w:spacing w:after="0" w:line="250" w:lineRule="exact"/>
              <w:rPr>
                <w:sz w:val="20"/>
                <w:szCs w:val="20"/>
                <w:color w:val="auto"/>
              </w:rPr>
            </w:pPr>
            <w:r>
              <w:rPr>
                <w:rFonts w:ascii="Times New Roman" w:cs="Times New Roman" w:eastAsia="Times New Roman" w:hAnsi="Times New Roman"/>
                <w:sz w:val="14"/>
                <w:szCs w:val="14"/>
                <w:color w:val="auto"/>
              </w:rPr>
              <w:t>519,915</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1.80</w:t>
            </w:r>
          </w:p>
        </w:tc>
        <w:tc>
          <w:tcPr>
            <w:tcW w:w="200" w:type="dxa"/>
            <w:vAlign w:val="bottom"/>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698,350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1520" w:type="dxa"/>
            <w:vAlign w:val="bottom"/>
            <w:gridSpan w:val="2"/>
          </w:tcPr>
          <w:p>
            <w:pPr>
              <w:jc w:val="right"/>
              <w:ind w:right="228"/>
              <w:spacing w:after="0" w:line="230" w:lineRule="exact"/>
              <w:rPr>
                <w:sz w:val="20"/>
                <w:szCs w:val="20"/>
                <w:color w:val="auto"/>
              </w:rPr>
            </w:pPr>
            <w:r>
              <w:rPr>
                <w:rFonts w:ascii="Times New Roman" w:cs="Times New Roman" w:eastAsia="Times New Roman" w:hAnsi="Times New Roman"/>
                <w:sz w:val="14"/>
                <w:szCs w:val="14"/>
                <w:color w:val="auto"/>
              </w:rPr>
              <w:t>163,890</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295,002</w:t>
            </w:r>
          </w:p>
        </w:tc>
      </w:tr>
      <w:tr>
        <w:trPr>
          <w:trHeight w:val="230"/>
        </w:trPr>
        <w:tc>
          <w:tcPr>
            <w:tcW w:w="18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David H. Mack, Ph.D.</w:t>
            </w:r>
            <w:r>
              <w:rPr>
                <w:rFonts w:ascii="Times New Roman" w:cs="Times New Roman" w:eastAsia="Times New Roman" w:hAnsi="Times New Roman"/>
                <w:sz w:val="23"/>
                <w:szCs w:val="23"/>
                <w:color w:val="auto"/>
                <w:vertAlign w:val="superscript"/>
              </w:rPr>
              <w:t>(4)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248"/>
              <w:spacing w:after="0" w:line="230" w:lineRule="exact"/>
              <w:rPr>
                <w:sz w:val="20"/>
                <w:szCs w:val="20"/>
                <w:color w:val="auto"/>
              </w:rPr>
            </w:pPr>
            <w:r>
              <w:rPr>
                <w:rFonts w:ascii="Times New Roman" w:cs="Times New Roman" w:eastAsia="Times New Roman" w:hAnsi="Times New Roman"/>
                <w:sz w:val="14"/>
                <w:szCs w:val="14"/>
                <w:color w:val="auto"/>
              </w:rPr>
              <w:t>384,184</w:t>
            </w:r>
            <w:r>
              <w:rPr>
                <w:rFonts w:ascii="Times New Roman" w:cs="Times New Roman" w:eastAsia="Times New Roman" w:hAnsi="Times New Roman"/>
                <w:sz w:val="23"/>
                <w:szCs w:val="23"/>
                <w:color w:val="auto"/>
                <w:vertAlign w:val="superscript"/>
              </w:rPr>
              <w:t>(5)</w:t>
            </w:r>
          </w:p>
        </w:tc>
        <w:tc>
          <w:tcPr>
            <w:tcW w:w="10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568,592</w:t>
            </w:r>
          </w:p>
        </w:tc>
      </w:tr>
      <w:tr>
        <w:trPr>
          <w:trHeight w:val="230"/>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David H. Mack, Ph.D.</w:t>
            </w:r>
            <w:r>
              <w:rPr>
                <w:rFonts w:ascii="Times New Roman" w:cs="Times New Roman" w:eastAsia="Times New Roman" w:hAnsi="Times New Roman"/>
                <w:sz w:val="23"/>
                <w:szCs w:val="23"/>
                <w:color w:val="auto"/>
                <w:vertAlign w:val="superscript"/>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tcPr>
          <w:p>
            <w:pPr>
              <w:spacing w:after="0"/>
              <w:rPr>
                <w:sz w:val="19"/>
                <w:szCs w:val="19"/>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48"/>
              <w:spacing w:after="0" w:line="230" w:lineRule="exact"/>
              <w:rPr>
                <w:sz w:val="20"/>
                <w:szCs w:val="20"/>
                <w:color w:val="auto"/>
              </w:rPr>
            </w:pPr>
            <w:r>
              <w:rPr>
                <w:rFonts w:ascii="Times New Roman" w:cs="Times New Roman" w:eastAsia="Times New Roman" w:hAnsi="Times New Roman"/>
                <w:sz w:val="14"/>
                <w:szCs w:val="14"/>
                <w:color w:val="auto"/>
              </w:rPr>
              <w:t>330,000</w:t>
            </w:r>
            <w:r>
              <w:rPr>
                <w:rFonts w:ascii="Times New Roman" w:cs="Times New Roman" w:eastAsia="Times New Roman" w:hAnsi="Times New Roman"/>
                <w:sz w:val="23"/>
                <w:szCs w:val="23"/>
                <w:color w:val="auto"/>
                <w:vertAlign w:val="superscript"/>
              </w:rPr>
              <w:t>(6)</w:t>
            </w:r>
          </w:p>
        </w:tc>
        <w:tc>
          <w:tcPr>
            <w:tcW w:w="10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448,400</w:t>
            </w:r>
          </w:p>
        </w:tc>
      </w:tr>
      <w:tr>
        <w:trPr>
          <w:trHeight w:val="22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248"/>
              <w:spacing w:after="0" w:line="230" w:lineRule="exact"/>
              <w:rPr>
                <w:sz w:val="20"/>
                <w:szCs w:val="20"/>
                <w:color w:val="auto"/>
              </w:rPr>
            </w:pPr>
            <w:r>
              <w:rPr>
                <w:rFonts w:ascii="Times New Roman" w:cs="Times New Roman" w:eastAsia="Times New Roman" w:hAnsi="Times New Roman"/>
                <w:sz w:val="14"/>
                <w:szCs w:val="14"/>
                <w:color w:val="auto"/>
              </w:rPr>
              <w:t>204,630</w:t>
            </w:r>
            <w:r>
              <w:rPr>
                <w:rFonts w:ascii="Times New Roman" w:cs="Times New Roman" w:eastAsia="Times New Roman" w:hAnsi="Times New Roman"/>
                <w:sz w:val="23"/>
                <w:szCs w:val="23"/>
                <w:color w:val="auto"/>
                <w:vertAlign w:val="superscript"/>
              </w:rPr>
              <w:t>(2)</w:t>
            </w:r>
          </w:p>
        </w:tc>
        <w:tc>
          <w:tcPr>
            <w:tcW w:w="10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1.80</w:t>
            </w:r>
          </w:p>
        </w:tc>
        <w:tc>
          <w:tcPr>
            <w:tcW w:w="15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274,859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1520" w:type="dxa"/>
            <w:vAlign w:val="bottom"/>
            <w:gridSpan w:val="2"/>
          </w:tcPr>
          <w:p>
            <w:pPr>
              <w:jc w:val="right"/>
              <w:ind w:right="228"/>
              <w:spacing w:after="0" w:line="230" w:lineRule="exact"/>
              <w:rPr>
                <w:sz w:val="20"/>
                <w:szCs w:val="20"/>
                <w:color w:val="auto"/>
              </w:rPr>
            </w:pPr>
            <w:r>
              <w:rPr>
                <w:rFonts w:ascii="Times New Roman" w:cs="Times New Roman" w:eastAsia="Times New Roman" w:hAnsi="Times New Roman"/>
                <w:sz w:val="14"/>
                <w:szCs w:val="14"/>
                <w:color w:val="auto"/>
              </w:rPr>
              <w:t>82,220</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147,996</w:t>
            </w:r>
          </w:p>
        </w:tc>
      </w:tr>
      <w:tr>
        <w:trPr>
          <w:trHeight w:val="230"/>
        </w:trPr>
        <w:tc>
          <w:tcPr>
            <w:tcW w:w="18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Michael Carulli</w:t>
            </w:r>
            <w:r>
              <w:rPr>
                <w:rFonts w:ascii="Times New Roman" w:cs="Times New Roman" w:eastAsia="Times New Roman" w:hAnsi="Times New Roman"/>
                <w:sz w:val="23"/>
                <w:szCs w:val="23"/>
                <w:color w:val="auto"/>
                <w:vertAlign w:val="superscript"/>
              </w:rPr>
              <w:t>(4)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268"/>
              <w:spacing w:after="0" w:line="230" w:lineRule="exact"/>
              <w:rPr>
                <w:sz w:val="20"/>
                <w:szCs w:val="20"/>
                <w:color w:val="auto"/>
              </w:rPr>
            </w:pPr>
            <w:r>
              <w:rPr>
                <w:rFonts w:ascii="Times New Roman" w:cs="Times New Roman" w:eastAsia="Times New Roman" w:hAnsi="Times New Roman"/>
                <w:sz w:val="14"/>
                <w:szCs w:val="14"/>
                <w:color w:val="auto"/>
              </w:rPr>
              <w:t>40,805</w:t>
            </w:r>
            <w:r>
              <w:rPr>
                <w:rFonts w:ascii="Times New Roman" w:cs="Times New Roman" w:eastAsia="Times New Roman" w:hAnsi="Times New Roman"/>
                <w:sz w:val="23"/>
                <w:szCs w:val="23"/>
                <w:color w:val="auto"/>
                <w:vertAlign w:val="superscript"/>
              </w:rPr>
              <w:t>(5)</w:t>
            </w:r>
          </w:p>
        </w:tc>
        <w:tc>
          <w:tcPr>
            <w:tcW w:w="10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60,391</w:t>
            </w:r>
          </w:p>
        </w:tc>
      </w:tr>
      <w:tr>
        <w:trPr>
          <w:trHeight w:val="230"/>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Michael Carulli</w:t>
            </w:r>
            <w:r>
              <w:rPr>
                <w:rFonts w:ascii="Times New Roman" w:cs="Times New Roman" w:eastAsia="Times New Roman" w:hAnsi="Times New Roman"/>
                <w:sz w:val="23"/>
                <w:szCs w:val="23"/>
                <w:color w:val="auto"/>
                <w:vertAlign w:val="superscript"/>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tcPr>
          <w:p>
            <w:pPr>
              <w:spacing w:after="0"/>
              <w:rPr>
                <w:sz w:val="19"/>
                <w:szCs w:val="19"/>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68"/>
              <w:spacing w:after="0" w:line="230" w:lineRule="exact"/>
              <w:rPr>
                <w:sz w:val="20"/>
                <w:szCs w:val="20"/>
                <w:color w:val="auto"/>
              </w:rPr>
            </w:pPr>
            <w:r>
              <w:rPr>
                <w:rFonts w:ascii="Times New Roman" w:cs="Times New Roman" w:eastAsia="Times New Roman" w:hAnsi="Times New Roman"/>
                <w:sz w:val="14"/>
                <w:szCs w:val="14"/>
                <w:color w:val="auto"/>
              </w:rPr>
              <w:t>75,000</w:t>
            </w:r>
            <w:r>
              <w:rPr>
                <w:rFonts w:ascii="Times New Roman" w:cs="Times New Roman" w:eastAsia="Times New Roman" w:hAnsi="Times New Roman"/>
                <w:sz w:val="23"/>
                <w:szCs w:val="23"/>
                <w:color w:val="auto"/>
                <w:vertAlign w:val="superscript"/>
              </w:rPr>
              <w:t>(6)</w:t>
            </w:r>
          </w:p>
        </w:tc>
        <w:tc>
          <w:tcPr>
            <w:tcW w:w="10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111,000</w:t>
            </w:r>
          </w:p>
        </w:tc>
      </w:tr>
      <w:tr>
        <w:trPr>
          <w:trHeight w:val="23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Deepika Jalota, Pharm.D.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248"/>
              <w:spacing w:after="0" w:line="230" w:lineRule="exact"/>
              <w:rPr>
                <w:sz w:val="20"/>
                <w:szCs w:val="20"/>
                <w:color w:val="auto"/>
              </w:rPr>
            </w:pPr>
            <w:r>
              <w:rPr>
                <w:rFonts w:ascii="Times New Roman" w:cs="Times New Roman" w:eastAsia="Times New Roman" w:hAnsi="Times New Roman"/>
                <w:sz w:val="14"/>
                <w:szCs w:val="14"/>
                <w:color w:val="auto"/>
              </w:rPr>
              <w:t>225,095</w:t>
            </w:r>
            <w:r>
              <w:rPr>
                <w:rFonts w:ascii="Times New Roman" w:cs="Times New Roman" w:eastAsia="Times New Roman" w:hAnsi="Times New Roman"/>
                <w:sz w:val="23"/>
                <w:szCs w:val="23"/>
                <w:color w:val="auto"/>
                <w:vertAlign w:val="superscript"/>
              </w:rPr>
              <w:t>(2)</w:t>
            </w:r>
          </w:p>
        </w:tc>
        <w:tc>
          <w:tcPr>
            <w:tcW w:w="10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1.80</w:t>
            </w:r>
          </w:p>
        </w:tc>
        <w:tc>
          <w:tcPr>
            <w:tcW w:w="15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302,348</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Deepika Jalota, Pharm.D.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01/18/2024</w:t>
            </w:r>
          </w:p>
        </w:tc>
        <w:tc>
          <w:tcPr>
            <w:tcW w:w="1520" w:type="dxa"/>
            <w:vAlign w:val="bottom"/>
            <w:gridSpan w:val="2"/>
          </w:tcPr>
          <w:p>
            <w:pPr>
              <w:jc w:val="right"/>
              <w:ind w:right="228"/>
              <w:spacing w:after="0" w:line="230" w:lineRule="exact"/>
              <w:rPr>
                <w:sz w:val="20"/>
                <w:szCs w:val="20"/>
                <w:color w:val="auto"/>
              </w:rPr>
            </w:pPr>
            <w:r>
              <w:rPr>
                <w:rFonts w:ascii="Times New Roman" w:cs="Times New Roman" w:eastAsia="Times New Roman" w:hAnsi="Times New Roman"/>
                <w:sz w:val="14"/>
                <w:szCs w:val="14"/>
                <w:color w:val="auto"/>
              </w:rPr>
              <w:t>95,555</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171,999</w:t>
            </w:r>
          </w:p>
        </w:tc>
      </w:tr>
      <w:tr>
        <w:trPr>
          <w:trHeight w:val="230"/>
        </w:trPr>
        <w:tc>
          <w:tcPr>
            <w:tcW w:w="18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Deepika Jalota, Pharm.D.</w:t>
            </w:r>
            <w:r>
              <w:rPr>
                <w:rFonts w:ascii="Times New Roman" w:cs="Times New Roman" w:eastAsia="Times New Roman" w:hAnsi="Times New Roman"/>
                <w:sz w:val="23"/>
                <w:szCs w:val="23"/>
                <w:color w:val="auto"/>
                <w:vertAlign w:val="superscript"/>
              </w:rPr>
              <w:t>(4)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268"/>
              <w:spacing w:after="0" w:line="230" w:lineRule="exact"/>
              <w:rPr>
                <w:sz w:val="20"/>
                <w:szCs w:val="20"/>
                <w:color w:val="auto"/>
              </w:rPr>
            </w:pPr>
            <w:r>
              <w:rPr>
                <w:rFonts w:ascii="Times New Roman" w:cs="Times New Roman" w:eastAsia="Times New Roman" w:hAnsi="Times New Roman"/>
                <w:sz w:val="14"/>
                <w:szCs w:val="14"/>
                <w:color w:val="auto"/>
              </w:rPr>
              <w:t>90,774</w:t>
            </w:r>
            <w:r>
              <w:rPr>
                <w:rFonts w:ascii="Times New Roman" w:cs="Times New Roman" w:eastAsia="Times New Roman" w:hAnsi="Times New Roman"/>
                <w:sz w:val="23"/>
                <w:szCs w:val="23"/>
                <w:color w:val="auto"/>
                <w:vertAlign w:val="superscript"/>
              </w:rPr>
              <w:t>(5)</w:t>
            </w:r>
          </w:p>
        </w:tc>
        <w:tc>
          <w:tcPr>
            <w:tcW w:w="10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134,346</w:t>
            </w:r>
          </w:p>
        </w:tc>
      </w:tr>
      <w:tr>
        <w:trPr>
          <w:trHeight w:val="31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Deepika Jalota, Pharm.D.</w:t>
            </w:r>
            <w:r>
              <w:rPr>
                <w:rFonts w:ascii="Times New Roman" w:cs="Times New Roman" w:eastAsia="Times New Roman" w:hAnsi="Times New Roman"/>
                <w:sz w:val="23"/>
                <w:szCs w:val="23"/>
                <w:color w:val="auto"/>
                <w:vertAlign w:val="superscript"/>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08/13/2024</w:t>
            </w:r>
          </w:p>
        </w:tc>
        <w:tc>
          <w:tcPr>
            <w:tcW w:w="200" w:type="dxa"/>
            <w:vAlign w:val="bottom"/>
          </w:tcPr>
          <w:p>
            <w:pPr>
              <w:spacing w:after="0"/>
              <w:rPr>
                <w:sz w:val="24"/>
                <w:szCs w:val="24"/>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125,000</w:t>
            </w:r>
            <w:r>
              <w:rPr>
                <w:rFonts w:ascii="Times New Roman" w:cs="Times New Roman" w:eastAsia="Times New Roman" w:hAnsi="Times New Roman"/>
                <w:sz w:val="23"/>
                <w:szCs w:val="23"/>
                <w:color w:val="auto"/>
                <w:vertAlign w:val="superscript"/>
              </w:rPr>
              <w:t>(6)</w:t>
            </w:r>
          </w:p>
        </w:tc>
        <w:tc>
          <w:tcPr>
            <w:tcW w:w="10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1.48</w:t>
            </w:r>
          </w:p>
        </w:tc>
        <w:tc>
          <w:tcPr>
            <w:tcW w:w="15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185,000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115570</wp:posOffset>
            </wp:positionV>
            <wp:extent cx="822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7" w:lineRule="exact"/>
        <w:rPr>
          <w:sz w:val="20"/>
          <w:szCs w:val="20"/>
          <w:color w:val="auto"/>
        </w:rPr>
      </w:pPr>
    </w:p>
    <w:p>
      <w:pPr>
        <w:jc w:val="both"/>
        <w:ind w:left="640" w:right="319" w:hanging="348"/>
        <w:spacing w:after="0" w:line="23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8 to the Company’s financial statements for the year ended December 31, 2024 included in the Company’s Annual Report on Form 10-K for such year. The amounts reported represents grants of options pursuant to our 2020 Equity Incentive Plan as described further in the table of outstanding equity awards below.</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the option vest in 48 equal monthly installments beginning on February 18,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80" w:hanging="348"/>
        <w:spacing w:after="0"/>
        <w:tabs>
          <w:tab w:leader="none" w:pos="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on June 30, 2025.</w:t>
      </w:r>
    </w:p>
    <w:p>
      <w:pPr>
        <w:spacing w:after="0" w:line="41" w:lineRule="exact"/>
        <w:rPr>
          <w:rFonts w:ascii="Times New Roman" w:cs="Times New Roman" w:eastAsia="Times New Roman" w:hAnsi="Times New Roman"/>
          <w:sz w:val="14"/>
          <w:szCs w:val="14"/>
          <w:color w:val="auto"/>
        </w:rPr>
      </w:pPr>
    </w:p>
    <w:p>
      <w:pPr>
        <w:ind w:left="680" w:right="860" w:hanging="348"/>
        <w:spacing w:after="0" w:line="261" w:lineRule="auto"/>
        <w:tabs>
          <w:tab w:leader="none" w:pos="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prior option grant that was cancelled and subsequently exchanged for a new option grant pursuant to the Tender Offer Statement on Schedule TO filed with the Securities and Exchange Commission on July 16, 2024, as amended.</w:t>
      </w:r>
    </w:p>
    <w:p>
      <w:pPr>
        <w:ind w:left="680" w:hanging="348"/>
        <w:spacing w:after="0"/>
        <w:tabs>
          <w:tab w:leader="none" w:pos="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of the shares subject to the option vest on August 13, 2025 and 1/36th vest monthly thereafter.</w:t>
      </w:r>
    </w:p>
    <w:p>
      <w:pPr>
        <w:spacing w:after="0" w:line="41"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One-fourth of the shares subject to the option vest on August 13, 2025 and 1/48th vest monthly thereafter.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2024 Year-End</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Equity</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Payout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Market</w:t>
            </w: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1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1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2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Other</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40" w:type="dxa"/>
            <w:vAlign w:val="bottom"/>
          </w:tcPr>
          <w:p>
            <w:pPr>
              <w:spacing w:after="0"/>
              <w:rPr>
                <w:sz w:val="8"/>
                <w:szCs w:val="8"/>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40" w:type="dxa"/>
            <w:vAlign w:val="bottom"/>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That</w:t>
            </w:r>
          </w:p>
        </w:tc>
        <w:tc>
          <w:tcPr>
            <w:tcW w:w="12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That</w:t>
            </w:r>
          </w:p>
        </w:tc>
        <w:tc>
          <w:tcPr>
            <w:tcW w:w="120" w:type="dxa"/>
            <w:vAlign w:val="bottom"/>
          </w:tcPr>
          <w:p>
            <w:pPr>
              <w:spacing w:after="0"/>
              <w:rPr>
                <w:sz w:val="8"/>
                <w:szCs w:val="8"/>
                <w:color w:val="auto"/>
              </w:rPr>
            </w:pPr>
          </w:p>
        </w:tc>
        <w:tc>
          <w:tcPr>
            <w:tcW w:w="76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Rights That</w:t>
            </w:r>
          </w:p>
        </w:tc>
        <w:tc>
          <w:tcPr>
            <w:tcW w:w="6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Rights</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40" w:type="dxa"/>
            <w:vAlign w:val="bottom"/>
          </w:tcPr>
          <w:p>
            <w:pPr>
              <w:spacing w:after="0"/>
              <w:rPr>
                <w:sz w:val="8"/>
                <w:szCs w:val="8"/>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40" w:type="dxa"/>
            <w:vAlign w:val="bottom"/>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4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12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120" w:type="dxa"/>
            <w:vAlign w:val="bottom"/>
          </w:tcPr>
          <w:p>
            <w:pPr>
              <w:spacing w:after="0"/>
              <w:rPr>
                <w:sz w:val="8"/>
                <w:szCs w:val="8"/>
                <w:color w:val="auto"/>
              </w:rPr>
            </w:pPr>
          </w:p>
        </w:tc>
        <w:tc>
          <w:tcPr>
            <w:tcW w:w="76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6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That Have</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Grant</w:t>
            </w: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Exercisable</w:t>
            </w:r>
          </w:p>
        </w:tc>
        <w:tc>
          <w:tcPr>
            <w:tcW w:w="140" w:type="dxa"/>
            <w:vAlign w:val="bottom"/>
          </w:tcPr>
          <w:p>
            <w:pPr>
              <w:spacing w:after="0"/>
              <w:rPr>
                <w:sz w:val="8"/>
                <w:szCs w:val="8"/>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Unexercisable</w:t>
            </w:r>
          </w:p>
        </w:tc>
        <w:tc>
          <w:tcPr>
            <w:tcW w:w="140" w:type="dxa"/>
            <w:vAlign w:val="bottom"/>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14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12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120" w:type="dxa"/>
            <w:vAlign w:val="bottom"/>
          </w:tcPr>
          <w:p>
            <w:pPr>
              <w:spacing w:after="0"/>
              <w:rPr>
                <w:sz w:val="8"/>
                <w:szCs w:val="8"/>
                <w:color w:val="auto"/>
              </w:rPr>
            </w:pPr>
          </w:p>
        </w:tc>
        <w:tc>
          <w:tcPr>
            <w:tcW w:w="76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Not Vested</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spacing w:after="0" w:line="210" w:lineRule="exact"/>
              <w:rPr>
                <w:sz w:val="20"/>
                <w:szCs w:val="20"/>
                <w:color w:val="auto"/>
              </w:rPr>
            </w:pPr>
            <w:r>
              <w:rPr>
                <w:rFonts w:ascii="Times New Roman" w:cs="Times New Roman" w:eastAsia="Times New Roman" w:hAnsi="Times New Roman"/>
                <w:sz w:val="12"/>
                <w:szCs w:val="12"/>
                <w:b w:val="1"/>
                <w:bCs w:val="1"/>
                <w:color w:val="auto"/>
                <w:w w:val="90"/>
              </w:rPr>
              <w:t>Date</w:t>
            </w:r>
            <w:r>
              <w:rPr>
                <w:rFonts w:ascii="Times New Roman" w:cs="Times New Roman" w:eastAsia="Times New Roman" w:hAnsi="Times New Roman"/>
                <w:sz w:val="20"/>
                <w:szCs w:val="20"/>
                <w:b w:val="1"/>
                <w:bCs w:val="1"/>
                <w:color w:val="auto"/>
                <w:w w:val="90"/>
                <w:vertAlign w:val="superscript"/>
              </w:rPr>
              <w:t>(1)</w:t>
            </w:r>
          </w:p>
        </w:tc>
        <w:tc>
          <w:tcPr>
            <w:tcW w:w="160" w:type="dxa"/>
            <w:vAlign w:val="bottom"/>
            <w:vMerge w:val="restart"/>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vMerge w:val="restart"/>
          </w:tcPr>
          <w:p>
            <w:pPr>
              <w:spacing w:after="0"/>
              <w:rPr>
                <w:sz w:val="2"/>
                <w:szCs w:val="2"/>
                <w:color w:val="auto"/>
              </w:rPr>
            </w:pPr>
          </w:p>
        </w:tc>
        <w:tc>
          <w:tcPr>
            <w:tcW w:w="460" w:type="dxa"/>
            <w:vAlign w:val="bottom"/>
            <w:vMerge w:val="restart"/>
          </w:tcPr>
          <w:p>
            <w:pPr>
              <w:jc w:val="right"/>
              <w:ind w:right="36"/>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9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05/12/2015</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17,709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0.53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5/12/2025</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11/16/2016</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220,643</w:t>
            </w:r>
          </w:p>
        </w:tc>
        <w:tc>
          <w:tcPr>
            <w:tcW w:w="14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11/16/2026</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05/16/2017</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460,769</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2.95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5/16/2027</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03/10/2020</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219,748</w:t>
            </w:r>
          </w:p>
        </w:tc>
        <w:tc>
          <w:tcPr>
            <w:tcW w:w="14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3.90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03/10/2030</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119,146</w:t>
            </w:r>
          </w:p>
        </w:tc>
        <w:tc>
          <w:tcPr>
            <w:tcW w:w="8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400,769</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1.80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01/18/2034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163,890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295,002</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(6)</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384,184</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330,000</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06/02/2020</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24,632</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4.22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06/02/2030</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46,894</w:t>
            </w:r>
          </w:p>
        </w:tc>
        <w:tc>
          <w:tcPr>
            <w:tcW w:w="86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157,736</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1.80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01/18/2034</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1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(8)</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40,805</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Carulli</w:t>
            </w:r>
          </w:p>
        </w:tc>
        <w:tc>
          <w:tcPr>
            <w:tcW w:w="1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(9)</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75,000</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08/21/2019</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0"/>
                <w:szCs w:val="10"/>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87,320</w:t>
            </w:r>
          </w:p>
        </w:tc>
        <w:tc>
          <w:tcPr>
            <w:tcW w:w="140" w:type="dxa"/>
            <w:vAlign w:val="bottom"/>
          </w:tcPr>
          <w:p>
            <w:pPr>
              <w:spacing w:after="0"/>
              <w:rPr>
                <w:sz w:val="10"/>
                <w:szCs w:val="10"/>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3.53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08/21/2029</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03/10/2020</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17,093</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3.90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03/10/2030</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01/18/2024</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0"/>
                <w:szCs w:val="10"/>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51,583</w:t>
            </w:r>
          </w:p>
        </w:tc>
        <w:tc>
          <w:tcPr>
            <w:tcW w:w="8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173,512</w:t>
            </w:r>
          </w:p>
        </w:tc>
        <w:tc>
          <w:tcPr>
            <w:tcW w:w="1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1.80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01/18/2034</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01/18/2024</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95,555</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171,999</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93"/>
              </w:rPr>
              <w:t>08/13/2024</w:t>
            </w:r>
            <w:r>
              <w:rPr>
                <w:rFonts w:ascii="Times New Roman" w:cs="Times New Roman" w:eastAsia="Times New Roman" w:hAnsi="Times New Roman"/>
                <w:sz w:val="23"/>
                <w:szCs w:val="23"/>
                <w:color w:val="auto"/>
                <w:w w:val="93"/>
                <w:vertAlign w:val="superscript"/>
              </w:rPr>
              <w:t>(10)</w:t>
            </w:r>
          </w:p>
        </w:tc>
        <w:tc>
          <w:tcPr>
            <w:tcW w:w="160" w:type="dxa"/>
            <w:vAlign w:val="bottom"/>
          </w:tcPr>
          <w:p>
            <w:pPr>
              <w:spacing w:after="0"/>
              <w:rPr>
                <w:sz w:val="10"/>
                <w:szCs w:val="10"/>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90,774</w:t>
            </w:r>
          </w:p>
        </w:tc>
        <w:tc>
          <w:tcPr>
            <w:tcW w:w="1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10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3"/>
              </w:rPr>
              <w:t>08/13/2024</w:t>
            </w:r>
            <w:r>
              <w:rPr>
                <w:rFonts w:ascii="Times New Roman" w:cs="Times New Roman" w:eastAsia="Times New Roman" w:hAnsi="Times New Roman"/>
                <w:sz w:val="23"/>
                <w:szCs w:val="23"/>
                <w:color w:val="auto"/>
                <w:w w:val="93"/>
                <w:vertAlign w:val="superscript"/>
              </w:rPr>
              <w:t>(11)</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125,000</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08/13/2034</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Pharm.D.</w:t>
            </w: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ind w:left="360" w:right="100" w:hanging="352"/>
        <w:spacing w:after="0" w:line="24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options to purchase shares of our common stock granted prior to September 21, 2020 were granted pursuant to our 2013 Plan (as defined below), and outstanding options to purchase shares of our common stock granted on or after September 21, 2020, were granted pursuant to our 2020 Plan (as defined below).</w:t>
      </w:r>
    </w:p>
    <w:p>
      <w:pPr>
        <w:spacing w:after="0" w:line="14"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our common stock on the date of grant, as determined by our board of directors.</w:t>
      </w:r>
    </w:p>
    <w:p>
      <w:pPr>
        <w:spacing w:after="0" w:line="4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are fully vested.</w:t>
      </w:r>
    </w:p>
    <w:p>
      <w:pPr>
        <w:spacing w:after="0" w:line="41" w:lineRule="exact"/>
        <w:rPr>
          <w:rFonts w:ascii="Times New Roman" w:cs="Times New Roman" w:eastAsia="Times New Roman" w:hAnsi="Times New Roman"/>
          <w:sz w:val="14"/>
          <w:szCs w:val="14"/>
          <w:color w:val="auto"/>
        </w:rPr>
      </w:pPr>
    </w:p>
    <w:p>
      <w:pPr>
        <w:ind w:left="360" w:right="100" w:hanging="352"/>
        <w:spacing w:after="0" w:line="26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to 1/48th of the shares of common stock underlying it in equal monthly installments beginning on February 18, 2024 and monthly thereafter, subject to the named executive officer’s continued service through each vesting date.</w:t>
      </w:r>
    </w:p>
    <w:p>
      <w:pPr>
        <w:ind w:left="36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on June 30, 2025.</w:t>
      </w:r>
    </w:p>
    <w:p>
      <w:pPr>
        <w:spacing w:after="0" w:line="41" w:lineRule="exact"/>
        <w:rPr>
          <w:rFonts w:ascii="Times New Roman" w:cs="Times New Roman" w:eastAsia="Times New Roman" w:hAnsi="Times New Roman"/>
          <w:sz w:val="14"/>
          <w:szCs w:val="14"/>
          <w:color w:val="auto"/>
        </w:rPr>
      </w:pPr>
    </w:p>
    <w:p>
      <w:pPr>
        <w:ind w:left="360" w:right="4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Statement on Schedule TO filed with the Securities and Exchange Commission on July 16, 2024, as amended (the “Tender Offer”), on August 13, 2024, the company cancelled two outstanding option grants then held by Dr. Mack: (i) an option for 134,584 shares of common stock, initially granted to Dr. Mack on May 12, 2021; and (ii) an option for 249,600 shares of common stock, initially granted to Dr. Mack on February 10, 2022 ((i) and (ii), together, the “Mack Cancelled Grants”). Pursuant to the Tender Offer, in exchange for the Mack Cancelled Grants, the company granted two new option grants to Dr. Mack on August 13, 2024: (i) an option for 134,584 shares of common stock; and (ii) an option for 249,600 shares of common stock ((i) and (ii), together, the “Mack New Grants”). The Mack New Grants vests as to 1/3rd of the shares of our common stock underlying it on August 13, 2025, and 1/36th vest each month thereafter, subject to the named executive officer’s continued service through each vesting date.</w:t>
      </w:r>
    </w:p>
    <w:p>
      <w:pPr>
        <w:spacing w:after="0" w:line="115" w:lineRule="exact"/>
        <w:rPr>
          <w:rFonts w:ascii="Times New Roman" w:cs="Times New Roman" w:eastAsia="Times New Roman" w:hAnsi="Times New Roman"/>
          <w:sz w:val="14"/>
          <w:szCs w:val="14"/>
          <w:color w:val="auto"/>
        </w:rPr>
      </w:pPr>
    </w:p>
    <w:p>
      <w:pPr>
        <w:ind w:left="360" w:right="60" w:hanging="352"/>
        <w:spacing w:after="0" w:line="233"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Dr. Mack: an option for 330,000 shares of common stock, initially granted to Dr. Mack on May 12, 2023. Pursuant to the Tender Offer, in exchange for such cancelled option grant, the company granted one new option grant to Dr. Mack on August 13, 2024: an option for 330,000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360" w:right="60" w:hanging="352"/>
        <w:spacing w:after="0" w:line="229"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two outstanding option grants then held by Mr. Carulli: (i) an option for 13,605 shares of common stock, initially granted to Mr. Carulli on May 12, 2021; and (ii) an option for 27,200 shares of common stock, initially granted to Mr. Carulli on February 10, 2022 ((i) and (ii), together, the “Carulli Cancelled Grants”). Pursuant to the Tender Offer, in exchange for the Carulli Cancelled Grants, the company granted two new option grants to Mr. Carulli on August 13, 2024: (i) an option for 13,605 shares of common stock; and (ii) an option for 27,200 shares of common stock ((i) and (ii), together, the “Carulli New Grants”). The Carulli New Grants vests as to 1/3rd of the shares of our common stock underlying it on August 13, 2025, and 1/36th vest each month thereafter, subject to the named executive officer’s continued service through each vesting date.</w:t>
      </w:r>
    </w:p>
    <w:p>
      <w:pPr>
        <w:spacing w:after="0" w:line="18" w:lineRule="exact"/>
        <w:rPr>
          <w:rFonts w:ascii="Times New Roman" w:cs="Times New Roman" w:eastAsia="Times New Roman" w:hAnsi="Times New Roman"/>
          <w:sz w:val="14"/>
          <w:szCs w:val="14"/>
          <w:color w:val="auto"/>
        </w:rPr>
      </w:pPr>
    </w:p>
    <w:p>
      <w:pPr>
        <w:ind w:left="360" w:right="120" w:hanging="352"/>
        <w:spacing w:after="0" w:line="233"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Mr. Carulli: an option for 75,000 shares of common stock, initially granted to Mr. Carulli on May 12, 2023. Pursuant to the Tender Offer, in exchange for such cancelled option grant, the company granted one new option grant to Mr. Carulli on August 13, 2024: an option for 75,000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15" w:lineRule="exact"/>
        <w:rPr>
          <w:rFonts w:ascii="Times New Roman" w:cs="Times New Roman" w:eastAsia="Times New Roman" w:hAnsi="Times New Roman"/>
          <w:sz w:val="14"/>
          <w:szCs w:val="14"/>
          <w:color w:val="auto"/>
        </w:rPr>
      </w:pPr>
    </w:p>
    <w:p>
      <w:pPr>
        <w:ind w:left="360" w:right="40" w:hanging="352"/>
        <w:spacing w:after="0" w:line="229"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two outstanding option grants then held by Dr. Jalota: (i) an option for 22,674 shares of common stock, initially granted to Dr. Jalota on May 12, 2021; and (ii) an option for 68,100 shares of common stock, initially granted to Dr. Jalota on February 10, 2022 ((i) and (ii), together, the “Jalota Cancelled Grants”). Pursuant to the Tender Offer, in exchange for the Jalota Cancelled Grants, the company granted two new option grants to Dr. Jalota on August 13, 2024: (i) an option for 22,674 shares of common stock; and (ii) an option for 68,100 shares of common stock ((i) and (ii), together, the “Jalota New Grants”). The Jalota New Grants vests as to 1/3rd of the shares of our common stock underlying it on August 13, 2025, and 1/36th vest each month thereafter, subject to the named executive officer’s continued service through each vesting date.</w:t>
      </w:r>
    </w:p>
    <w:p>
      <w:pPr>
        <w:spacing w:after="0" w:line="18" w:lineRule="exact"/>
        <w:rPr>
          <w:rFonts w:ascii="Times New Roman" w:cs="Times New Roman" w:eastAsia="Times New Roman" w:hAnsi="Times New Roman"/>
          <w:sz w:val="14"/>
          <w:szCs w:val="14"/>
          <w:color w:val="auto"/>
        </w:rPr>
      </w:pPr>
    </w:p>
    <w:p>
      <w:pPr>
        <w:ind w:left="360" w:right="60" w:hanging="352"/>
        <w:spacing w:after="0" w:line="233"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Dr. Jalota: an option for 125,000 shares of common stock, initially granted to Dr. Jalota on May 12, 2023. Pursuant to the Tender Offer, in exchange for such cancelled option grant, the company granted one new option grant to Dr. Jalota on August 13, 2024: an option for 125,000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Internal Revenue Code of 1986, as amended (the “Code”). The 401(k) plan is intended to qualify under Sections 401(a) and 501(a) of the Code. We do not provide for any matching contributions under the 401(k) plan.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 Dr. Mack, Dr. Jalota, and Mr. Carulli are each participants in our Severance Policy. Under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agreements, if, within the period three months prior to and 12 months following a “change in control” (such period, the change in control period), we terminate the employment of the applicable named executive officer other than for “cause”, death or “disability” or the applicable named executive officer terminates his or her employment for “good reason” (as such terms are defined in the named executive officer’s change in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in the case of Dr. Jalota and Mr. Carulli, and 150%, in the case of Dr. Mack, of their base salary, as then in effect, (ii) a lump sum payment, less applicable withholdings, equal to 100%, in the case of Dr. Jalota and Mr. Carulli, and 150%, in the case of Dr. Mack, of their target bonus for the performance year in which such termination occurred, (iii) payment or reimbursement of premiums to maintain group health insurance continuation benefits pursuant to the Consolidated Omnibus Budget Reconciliation Act of 1985, as amended (“COBRA”) for the named executive officer and his or her dependents through 12 months, in the case of Dr. Jalota and Mr. Carulli, and 18 months, in the case of Dr. Mack, following such termination, and (iv) accelerated vesting as to 100% of the employee’s outstanding unvested equity awards.</w:t>
      </w:r>
    </w:p>
    <w:p>
      <w:pPr>
        <w:spacing w:after="0" w:line="9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in the case of Dr. Jalota and Mr. Carulli, and 12 months, in the case of Dr. Mack, of their base salary, as then in effect, (ii) payment or reimbursement of premiums to maintain group health insurance continuation benefits pursuant to COBRA for the employee and the named executive officer’s dependents through 9 months, in the case of Dr. Jalota and Mr. Carulli, and 12 months, in the case of Dr. Mack, following such termination, and (iii) accelerated vesting of time-based equity awards granted prior to the effective date of the first registration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statement that is filed by the Company and declared effective pursuant to Section 12(b) of the Exchange Act, with respect to the Company’s common stock in an amount that would have vested had the named executive officer’s employment continued through 6 months, in the case of Dr. Jalota and Mr. Carulli, and 12 months, in the case of Dr. Mack, following such termination.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each of these agreements, in the event any payment to, or benefits received by, the applicable employee pursuant to his or her change in control and severance agreement would be subject to the excise tax imposed by Section 4999 of the Code (as a result of a payment being classified as a parachute payment under Section 280G of the Code), the employee will receive such payment as would entitle the employee to receive the greatest after-tax benefit, even if it means that we pay him or her a lower aggregate payment so as to minimize or eliminate the potential excise tax imposed by Section 4999 of the Code.</w:t>
      </w:r>
    </w:p>
    <w:p>
      <w:pPr>
        <w:spacing w:after="0" w:line="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18"/>
          <w:szCs w:val="18"/>
          <w:color w:val="auto"/>
        </w:rPr>
        <w:t>. Our 2020 Equity Incentive Plan (the “2020 Plan”) provides that in the event of a merger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as defined under our 2020 Plan, each outstanding award will be treated as the administrator determines, without a participant’s consent. The administrator is not required to treat all awards, all awards held by a participant or all awards of the same type similarly.</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7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i w:val="1"/>
          <w:iCs w:val="1"/>
          <w:color w:val="auto"/>
        </w:rPr>
        <w:t>2013 Equity Incentive Plan</w:t>
      </w:r>
      <w:r>
        <w:rPr>
          <w:rFonts w:ascii="Times New Roman" w:cs="Times New Roman" w:eastAsia="Times New Roman" w:hAnsi="Times New Roman"/>
          <w:sz w:val="17"/>
          <w:szCs w:val="17"/>
          <w:color w:val="auto"/>
        </w:rPr>
        <w:t>. Our 2013 Equity Incentive Plan (the “2013 Plan”) provides that in the event of a merger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control, as defined under our 2013 Plan, each outstanding award will be treated as the administrator determines. The administrator is not required to treat all awards, all awards held by a participant or all awards of the same type similarly.</w:t>
      </w:r>
    </w:p>
    <w:p>
      <w:pPr>
        <w:spacing w:after="0" w:line="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in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28" w:name="page29"/>
    <w:bookmarkEnd w:id="28"/>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left="960" w:right="108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securities by directors, officers, employees, and other covered persons that we believe is reasonably designed to promote compliance with insider trading laws, rules and regulations, and applicable stock exchange listing requirements. A copy of our insider trading policy was filed as an exhibit to our Annual Report on Form 10-K for the fiscal year ended December 31, 2024. In addition, with regard to the Company’s trading in its own securities, it is our policy to comply with the federal securities laws and the applicable exchange listing requirements.</w:t>
      </w:r>
    </w:p>
    <w:p>
      <w:pPr>
        <w:spacing w:after="0" w:line="3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960" w:right="1040"/>
        <w:spacing w:after="0" w:line="254"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In addition, our executive officers and the members of our board of directors are prohibited from, directly or indirectly, pledging any of our securities as collateral for any loans and holding our securities in a margin account.</w:t>
      </w:r>
    </w:p>
    <w:p>
      <w:pPr>
        <w:spacing w:after="0" w:line="3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21" w:lineRule="exact"/>
        <w:rPr>
          <w:sz w:val="20"/>
          <w:szCs w:val="20"/>
          <w:color w:val="auto"/>
        </w:rPr>
      </w:pPr>
    </w:p>
    <w:p>
      <w:pPr>
        <w:ind w:left="960" w:right="1060"/>
        <w:spacing w:after="0" w:line="261" w:lineRule="auto"/>
        <w:rPr>
          <w:sz w:val="20"/>
          <w:szCs w:val="20"/>
          <w:color w:val="auto"/>
        </w:rPr>
      </w:pPr>
      <w:r>
        <w:rPr>
          <w:rFonts w:ascii="Times New Roman" w:cs="Times New Roman" w:eastAsia="Times New Roman" w:hAnsi="Times New Roman"/>
          <w:sz w:val="18"/>
          <w:szCs w:val="18"/>
          <w:color w:val="auto"/>
        </w:rPr>
        <w:t>Our board of directors and the compensation committee do not take material nonpublic information into account when determining the timing and terms of any stock option grant. We have not timed the disclosure of material nonpublic information for the purpose of affecting the value of executive compensation. We have not adopted a formal policy related to timing of awards of stock options in relation to the disclosure of material nonpublic information.</w:t>
      </w:r>
    </w:p>
    <w:p>
      <w:pPr>
        <w:spacing w:after="0" w:line="72" w:lineRule="exact"/>
        <w:rPr>
          <w:sz w:val="20"/>
          <w:szCs w:val="20"/>
          <w:color w:val="auto"/>
        </w:rPr>
      </w:pPr>
    </w:p>
    <w:p>
      <w:pPr>
        <w:ind w:left="960" w:right="1020"/>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stock options issued to our named executive officers in 2024 during any period beginning four business days before the filing of a periodic report or current report disclosing material nonpublic information and ending one business day after the filing or furnishing of such report with the SEC. The following stock option grants were made on the same date that that we filed a Current Report on Form 8-K on January 18, 2024 with the SEC related to Item 2.05 announcing our restructuring plan involving the reduction of our workforce. Such Current Report on Form 8-K is not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the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between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01/18/2024</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519,915</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698,350</w:t>
            </w:r>
          </w:p>
        </w:tc>
        <w:tc>
          <w:tcPr>
            <w:tcW w:w="1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(15.70%)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Michael Carulli</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01/18/2024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204,630</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274,859</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(15.70%)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01/18/2024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225,095</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302,348</w:t>
            </w:r>
          </w:p>
        </w:tc>
        <w:tc>
          <w:tcPr>
            <w:tcW w:w="11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(15.70%)</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compensation information for our chief executive officer, referred to below as our PEO, and our other named executive officers, or NEOs, for purposes of comparing their compensation to the value of our shareholders’ investments and our net income (loss), calculated in accordance with SEC regulations, for fiscal years 2024, 2023, and 2022:</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SCT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3"/>
                <w:szCs w:val="13"/>
                <w:b w:val="1"/>
                <w:bCs w:val="1"/>
                <w:color w:val="auto"/>
              </w:rPr>
              <w:t>Based on:</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(“SCT”)</w:t>
            </w:r>
          </w:p>
        </w:tc>
        <w:tc>
          <w:tcPr>
            <w:tcW w:w="3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3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 to</w:t>
            </w:r>
          </w:p>
        </w:tc>
        <w:tc>
          <w:tcPr>
            <w:tcW w:w="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(“NEOs”)</w:t>
            </w:r>
            <w:r>
              <w:rPr>
                <w:rFonts w:ascii="Times New Roman" w:cs="Times New Roman" w:eastAsia="Times New Roman" w:hAnsi="Times New Roman"/>
                <w:sz w:val="17"/>
                <w:szCs w:val="17"/>
                <w:b w:val="1"/>
                <w:bCs w:val="1"/>
                <w:color w:val="auto"/>
                <w:vertAlign w:val="superscript"/>
              </w:rPr>
              <w:t>(2)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3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PEO</w:t>
            </w:r>
            <w:r>
              <w:rPr>
                <w:rFonts w:ascii="Times New Roman" w:cs="Times New Roman" w:eastAsia="Times New Roman" w:hAnsi="Times New Roman"/>
                <w:sz w:val="11"/>
                <w:szCs w:val="11"/>
                <w:b w:val="1"/>
                <w:bCs w:val="1"/>
                <w:color w:val="auto"/>
                <w:w w:val="96"/>
              </w:rPr>
              <w:t>(1)(2)</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61"/>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PEO</w:t>
            </w:r>
            <w:r>
              <w:rPr>
                <w:rFonts w:ascii="Times New Roman" w:cs="Times New Roman" w:eastAsia="Times New Roman" w:hAnsi="Times New Roman"/>
                <w:sz w:val="11"/>
                <w:szCs w:val="11"/>
                <w:b w:val="1"/>
                <w:bCs w:val="1"/>
                <w:color w:val="auto"/>
                <w:w w:val="96"/>
              </w:rPr>
              <w:t>(1)(3)</w:t>
            </w:r>
          </w:p>
        </w:tc>
        <w:tc>
          <w:tcPr>
            <w:tcW w:w="3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5"/>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NEOs</w:t>
            </w:r>
            <w:r>
              <w:rPr>
                <w:rFonts w:ascii="Times New Roman" w:cs="Times New Roman" w:eastAsia="Times New Roman" w:hAnsi="Times New Roman"/>
                <w:sz w:val="11"/>
                <w:szCs w:val="11"/>
                <w:b w:val="1"/>
                <w:bCs w:val="1"/>
                <w:color w:val="auto"/>
                <w:w w:val="93"/>
              </w:rPr>
              <w:t>(3)(4)</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320" w:type="dxa"/>
            <w:vAlign w:val="bottom"/>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50"/>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$4,760,281</w:t>
            </w:r>
          </w:p>
        </w:tc>
        <w:tc>
          <w:tcPr>
            <w:tcW w:w="1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$2,166,091</w:t>
            </w:r>
          </w:p>
        </w:tc>
        <w:tc>
          <w:tcPr>
            <w:tcW w:w="12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$1,654,265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$1,011,546</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$ 6.54</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$(58,709)</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$2,209,795</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513,651</w:t>
            </w:r>
          </w:p>
        </w:tc>
        <w:tc>
          <w:tcPr>
            <w:tcW w:w="12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$1,178,729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399,137</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$13.42</w:t>
            </w:r>
          </w:p>
        </w:tc>
        <w:tc>
          <w:tcPr>
            <w:tcW w:w="3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$(68,960)</w:t>
            </w: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$3,576,440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(519,251)</w:t>
            </w:r>
          </w:p>
        </w:tc>
        <w:tc>
          <w:tcPr>
            <w:tcW w:w="12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$2,129,278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(599,868)</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$37.66</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$(73,317)</w:t>
            </w:r>
          </w:p>
        </w:tc>
        <w:tc>
          <w:tcPr>
            <w:tcW w:w="0" w:type="dxa"/>
            <w:vAlign w:val="bottom"/>
          </w:tcPr>
          <w:p>
            <w:pPr>
              <w:spacing w:after="0"/>
              <w:rPr>
                <w:sz w:val="1"/>
                <w:szCs w:val="1"/>
                <w:color w:val="auto"/>
              </w:rPr>
            </w:pPr>
          </w:p>
        </w:tc>
      </w:tr>
      <w:tr>
        <w:trPr>
          <w:trHeight w:val="54"/>
        </w:trPr>
        <w:tc>
          <w:tcPr>
            <w:tcW w:w="10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8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shown, the PEO was David H. Mack, Ph.D., our President and Chief Executive Officer. Please see the section 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for additional information.</w:t>
      </w:r>
    </w:p>
    <w:p>
      <w:pPr>
        <w:ind w:left="640" w:right="45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“Total” column set forth in the SCT. Please see the footnotes to the SCT for further detail regarding the amounts in these columns.</w:t>
      </w:r>
    </w:p>
    <w:p>
      <w:pPr>
        <w:ind w:left="640" w:right="53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these columns represent the amounts of “compensation actually paid.” The amounts are computed in accordance with Item 402(v) of Regulation S-K by deducting and adding the amounts in the following reconciliation tables from the “Total” column of the SCT (pursuant to SEC rules, fair value at each measurement date is computed in a manner consistent with the fair value methodology used to account for share-based payments in our financial statements under GAAP).</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Non-PEO NEOs reflect the average SCT total compensation and average CAP for the following executives by fiscal year:</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2024: Deepika Jalota, Pharm.D. and Michael Carulli</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2023: Winston Kung and Deepika Jalota, Pharm.D.</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2022: Leila Alland, M.D. and Winston Kung</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PEO SCT Total to CAP Reconciliation</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
        </w:trPr>
        <w:tc>
          <w:tcPr>
            <w:tcW w:w="5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$ 4,760,281</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2,209,795</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3,576,440</w:t>
            </w:r>
          </w:p>
        </w:tc>
        <w:tc>
          <w:tcPr>
            <w:tcW w:w="80" w:type="dxa"/>
            <w:vAlign w:val="bottom"/>
            <w:shd w:val="clear" w:color="auto" w:fill="CCEEFF"/>
          </w:tcPr>
          <w:p>
            <w:pPr>
              <w:spacing w:after="0"/>
              <w:rPr>
                <w:sz w:val="21"/>
                <w:szCs w:val="21"/>
                <w:color w:val="auto"/>
              </w:rPr>
            </w:pPr>
          </w:p>
        </w:tc>
      </w:tr>
      <w:tr>
        <w:trPr>
          <w:trHeight w:val="284"/>
        </w:trPr>
        <w:tc>
          <w:tcPr>
            <w:tcW w:w="5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SCT Option and Stock Awards</w:t>
            </w:r>
            <w:r>
              <w:rPr>
                <w:rFonts w:ascii="Times New Roman" w:cs="Times New Roman" w:eastAsia="Times New Roman" w:hAnsi="Times New Roman"/>
                <w:sz w:val="29"/>
                <w:szCs w:val="29"/>
                <w:color w:val="auto"/>
                <w:vertAlign w:val="superscript"/>
              </w:rPr>
              <w:t>(1)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(3,817,215)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(1,328,712)</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(2,814,415)</w:t>
            </w:r>
          </w:p>
        </w:tc>
      </w:tr>
      <w:tr>
        <w:trPr>
          <w:trHeight w:val="21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Fair Value of Outstanding and Unvested Equity Awards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in the Year</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757,593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520,378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881,664</w:t>
            </w:r>
          </w:p>
        </w:tc>
      </w:tr>
      <w:tr>
        <w:trPr>
          <w:trHeight w:val="284"/>
        </w:trPr>
        <w:tc>
          <w:tcPr>
            <w:tcW w:w="5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Change in Fair Value of Existing Unvested Equity Awards</w:t>
            </w:r>
            <w:r>
              <w:rPr>
                <w:rFonts w:ascii="Times New Roman" w:cs="Times New Roman" w:eastAsia="Times New Roman" w:hAnsi="Times New Roman"/>
                <w:sz w:val="29"/>
                <w:szCs w:val="29"/>
                <w:color w:val="auto"/>
                <w:vertAlign w:val="superscript"/>
              </w:rPr>
              <w:t>(2)</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308,858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(714,199)</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(1,907,525)</w:t>
            </w: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Vested Equity Awards</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(330,487)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(658,894)</w:t>
            </w:r>
          </w:p>
        </w:tc>
      </w:tr>
      <w:tr>
        <w:trPr>
          <w:trHeight w:val="21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w w:val="98"/>
              </w:rPr>
              <w:t>Fair Value as of Vesting Date of Equity Awards Granted and Vested in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156,876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403,479</w:t>
            </w: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to PEO</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$ 2,166,091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513,651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(519,251)</w:t>
            </w:r>
          </w:p>
        </w:tc>
      </w:tr>
      <w:tr>
        <w:trPr>
          <w:trHeight w:val="27"/>
        </w:trPr>
        <w:tc>
          <w:tcPr>
            <w:tcW w:w="50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fair value of the equity awards to our PEO, as reported in the SCT.</w:t>
      </w:r>
    </w:p>
    <w:p>
      <w:pPr>
        <w:spacing w:after="0" w:line="41"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in connection with the Company offering of a one-time voluntary stock option exchange to its employees, stock options held by our CEO and Non-CEO NEOs were exchanged for new stock options with an exercise price equal to $1.48 per share and a new vesting schedule (“Option Exchange”), with all other terms remaining the same. As there had been no exercises of any of the previous stock options as of the date of the Option Exchange, both vested and unvested options were exchanged 1-for-1 for the new unvested stock options which had a vesting commencement date in September 2024. For purposes of calculating compensation actually paid, shown in the table above, the incremental change in fair value recognized related to the Option Exchange is reflected in this row.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16"/>
        </w:trPr>
        <w:tc>
          <w:tcPr>
            <w:tcW w:w="502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NEOs SCT Total to CAP Reconciliation</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$ 1,654,265</w:t>
            </w: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$1,178,729</w:t>
            </w: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2,129,278</w:t>
            </w:r>
          </w:p>
        </w:tc>
        <w:tc>
          <w:tcPr>
            <w:tcW w:w="80" w:type="dxa"/>
            <w:vAlign w:val="bottom"/>
            <w:shd w:val="clear" w:color="auto" w:fill="CCEEFF"/>
          </w:tcPr>
          <w:p>
            <w:pPr>
              <w:spacing w:after="0"/>
              <w:rPr>
                <w:sz w:val="21"/>
                <w:szCs w:val="21"/>
                <w:color w:val="auto"/>
              </w:rPr>
            </w:pPr>
          </w:p>
        </w:tc>
      </w:tr>
      <w:tr>
        <w:trPr>
          <w:trHeight w:val="283"/>
        </w:trPr>
        <w:tc>
          <w:tcPr>
            <w:tcW w:w="50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SCT Option Awards</w:t>
            </w:r>
            <w:r>
              <w:rPr>
                <w:rFonts w:ascii="Times New Roman" w:cs="Times New Roman" w:eastAsia="Times New Roman" w:hAnsi="Times New Roman"/>
                <w:sz w:val="29"/>
                <w:szCs w:val="29"/>
                <w:color w:val="auto"/>
                <w:vertAlign w:val="superscript"/>
              </w:rPr>
              <w:t>(1)</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(1,068,682)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(553,630)</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(1,177,183)</w:t>
            </w:r>
          </w:p>
        </w:tc>
      </w:tr>
      <w:tr>
        <w:trPr>
          <w:trHeight w:val="21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Fair Value of Outstanding and Unvested Equity Awards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in the Year</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345,034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153,264</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595,843</w:t>
            </w:r>
          </w:p>
        </w:tc>
      </w:tr>
      <w:tr>
        <w:trPr>
          <w:trHeight w:val="283"/>
        </w:trPr>
        <w:tc>
          <w:tcPr>
            <w:tcW w:w="50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Change in Fair Value of Existing Unvested Equity Awards</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(294,421)</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(1,621,768)</w:t>
            </w:r>
          </w:p>
        </w:tc>
      </w:tr>
      <w:tr>
        <w:trPr>
          <w:trHeight w:val="243"/>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Vested Equity Awards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(27,022)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(694,801)</w:t>
            </w:r>
          </w:p>
        </w:tc>
      </w:t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Vesting Date of Equity Awards Granted and Vested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168,763</w:t>
            </w:r>
          </w:p>
        </w:tc>
      </w:tr>
      <w:tr>
        <w:trPr>
          <w:trHeight w:val="27"/>
        </w:trPr>
        <w:tc>
          <w:tcPr>
            <w:tcW w:w="15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to NEOs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$ 1,011,546</w:t>
            </w: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399,137</w:t>
            </w:r>
          </w:p>
        </w:tc>
        <w:tc>
          <w:tcPr>
            <w:tcW w:w="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(599,868)</w:t>
            </w:r>
          </w:p>
        </w:tc>
      </w:tr>
      <w:tr>
        <w:trPr>
          <w:trHeight w:val="27"/>
        </w:trPr>
        <w:tc>
          <w:tcPr>
            <w:tcW w:w="154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214630</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62"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fair value of the equity awards to our NEOs, as reported in the SCT.</w:t>
      </w:r>
    </w:p>
    <w:p>
      <w:pPr>
        <w:spacing w:after="0" w:line="41"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in connection with the Company offering of a one-time voluntary stock option exchange to its employees, stock options held by our CEO and Non-CEO NEOs were exchanged for new stock options with an exercise price equal to $1.48 per share and a new vesting schedule (“Option Exchange”), with all other terms remaining the same. The incremental change in fair value related to the Option Exchange is reflected within this row.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following graphs illustrate the relationship during 2022-2024 of the CAP for our PEO and the average CAP for our other NEOs as calculated pursuant to SEC rules to (i) our total shareholder return (“TSR”) and (ii) our net income (loss) (each as set forth in the table above). Note that we do not utilize TSR or net income (loss) in our executive compensation program; however, we do utilize several other performance measures to align executive compensation with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162560</wp:posOffset>
            </wp:positionV>
            <wp:extent cx="3977640" cy="2683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7764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188595</wp:posOffset>
            </wp:positionV>
            <wp:extent cx="3985895" cy="2717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8589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PMV Pharmaceuticals under the Securities Act of 1933, as amended (the “Securities Act”), or the Exchange Act, whether made before or after the date hereof and irrespective of any general incorporation language in any such filing, except to the extent we specifically incorporate such information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2024. Information is included for equity compensation plans approved by our stockholders. We do not have any equity compensation plans not approved by our stockholders.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54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300" w:type="dxa"/>
            <w:vAlign w:val="bottom"/>
          </w:tcPr>
          <w:p>
            <w:pPr>
              <w:spacing w:after="0"/>
              <w:rPr>
                <w:sz w:val="12"/>
                <w:szCs w:val="12"/>
                <w:color w:val="auto"/>
              </w:rPr>
            </w:pPr>
          </w:p>
        </w:tc>
        <w:tc>
          <w:tcPr>
            <w:tcW w:w="104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0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130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00" w:type="dxa"/>
            <w:vAlign w:val="bottom"/>
          </w:tcPr>
          <w:p>
            <w:pPr>
              <w:spacing w:after="0"/>
              <w:rPr>
                <w:sz w:val="16"/>
                <w:szCs w:val="16"/>
                <w:color w:val="auto"/>
              </w:rPr>
            </w:pPr>
          </w:p>
        </w:tc>
        <w:tc>
          <w:tcPr>
            <w:tcW w:w="10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43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2013 Equity Incentive Plan</w:t>
            </w:r>
            <w:r>
              <w:rPr>
                <w:rFonts w:ascii="Times New Roman" w:cs="Times New Roman" w:eastAsia="Times New Roman" w:hAnsi="Times New Roman"/>
                <w:sz w:val="29"/>
                <w:szCs w:val="29"/>
                <w:i w:val="1"/>
                <w:iCs w:val="1"/>
                <w:color w:val="auto"/>
                <w:vertAlign w:val="superscript"/>
              </w:rPr>
              <w:t>(1)</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2,012,929</w:t>
            </w:r>
          </w:p>
        </w:tc>
        <w:tc>
          <w:tcPr>
            <w:tcW w:w="240" w:type="dxa"/>
            <w:vAlign w:val="bottom"/>
          </w:tcPr>
          <w:p>
            <w:pPr>
              <w:spacing w:after="0"/>
              <w:rPr>
                <w:sz w:val="24"/>
                <w:szCs w:val="24"/>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4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29"/>
                <w:szCs w:val="29"/>
                <w:i w:val="1"/>
                <w:iCs w:val="1"/>
                <w:color w:val="auto"/>
                <w:vertAlign w:val="superscript"/>
              </w:rPr>
              <w:t>(2)</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6,640,984</w:t>
            </w:r>
          </w:p>
        </w:tc>
        <w:tc>
          <w:tcPr>
            <w:tcW w:w="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5,321,104</w:t>
            </w:r>
          </w:p>
        </w:tc>
        <w:tc>
          <w:tcPr>
            <w:tcW w:w="0" w:type="dxa"/>
            <w:vAlign w:val="bottom"/>
          </w:tcPr>
          <w:p>
            <w:pPr>
              <w:spacing w:after="0"/>
              <w:rPr>
                <w:sz w:val="1"/>
                <w:szCs w:val="1"/>
                <w:color w:val="auto"/>
              </w:rPr>
            </w:pPr>
          </w:p>
        </w:tc>
      </w:tr>
      <w:tr>
        <w:trPr>
          <w:trHeight w:val="283"/>
        </w:trPr>
        <w:tc>
          <w:tcPr>
            <w:tcW w:w="43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2020 Employee Stock Purchase Plan</w:t>
            </w:r>
            <w:r>
              <w:rPr>
                <w:rFonts w:ascii="Times New Roman" w:cs="Times New Roman" w:eastAsia="Times New Roman" w:hAnsi="Times New Roman"/>
                <w:sz w:val="29"/>
                <w:szCs w:val="29"/>
                <w:i w:val="1"/>
                <w:iCs w:val="1"/>
                <w:color w:val="auto"/>
                <w:vertAlign w:val="superscript"/>
              </w:rPr>
              <w:t>(3)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1,408,321</w:t>
            </w:r>
          </w:p>
        </w:tc>
        <w:tc>
          <w:tcPr>
            <w:tcW w:w="0" w:type="dxa"/>
            <w:vAlign w:val="bottom"/>
          </w:tcPr>
          <w:p>
            <w:pPr>
              <w:spacing w:after="0"/>
              <w:rPr>
                <w:sz w:val="1"/>
                <w:szCs w:val="1"/>
                <w:color w:val="auto"/>
              </w:rPr>
            </w:pPr>
          </w:p>
        </w:tc>
      </w:tr>
      <w:tr>
        <w:trPr>
          <w:trHeight w:val="211"/>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8,653,913</w:t>
            </w: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1"/>
                <w:szCs w:val="21"/>
                <w:color w:val="auto"/>
              </w:rPr>
            </w:pPr>
          </w:p>
        </w:tc>
        <w:tc>
          <w:tcPr>
            <w:tcW w:w="13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6,729,425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41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adopted, and our stockholders approved, the 2013 Plan. As a result of our initial public offering and the adoption of the 2020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Plan.</w:t>
      </w:r>
    </w:p>
    <w:p>
      <w:pPr>
        <w:spacing w:after="0" w:line="14"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Plan provides that the number of shares available for issuance under the 2020 Plan will be increased on the first day of each fiscal year in an amount equal to the least of (i) 4,406,374 shares, (ii) five percent (5%) of the outstanding shares of common stock on the last day of the immediately preceding fiscal year or (iii) such other amount as our board of directors or any of its committees as will be administering the 2020 Plan may determine. On January 1, 2025, the number of shares of our common stock available for issuance under our 2020 Plan increased by 2,596,638 shares pursuant to these provisions. This increase is not reflected in the table above.</w:t>
      </w:r>
    </w:p>
    <w:p>
      <w:pPr>
        <w:spacing w:after="0" w:line="15" w:lineRule="exact"/>
        <w:rPr>
          <w:rFonts w:ascii="Times New Roman" w:cs="Times New Roman" w:eastAsia="Times New Roman" w:hAnsi="Times New Roman"/>
          <w:sz w:val="14"/>
          <w:szCs w:val="14"/>
          <w:color w:val="auto"/>
        </w:rPr>
      </w:pPr>
    </w:p>
    <w:p>
      <w:pPr>
        <w:ind w:left="640" w:right="479" w:hanging="348"/>
        <w:spacing w:after="0" w:line="229"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ESPP provides that the number of shares available for issuance under the 2020 ESPP will be increased on the first day of each fiscal year in an amount equal to the least of (i) 4,220,000 shares, (ii) one percent (1%) of the outstanding shares of common stock on the last day of the immediately preceding fiscal year or (iii) such other amount as may be determined by our board of directors or any of its committees as will be administering the 2020 ESPP may determine. In May 2024, we amended our 2020 ESPP to increase the maximum number of shares that each Eligible Employee (as defined in the 2020 ESPP) may be permitted to purchase in an Offering Period (as defined in the 2020 ESPP) to 25,000 shares. The number of shares available for issuance under our 2020 ESPP was not increased for the fiscal year ending December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 OF COMMON STOCK</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8, 2025 for:</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the outstanding shares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w:t>
      </w:r>
    </w:p>
    <w:p>
      <w:pPr>
        <w:spacing w:after="0" w:line="65"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51,951,761 shares of common stock outstanding as of April 8, 2025. In computing the number of shares of common stock beneficially owned by a person or entity and the percentage ownership of such person or entity, we deemed to be outstanding (i) all shares of common stock subject to options held by the person that are currently exercisable or exercisable within 60 days of April 8, 2025 and (ii) all shares underlying restricted stock units vesting within 60 days of April 8, 2025. However, we did not deem such shares outstanding for the purpose of computing the percentage ownership of any other person.</w:t>
      </w:r>
    </w:p>
    <w:p>
      <w:pPr>
        <w:spacing w:after="0" w:line="79" w:lineRule="exact"/>
        <w:rPr>
          <w:sz w:val="20"/>
          <w:szCs w:val="20"/>
          <w:color w:val="auto"/>
        </w:rPr>
      </w:pPr>
    </w:p>
    <w:p>
      <w:pPr>
        <w:ind w:left="300" w:right="143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PMV Pharmaceuticals, Inc., 400 Alexander Park Drive, Suite 301, Princeton, New Jersey 08540.</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23"/>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gridSpan w:val="2"/>
            <w:vMerge w:val="continue"/>
          </w:tcPr>
          <w:p>
            <w:pPr>
              <w:spacing w:after="0"/>
              <w:rPr>
                <w:sz w:val="16"/>
                <w:szCs w:val="16"/>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OrbiMed Advisors</w:t>
            </w:r>
            <w:r>
              <w:rPr>
                <w:rFonts w:ascii="Times New Roman" w:cs="Times New Roman" w:eastAsia="Times New Roman" w:hAnsi="Times New Roman"/>
                <w:sz w:val="29"/>
                <w:szCs w:val="29"/>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6,475,291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83"/>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Sio Capital Management, LLC</w:t>
            </w:r>
            <w:r>
              <w:rPr>
                <w:rFonts w:ascii="Times New Roman" w:cs="Times New Roman" w:eastAsia="Times New Roman" w:hAnsi="Times New Roman"/>
                <w:sz w:val="29"/>
                <w:szCs w:val="29"/>
                <w:color w:val="auto"/>
                <w:vertAlign w:val="superscript"/>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84"/>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ArrowMark Colorado Holdings, LLC</w:t>
            </w:r>
            <w:r>
              <w:rPr>
                <w:rFonts w:ascii="Times New Roman" w:cs="Times New Roman" w:eastAsia="Times New Roman" w:hAnsi="Times New Roman"/>
                <w:sz w:val="29"/>
                <w:szCs w:val="29"/>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83"/>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BML Investment Partners, L.P.</w:t>
            </w:r>
            <w:r>
              <w:rPr>
                <w:rFonts w:ascii="Times New Roman" w:cs="Times New Roman" w:eastAsia="Times New Roman" w:hAnsi="Times New Roman"/>
                <w:sz w:val="29"/>
                <w:szCs w:val="29"/>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3,466,684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PFM Health Sciences, LP</w:t>
            </w:r>
            <w:r>
              <w:rPr>
                <w:rFonts w:ascii="Times New Roman" w:cs="Times New Roman" w:eastAsia="Times New Roman" w:hAnsi="Times New Roman"/>
                <w:sz w:val="29"/>
                <w:szCs w:val="29"/>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6560" w:type="dxa"/>
            <w:vAlign w:val="bottom"/>
            <w:gridSpan w:val="2"/>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560" w:type="dxa"/>
            <w:vAlign w:val="bottom"/>
            <w:gridSpan w:val="2"/>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David H. Mack, Ph.D.</w:t>
            </w:r>
            <w:r>
              <w:rPr>
                <w:rFonts w:ascii="Times New Roman" w:cs="Times New Roman" w:eastAsia="Times New Roman" w:hAnsi="Times New Roman"/>
                <w:sz w:val="29"/>
                <w:szCs w:val="29"/>
                <w:color w:val="auto"/>
                <w:vertAlign w:val="superscript"/>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2,084,511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Michael Carulli</w:t>
            </w:r>
            <w:r>
              <w:rPr>
                <w:rFonts w:ascii="Times New Roman" w:cs="Times New Roman" w:eastAsia="Times New Roman" w:hAnsi="Times New Roman"/>
                <w:sz w:val="29"/>
                <w:szCs w:val="29"/>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197,798</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Deepika Jalota, Pharm.D.</w:t>
            </w:r>
            <w:r>
              <w:rPr>
                <w:rFonts w:ascii="Times New Roman" w:cs="Times New Roman" w:eastAsia="Times New Roman" w:hAnsi="Times New Roman"/>
                <w:sz w:val="29"/>
                <w:szCs w:val="29"/>
                <w:color w:val="auto"/>
                <w:vertAlign w:val="superscript"/>
              </w:rPr>
              <w:t>(8)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325,907</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Charles M. Baum, M.D., Ph.D.</w:t>
            </w:r>
            <w:r>
              <w:rPr>
                <w:rFonts w:ascii="Times New Roman" w:cs="Times New Roman" w:eastAsia="Times New Roman" w:hAnsi="Times New Roman"/>
                <w:sz w:val="29"/>
                <w:szCs w:val="29"/>
                <w:color w:val="auto"/>
                <w:vertAlign w:val="superscript"/>
              </w:rPr>
              <w:t>(9)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Kirsten Flowers</w:t>
            </w:r>
            <w:r>
              <w:rPr>
                <w:rFonts w:ascii="Times New Roman" w:cs="Times New Roman" w:eastAsia="Times New Roman" w:hAnsi="Times New Roman"/>
                <w:sz w:val="29"/>
                <w:szCs w:val="29"/>
                <w:color w:val="auto"/>
                <w:vertAlign w:val="superscript"/>
              </w:rPr>
              <w:t>(10)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111,167</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Carol Gallagher, Pharm.D.</w:t>
            </w:r>
            <w:r>
              <w:rPr>
                <w:rFonts w:ascii="Times New Roman" w:cs="Times New Roman" w:eastAsia="Times New Roman" w:hAnsi="Times New Roman"/>
                <w:sz w:val="29"/>
                <w:szCs w:val="29"/>
                <w:color w:val="auto"/>
                <w:vertAlign w:val="superscript"/>
              </w:rPr>
              <w:t>(11)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92,583</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Richard Heyman, Ph.D.</w:t>
            </w:r>
            <w:r>
              <w:rPr>
                <w:rFonts w:ascii="Times New Roman" w:cs="Times New Roman" w:eastAsia="Times New Roman" w:hAnsi="Times New Roman"/>
                <w:sz w:val="29"/>
                <w:szCs w:val="29"/>
                <w:color w:val="auto"/>
                <w:vertAlign w:val="superscript"/>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340,758</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Arnold Levine, Ph.D.</w:t>
            </w:r>
            <w:r>
              <w:rPr>
                <w:rFonts w:ascii="Times New Roman" w:cs="Times New Roman" w:eastAsia="Times New Roman" w:hAnsi="Times New Roman"/>
                <w:sz w:val="29"/>
                <w:szCs w:val="29"/>
                <w:color w:val="auto"/>
                <w:vertAlign w:val="superscript"/>
              </w:rPr>
              <w:t>(13)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510,456</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Laurie Stelzer</w:t>
            </w:r>
            <w:r>
              <w:rPr>
                <w:rFonts w:ascii="Times New Roman" w:cs="Times New Roman" w:eastAsia="Times New Roman" w:hAnsi="Times New Roman"/>
                <w:sz w:val="29"/>
                <w:szCs w:val="29"/>
                <w:color w:val="auto"/>
                <w:vertAlign w:val="superscript"/>
              </w:rPr>
              <w:t>(14)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(10 persons)</w:t>
            </w:r>
            <w:r>
              <w:rPr>
                <w:rFonts w:ascii="Times New Roman" w:cs="Times New Roman" w:eastAsia="Times New Roman" w:hAnsi="Times New Roman"/>
                <w:sz w:val="29"/>
                <w:szCs w:val="29"/>
                <w:color w:val="auto"/>
                <w:vertAlign w:val="superscript"/>
              </w:rPr>
              <w:t>(15)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4,122,447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92710</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1"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42" w:lineRule="exact"/>
        <w:rPr>
          <w:sz w:val="20"/>
          <w:szCs w:val="20"/>
          <w:color w:val="auto"/>
        </w:rPr>
      </w:pPr>
    </w:p>
    <w:p>
      <w:pPr>
        <w:ind w:left="640" w:right="319" w:hanging="348"/>
        <w:spacing w:after="0" w:line="229"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August 23, 2023 and a Form 4 filed with the SEC on November 24, 2023, consists of 6,475,291 shares held by OrbiMed Private Investments V, LP (“OPI V”). OrbiMed Capital GP V LLC (“OrbiMed GP”) is the general partner of OPI V, pursuant to the terms of the limited partnership agreement of OPI V, and OrbiMed Advisors LLC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379"/>
        <w:spacing w:after="0" w:line="261" w:lineRule="auto"/>
        <w:rPr>
          <w:sz w:val="20"/>
          <w:szCs w:val="20"/>
          <w:color w:val="auto"/>
        </w:rPr>
      </w:pPr>
      <w:r>
        <w:rPr>
          <w:rFonts w:ascii="Times New Roman" w:cs="Times New Roman" w:eastAsia="Times New Roman" w:hAnsi="Times New Roman"/>
          <w:sz w:val="14"/>
          <w:szCs w:val="14"/>
          <w:color w:val="auto"/>
        </w:rPr>
        <w:t>Sven H. Borho, and W. Carter Neild, each of whom disclaims beneficial ownership of the shares held by OPI V. The address of each of the OrbiMed entities, Carl L. Gordon, Sven H. Borho and W. Carter Neild is 601 Lexington Avenue, 54th Floor, New York, New York 10022.</w:t>
      </w:r>
    </w:p>
    <w:p>
      <w:pPr>
        <w:spacing w:after="0" w:line="1" w:lineRule="exact"/>
        <w:rPr>
          <w:sz w:val="20"/>
          <w:szCs w:val="20"/>
          <w:color w:val="auto"/>
        </w:rPr>
      </w:pPr>
    </w:p>
    <w:p>
      <w:pPr>
        <w:ind w:left="640" w:right="339" w:hanging="348"/>
        <w:spacing w:after="0" w:line="22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April 8, 2025, consists of 3,735,396 shares held by Sio Capital Management, LLC (“Sio”). Sio is a registered investment adviser to certain affiliated funds that directly hold 3,735,396 shares for the benefit of its respective investors, and in such capacity, Sio has shared voting and shared dispositive power over such shares. Sio GP, LLC (the “GP”) is the general partner of Sio, and maintains oversight of Sio, and thus may be deemed to be the beneficial owner of such shares held by Sio. Sio and the GP are controlled by Michael Castor, who may be deemed to control the voting and dispositive decisions with respect to the shares held by Sio and thus may be the beneficial owner of such shares held by Sio. The address of Sio, the GP and Mr. Castor is 600 Third Avenue, 2nd Floor, New York, New York 10016.</w:t>
      </w:r>
    </w:p>
    <w:p>
      <w:pPr>
        <w:spacing w:after="0" w:line="18" w:lineRule="exact"/>
        <w:rPr>
          <w:rFonts w:ascii="Times New Roman" w:cs="Times New Roman" w:eastAsia="Times New Roman" w:hAnsi="Times New Roman"/>
          <w:sz w:val="14"/>
          <w:szCs w:val="14"/>
          <w:color w:val="auto"/>
        </w:rPr>
      </w:pPr>
    </w:p>
    <w:p>
      <w:pPr>
        <w:jc w:val="both"/>
        <w:ind w:left="640" w:right="37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November 14, 2024, consists of 3,647,291 shares held by ArrowMark Colorado Holdings, LLC (“ArrowMark”). ArrowMark has the sole power to vote or to direct the vote of 3,647,291 shares and has the sole power to dispose or to direct the disposition of 3,647,291 shares. The address of ArrowMark is 100 Fillmore Street, Suite 325, Denver, Colorado 80206.</w:t>
      </w:r>
    </w:p>
    <w:p>
      <w:pPr>
        <w:spacing w:after="0" w:line="14"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2025, consists of 3,466,684 shares held by BML Investment Partners, L.P. (“BML”). BML has the shared power to vote or to direct the vote of 3,466,684 shares and has the shared power to dispose or to direct the disposition of 3,466,684 shares. BML is a Delaware limited partnership whose sole general partner is BML Capital Management, LLC. The managing member of BML Capital Management, LLC is Braden M. Leonard. As a result, Braden M. Leonard is deemed to be the indirect owner of the shares held directly by BML. Despite such shared beneficial ownership, such owners disclaim that they constitute a statutory group within the meaning of Rule 13d-5(b)(1) of the Exchange Act. The address of each of BML, BML Capital Management, LLC and Braden M. Leonard is 65 E Cedar, Suite 2, Zionsville, Indiana 46077.</w:t>
      </w:r>
    </w:p>
    <w:p>
      <w:pPr>
        <w:spacing w:after="0" w:line="18" w:lineRule="exact"/>
        <w:rPr>
          <w:rFonts w:ascii="Times New Roman" w:cs="Times New Roman" w:eastAsia="Times New Roman" w:hAnsi="Times New Roman"/>
          <w:sz w:val="14"/>
          <w:szCs w:val="14"/>
          <w:color w:val="auto"/>
        </w:rPr>
      </w:pPr>
    </w:p>
    <w:p>
      <w:pPr>
        <w:ind w:left="640" w:right="419" w:hanging="348"/>
        <w:spacing w:after="0" w:line="22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21, 2025, consists of 2,598,827 shares held by PFM Biotech Opportunities LP (“BO”). PFM Health Sciences, LP (“PFM”) is the investment advisor of BO and Partner Asset Management, LLC (“PAM”) is the general partner of BO. PFM Health Sciences GP, LLC (“PFM-GP”) is the general partner of PFM and the manager of PAM. Brian D. Grossman is the sole member of PFM-GP. Each of PFM, PAM, PFM-GP and Mr. Grossman may be deemed to have shared voting power and shared dispositive power over such shares held by BO, and thus may be deemed to beneficially own such shares held by BO. The address of each of BO, PFM, PAM, PFM-GP and Mr. Grossman is c/o PFM Health Sciences, LP, 475 Sansome Street, Suite 1720, San Francisco, California 94111.</w:t>
      </w:r>
    </w:p>
    <w:p>
      <w:pPr>
        <w:spacing w:after="0" w:line="18" w:lineRule="exact"/>
        <w:rPr>
          <w:rFonts w:ascii="Times New Roman" w:cs="Times New Roman" w:eastAsia="Times New Roman" w:hAnsi="Times New Roman"/>
          <w:sz w:val="14"/>
          <w:szCs w:val="14"/>
          <w:color w:val="auto"/>
        </w:rPr>
      </w:pPr>
    </w:p>
    <w:p>
      <w:pPr>
        <w:ind w:left="640" w:right="459" w:hanging="348"/>
        <w:spacing w:after="0" w:line="22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147,915 shares of common stock held by The Mack-Mulligan Revocable Trust, of which Dr. Mack’s descendants are beneficiaries, (ii) 56,978 shares of common stock held by The Mack/Mulligan 2020 Irrevocable Descendants’ Trust, of which Dr. Mack’s descendants are beneficiaries, (iii) 165,307 shares of common stock held by Stinson 2021 Irrevocable Trust, of which Dr. Mack’s spouse and descendants are beneficiaries, (iv) 579,016 shares of common stock held directly by Dr. Mack and (v) 1,135,295 shares of common stock issuable pursuant to options held directly by Dr. Mack, exercisable within 60 days of April 8, 2025. Dr. Mack disclaims beneficial ownership of all shares relating to The Mack-Mulligan Revocable Trust, The Mack/Mulligan 2020 Irrevocable Descendants’ Trust and Stinson 2021 Irrevocable Trust except to the extent of any pecuniary interest therein.</w:t>
      </w:r>
    </w:p>
    <w:p>
      <w:pPr>
        <w:spacing w:after="0" w:line="18"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88,395 shares of common stock held directly by Mr. Carulli and (ii) 109,403 shares of common stock issuable pursuant to options held directly by Mr. Carulli, exercisable within 60 days of April 8, 2025.</w:t>
      </w:r>
    </w:p>
    <w:p>
      <w:pPr>
        <w:ind w:left="640" w:right="53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123,024 shares of common stock held directly by Dr. Jalota and (ii) 202,883 shares of common stock issuable pursuant to options held directly by Dr. Jalota, exercisable within 60 days of April 8, 2025.</w:t>
      </w:r>
    </w:p>
    <w:p>
      <w:pPr>
        <w:ind w:left="640" w:right="3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124,338 shares of common stock issuable pursuant to options held directly by Dr. Baum, exercisable within 60 days of April 8, 2025.</w:t>
      </w:r>
    </w:p>
    <w:p>
      <w:pPr>
        <w:ind w:left="640" w:right="7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111,167 shares of common stock issuable pursuant to options held directly by Ms. Flowers, exercisable within 60 days of April 8, 2025.</w:t>
      </w:r>
    </w:p>
    <w:p>
      <w:pPr>
        <w:ind w:left="640" w:right="5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92,583 shares of common stock issuable pursuant to options held directly by The Gallagher Revocable Trust dated May 10, 2011, for which Carol Gallagher, Pharm.D. serves as a trustee, exercisable within 60 days of April 8, 2025.</w:t>
      </w:r>
    </w:p>
    <w:p>
      <w:pPr>
        <w:ind w:left="640" w:right="339" w:hanging="348"/>
        <w:spacing w:after="0" w:line="225"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300,560 shares of common stock issuable pursuant to options held directly by Dr. Heyman, exercisable within 60 days of April 8, 2025; (ii) 20,098 shares of common stock issuable pursuant to options held by Paul L. Vogel as trustee of the Heyman Family 2020 Irrevocable Trust, of which Dr. Heyman’s immediate family are beneficiaries, exercisable within 60 days of April 8, 2025; (iii) 10,050 shares of common stock issuable pursuant to options held by Paul L. Vogel as trustee of the Julia E. Heyman 2016 Irrevocable Trust, of which Dr. Heyman’s daughter and descendants are beneficiaries, exercisable within 60 days of April 8, 2025; and (iv) 10,050 shares of common stock issuable pursuant to options held by Paul L. Vogel as trustee of the Scott Z. Heyman 2016 Irrevocable Trust, of which</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Heyman’s son and descendants are beneficiaries, exercisable within 60 days of April 8, 2025.</w:t>
      </w:r>
    </w:p>
    <w:p>
      <w:pPr>
        <w:spacing w:after="0" w:line="25"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409,842 shares of common stock held directly by Dr. Levine and (ii) 100,614 shares of common stock issuable pursuant to options held directly by Dr. Levine, exercisable within 60 days of April 8, 2025.</w:t>
      </w:r>
    </w:p>
    <w:p>
      <w:pPr>
        <w:ind w:left="640" w:right="77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127,500 shares of common stock issuable pursuant to options held directly by Ms. Stelzer, exercisable within 60 days of April 8, 2025.</w:t>
      </w:r>
    </w:p>
    <w:p>
      <w:pPr>
        <w:ind w:left="640" w:right="31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1,597,645 shares of common stock beneficially owned by our current executive officers and directors as of April 8, 2025 and (ii) 2,524,802 shares of common stock issuable pursuant to options beneficially owned by our current executive officers and directors, exercisable within 60 days of April 8,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Such persons are required by SEC regulations to furnish us with copies of all Section 16(a) forms filed by such persons.</w:t>
      </w:r>
    </w:p>
    <w:p>
      <w:pPr>
        <w:spacing w:after="0" w:line="68"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To our knowledge, no person who, during the fiscal year ended December 31, 2024, was a director or officer of the Company, or beneficial owner of more than ten percent of our common stock (which is the only class of securities registered under Section 12 of the Securities Act), failed to file on a timely basis reports required by Section 16 of the Exchange Act during such fiscal year, except that, as a result of Company administrative error, on October 3, 2024, three Form 4 filings for David H. Mack, Ph.D., Michael Carulli and Deepika Jalota were inadvertently filed later than the time prescribed by the SEC. Such Form 4 filings related to the cancellation of stock options to purchase shares of the Company’s common stock and the issuance of new stock options to purchase shares of the Company’s common stock pursuant to the Tender Offer. Additionally, on January 22, 2025, one Form 4 filing for David H. Mack, Ph.D. relating to the exercise of stock options was inadvertently filed later than the time prescribed by the SEC.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w:t>
      </w:r>
    </w:p>
    <w:p>
      <w:pPr>
        <w:spacing w:after="0" w:line="82"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Directors, Officers and 5% Stockholders</w:t>
      </w:r>
    </w:p>
    <w:p>
      <w:pPr>
        <w:spacing w:after="0" w:line="12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including employment, termination of employment and change in control arrangements, with our directors and executive officers, the following is a description of each transaction since January 1, 2023, to which we were a party, in which:</w:t>
      </w:r>
    </w:p>
    <w:p>
      <w:pPr>
        <w:spacing w:after="0" w:line="68"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Arnold Levine, Ph.D.</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Arnold Levine, Ph.D., one of our co-founders and a member of our board of directors, serves on our SAB, as well as provides us with additional consulting and advisory services. Dr. Levine receives an annual cash payment of $100,000 for his consulting and advisory services.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 Richard Heyman, Ph.D.</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Richard Heyman, Ph.D., chairperson of our board of directors, serves on our SAB. Effective as of September 2021, Dr. Heyman waived his rights for any SAB compensation he is otherwise entitled to receive from us for his SAB service.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Charles M. Baum, M.D., Ph.D.</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Charles M. Baum M.D., Ph.D., a member of our board of directors, provides us with additional senior clinical advisory services under a consulting agreement which commenced in February 2024. Dr. Baum receives an annual cash payment of $100,000 for these senior clinical advisory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2"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Board Structure</w:t>
      </w:r>
    </w:p>
    <w:p>
      <w:pPr>
        <w:spacing w:after="0" w:line="121"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w:t>
      </w:r>
    </w:p>
    <w:p>
      <w:pPr>
        <w:spacing w:after="0" w:line="50"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The terms of the Class II directors, Arnold Levine, Ph.D. and Charles M. Baum, M.D., Ph.D., expire at the Annual Meeting. The Class III directors will serve until our annual meeting of stockholders in 2026. The Class I directors will serve until our annual meeting of stockholders in 2027.</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Arnold Levine, Ph.D. and Charles M. Baum, M.D., Ph.D. as nominees for election as Class II directors at the Annual Meeting. If elected, each of Arnold Levine, Ph.D. and Charles M. Baum, M.D., Ph.D. will serve as a Class II director until the 2028 annual meeting of stockholders and until their respective successor is elected and qualified or until their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Arnold Levine, Ph.D. and Charles M. Baum, M.D., Ph.D.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EACH OF THE DIRECTOR NOMINEES NAMED ABOVE.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NAMED EXECUTIVE OFFICERS</w:t>
      </w:r>
    </w:p>
    <w:p>
      <w:pPr>
        <w:spacing w:after="0" w:line="9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and Section 14A of the Exchange Act enables our stockholders to approve, on an advisory or non-binding basis, the compensation of our named executive officers as disclosed in this proxy statement in accordance with the rules of the SEC. This proposal, commonly referred to as the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submit a say-on-pay proposal to our stockholders every year.</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78" w:lineRule="exact"/>
        <w:rPr>
          <w:sz w:val="20"/>
          <w:szCs w:val="20"/>
          <w:color w:val="auto"/>
        </w:rPr>
      </w:pPr>
    </w:p>
    <w:p>
      <w:pPr>
        <w:ind w:left="300" w:right="779"/>
        <w:spacing w:after="0" w:line="284" w:lineRule="auto"/>
        <w:rPr>
          <w:sz w:val="20"/>
          <w:szCs w:val="20"/>
          <w:color w:val="auto"/>
        </w:rPr>
      </w:pPr>
      <w:r>
        <w:rPr>
          <w:rFonts w:ascii="Times New Roman" w:cs="Times New Roman" w:eastAsia="Times New Roman" w:hAnsi="Times New Roman"/>
          <w:sz w:val="18"/>
          <w:szCs w:val="18"/>
          <w:color w:val="auto"/>
        </w:rPr>
        <w:t>You are encouraged to review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which discusses our compensation policies and procedures with respect to our named executive officers.</w:t>
      </w:r>
    </w:p>
    <w:p>
      <w:pPr>
        <w:spacing w:after="0" w:line="5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believe the information provided in this proxy statement demonstrates that our executive compensation program was designed appropriately and is working to ensure management’s interests are aligned with our stockholders’ interests to support long-term value creation. Accordingly, we are asking our stockholders to approve the compensation of our named executive officers as described in this proxy statement by voting “FOR” the following non-binding resolution:</w:t>
      </w:r>
    </w:p>
    <w:p>
      <w:pPr>
        <w:spacing w:after="0" w:line="71" w:lineRule="exact"/>
        <w:rPr>
          <w:sz w:val="20"/>
          <w:szCs w:val="20"/>
          <w:color w:val="auto"/>
        </w:rPr>
      </w:pPr>
    </w:p>
    <w:p>
      <w:pPr>
        <w:ind w:left="660" w:right="7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approve, on an advisory basis, the compensation paid to our named executive officers, as disclosed pursuant to the compensation disclosure rules of the SEC, including the compensation tables and the narrative discussion.”</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approval, on a non-binding advisory basis, of the compensation of our named executive officers requires the affirmative vote of a majority of the voting power of the shares present in person (including virtually) or represented by proxy at the Annual Meeting and entitled to vote thereon. Abstentions will have the same effect as a vote AGAINST this proposal. Broker non-votes will have no effect on the outcome of this proposal.</w:t>
      </w:r>
    </w:p>
    <w:p>
      <w:pPr>
        <w:spacing w:after="0" w:line="72"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ON A NON-BINDING ADVISORY BASIS, OF THE COMPENSATION OF OUR NAMED EXECUTIVE OFFICERS, AS DISCLOSED IN THIS PROXY STATEMENT.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to audit our financial statements for our fiscal year ending December 31, 2025. Ernst &amp; Young LLP also served as our independent registered public accounting firm for the fiscal year ended December 31, 2024.</w:t>
      </w:r>
    </w:p>
    <w:p>
      <w:pPr>
        <w:spacing w:after="0" w:line="6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Ernst &amp; Young LLP as our independent registered public accounting firm for our fiscal year ending December 31, 2025.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if they desire to do so and are expected to be available to respond to appropriate questions from our stockholders.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and Audit-Related Fees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Ernst &amp; Young LLP for the audit of the Company’s annual financial statements and internal control over financial reporting for the fiscal years ended December 31, 2024 and 2023 and fees billed for audit-related, tax, and other services rendered by Ernst &amp; Young LLP during those periods.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1"/>
        </w:trPr>
        <w:tc>
          <w:tcPr>
            <w:tcW w:w="66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$636,820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$578,000</w:t>
            </w: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66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87,550</w:t>
            </w:r>
          </w:p>
        </w:tc>
      </w:tr>
      <w:tr>
        <w:trPr>
          <w:trHeight w:val="291"/>
        </w:trPr>
        <w:tc>
          <w:tcPr>
            <w:tcW w:w="66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9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638,820</w:t>
            </w:r>
          </w:p>
        </w:tc>
        <w:tc>
          <w:tcPr>
            <w:tcW w:w="4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667,550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consisted of fees billed for services rendered in connection with the sale of the Company’s net operating losses under the New Jersey Technology Business Tax Certificate Transfer Program.</w:t>
      </w: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of fees related to subscriptions to Ernst &amp; Young LLP’s accounting reference library.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 2024, there were no other professional services provided by Ernst &amp; Young LLP, other than those listed above, that would have required our audit committee to consider their compatibility with maintaining the independence of Ernst &amp; Young LLP.</w:t>
      </w:r>
    </w:p>
    <w:p>
      <w:pPr>
        <w:spacing w:after="0" w:line="172"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5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Ernst &amp; Young LLP for our fiscal years ended December 31, 2024 and 2023 were pre-approved by our audit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our fiscal year ending December 31, 2025 requires the affirmative vote of a majority of the voting power of the shares present in person (including virtually) or represented by proxy at the Annual Meeting and entitled to vote thereon. Abstentions will have the same effect as a vote AGAINST this proposal.</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9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ERNST &amp; YOUNG LLP AS OUR INDEPENDENT REGISTERED PUBLIC ACCOUNTING FIRM FOR OUR FISCAL YEAR ENDING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1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PMV Pharmaceuticals, Inc. specifically incorporates it by reference in such filing.</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serves as the representative of the board of directors with respect to its oversight of:</w:t>
      </w:r>
    </w:p>
    <w:p>
      <w:pPr>
        <w:spacing w:after="0" w:line="117"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and financial reporting processes and internal controls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integrity of the Company’s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the Company’s independent auditors;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performance of the Company’s internal audit function, if applicable.</w:t>
      </w:r>
    </w:p>
    <w:p>
      <w:pPr>
        <w:spacing w:after="0" w:line="117"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is composed of three non-employee directors. The board of directors has determined that</w:t>
      </w:r>
    </w:p>
    <w:p>
      <w:pPr>
        <w:spacing w:after="0" w:line="27" w:lineRule="exact"/>
        <w:rPr>
          <w:sz w:val="20"/>
          <w:szCs w:val="20"/>
          <w:color w:val="auto"/>
        </w:rPr>
      </w:pPr>
    </w:p>
    <w:p>
      <w:pPr>
        <w:ind w:left="300" w:right="299"/>
        <w:spacing w:after="0" w:line="260" w:lineRule="auto"/>
        <w:rPr>
          <w:sz w:val="20"/>
          <w:szCs w:val="20"/>
          <w:color w:val="auto"/>
        </w:rPr>
      </w:pPr>
      <w:r>
        <w:rPr>
          <w:rFonts w:ascii="Times New Roman" w:cs="Times New Roman" w:eastAsia="Times New Roman" w:hAnsi="Times New Roman"/>
          <w:sz w:val="18"/>
          <w:szCs w:val="18"/>
          <w:color w:val="auto"/>
        </w:rPr>
        <w:t>Ms. Stelzer, Dr. Heyman and Ms. Flowers are each independent and that Ms. Stelzer is an “audit committee financial expert” under rules of the SEC.</w:t>
      </w:r>
    </w:p>
    <w:p>
      <w:pPr>
        <w:spacing w:after="0" w:line="73"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2024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spacing w:after="0" w:line="84" w:lineRule="exact"/>
        <w:rPr>
          <w:sz w:val="20"/>
          <w:szCs w:val="20"/>
          <w:color w:val="auto"/>
        </w:rPr>
      </w:pPr>
    </w:p>
    <w:p>
      <w:pPr>
        <w:ind w:left="300" w:right="659"/>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 the applicable requirements of the SEC.</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Times New Roman" w:cs="Times New Roman" w:eastAsia="Times New Roman" w:hAnsi="Times New Roman"/>
          <w:sz w:val="18"/>
          <w:szCs w:val="18"/>
          <w:i w:val="1"/>
          <w:iCs w:val="1"/>
          <w:color w:val="auto"/>
        </w:rPr>
        <w:t>Communication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 Concerning Independence</w:t>
      </w:r>
      <w:r>
        <w:rPr>
          <w:rFonts w:ascii="Times New Roman" w:cs="Times New Roman" w:eastAsia="Times New Roman" w:hAnsi="Times New Roman"/>
          <w:sz w:val="18"/>
          <w:szCs w:val="18"/>
          <w:color w:val="auto"/>
        </w:rPr>
        <w:t>, and considered the compatibility of non-audit services with Ernst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&amp; Young LLP’s independence.</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Company’s audited consolidated financial statements be included in the Company’s Annual Report on Form 10-K for the fiscal year ended December 31, 2024 for filing with the SEC. The audit committee also has selected Ernst &amp; Young LLP as the independent registered public accounting firm for fiscal year 2025. The board of directors recommends that stockholders ratify this selection at the Annual Meeting.</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Laurie Stelzer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Richard Heyman, Ph.D.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Kirsten Flowers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2026 Annual Meeting</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2026 annual meeting pursuant to Rule 14a-8 of the Exchange Act, then the proposal must be received by our corporate secretary at our principal executive offices on or before December 26, 2025. In addition, stockholder proposals must comply with the requirements of Rule 14a-8 regarding the inclusion of stockholder proposals in company-sponsored proxy materials. Proposals should be addressed to:</w:t>
      </w:r>
    </w:p>
    <w:p>
      <w:pPr>
        <w:spacing w:after="0" w:line="1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81"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February 5, 2026;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March 7, 2026.</w:t>
      </w:r>
    </w:p>
    <w:p>
      <w:pPr>
        <w:spacing w:after="0" w:line="117"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In the event that we hold our 2026 annual meeting more than 25 days after the one-year anniversary of this year’s annual meeting, then such written notice must be received by our corporate secretary at our principal executive offices:</w:t>
      </w:r>
    </w:p>
    <w:p>
      <w:pPr>
        <w:spacing w:after="0" w:line="68"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the 120th day prior to the day of our 2026 annual meeting;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the later of the 90th day prior to the day of our 2026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spacing w:after="0" w:line="72"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we are required under SEC Rule 14a-19 to include on our proxy card all nominees for director for whom we have received notice under the rule, which must be received no later than 60 calendar days prior to the anniversary of the previous year’s annual meeting. For any such director nominee to be included on our proxy card for our 2026 annual meeting of stockholders, our corporate secretary must receive notice under SEC Rule 14a-19 no later than April 6, 2026. Please note that the notice requirements under SEC Rule 14a-19 is in addition to the applicable notice requirements under the advance notice provisions of our amended and restated bylaws described above.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Availability of Amended and Restated Bylaws</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bylaw provisions regarding the requirements for making stockholder proposals and nominating director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Annual Report</w:t>
      </w:r>
    </w:p>
    <w:p>
      <w:pPr>
        <w:spacing w:after="0" w:line="121"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 xml:space="preserve">Our financial statements for our fiscal year ended December 31, 2024 are included in our annual report, which we will make available to stockholders at the same time as this proxy statement. Our proxy materials and our annual report are posted on our website at ir.pmvpharma.com and are available from the SEC at its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left="300" w:right="959"/>
        <w:spacing w:after="0" w:line="255" w:lineRule="auto"/>
        <w:rPr>
          <w:sz w:val="20"/>
          <w:szCs w:val="20"/>
          <w:color w:val="auto"/>
        </w:rPr>
      </w:pPr>
      <w:r>
        <w:rPr>
          <w:rFonts w:ascii="Times New Roman" w:cs="Times New Roman" w:eastAsia="Times New Roman" w:hAnsi="Times New Roman"/>
          <w:sz w:val="18"/>
          <w:szCs w:val="18"/>
          <w:b w:val="1"/>
          <w:bCs w:val="1"/>
          <w:color w:val="auto"/>
        </w:rPr>
        <w:t>You may also obtain a copy of our annual report, free of charge, by sending a written request to PMV Pharmaceuticals, Inc., 400 Alexander Park Drive, Suite 301, Princeton, New Jersey 08540, Attention: Corporate Secretary.</w:t>
      </w:r>
    </w:p>
    <w:p>
      <w:pPr>
        <w:spacing w:after="0" w:line="7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ind w:left="300" w:right="459"/>
        <w:spacing w:after="0" w:line="289" w:lineRule="auto"/>
        <w:rPr>
          <w:sz w:val="20"/>
          <w:szCs w:val="20"/>
          <w:color w:val="auto"/>
        </w:rPr>
      </w:pPr>
      <w:r>
        <w:rPr>
          <w:rFonts w:ascii="Times New Roman" w:cs="Times New Roman" w:eastAsia="Times New Roman" w:hAnsi="Times New Roman"/>
          <w:sz w:val="17"/>
          <w:szCs w:val="17"/>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50"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25,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8"/>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2025-04-25T08:09:03Z</dcterms:created>
  <dcterms:modified xsi:type="dcterms:W3CDTF">2025-04-25T08:09:03Z</dcterms:modified>
</cp:coreProperties>
</file>