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June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46-3218129</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9" w:lineRule="exact"/>
        <w:rPr>
          <w:sz w:val="24"/>
          <w:szCs w:val="24"/>
          <w:color w:val="auto"/>
        </w:rPr>
      </w:pPr>
    </w:p>
    <w:p>
      <w:pPr>
        <w:jc w:val="center"/>
        <w:ind w:right="740"/>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5"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1 Research Way</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Princeton, New Jersey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08540</w:t>
      </w:r>
    </w:p>
    <w:p>
      <w:pPr>
        <w:spacing w:after="0" w:line="62" w:lineRule="exact"/>
        <w:rPr>
          <w:sz w:val="24"/>
          <w:szCs w:val="24"/>
          <w:color w:val="auto"/>
        </w:rPr>
      </w:pPr>
    </w:p>
    <w:p>
      <w:pPr>
        <w:sectPr>
          <w:pgSz w:w="11900" w:h="16838" w:orient="portrait"/>
          <w:cols w:equalWidth="0" w:num="2">
            <w:col w:w="7400" w:space="720"/>
            <w:col w:w="2900"/>
          </w:cols>
          <w:pgMar w:left="440" w:top="382"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0" w:space="720"/>
            <w:col w:w="3020"/>
          </w:cols>
          <w:pgMar w:left="440" w:top="382"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9"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PMVP</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June 8, 2023, PMV Pharmaceuticals, Inc. (the “Company”) held its virtual 2023 Annual Meeting of Stockholders (the “Annual Meeting”)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exclusively online via live webcast. The stockholders voted on the following proposals at the Annual Meeting: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Election of Directors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Company’s stockholders elected the three persons listed below as Class III Directors, each to serve until the Company’s 2026 Annual Meeting of Stockholders and until their respective successors has been duly elected and qualified, or until the earlier of the respective director’s death, resignation or removal. The final voting results are as follows:</w:t>
      </w:r>
    </w:p>
    <w:p>
      <w:pPr>
        <w:spacing w:after="0" w:line="19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color w:val="auto"/>
              </w:rPr>
              <w:t>BROKER</w:t>
            </w:r>
          </w:p>
        </w:tc>
      </w:tr>
      <w:tr>
        <w:trPr>
          <w:trHeight w:val="153"/>
        </w:trPr>
        <w:tc>
          <w:tcPr>
            <w:tcW w:w="4040" w:type="dxa"/>
            <w:vAlign w:val="bottom"/>
          </w:tcPr>
          <w:p>
            <w:pPr>
              <w:spacing w:after="0"/>
              <w:rPr>
                <w:sz w:val="13"/>
                <w:szCs w:val="13"/>
                <w:color w:val="auto"/>
              </w:rPr>
            </w:pPr>
          </w:p>
        </w:tc>
        <w:tc>
          <w:tcPr>
            <w:tcW w:w="3260" w:type="dxa"/>
            <w:vAlign w:val="bottom"/>
          </w:tcPr>
          <w:p>
            <w:pPr>
              <w:jc w:val="right"/>
              <w:ind w:right="355"/>
              <w:spacing w:after="0" w:line="153" w:lineRule="exact"/>
              <w:rPr>
                <w:sz w:val="20"/>
                <w:szCs w:val="20"/>
                <w:color w:val="auto"/>
              </w:rPr>
            </w:pPr>
            <w:r>
              <w:rPr>
                <w:rFonts w:ascii="Arial" w:cs="Arial" w:eastAsia="Arial" w:hAnsi="Arial"/>
                <w:sz w:val="14"/>
                <w:szCs w:val="14"/>
                <w:color w:val="auto"/>
              </w:rPr>
              <w:t>FOR</w:t>
            </w:r>
          </w:p>
        </w:tc>
        <w:tc>
          <w:tcPr>
            <w:tcW w:w="1020" w:type="dxa"/>
            <w:vAlign w:val="bottom"/>
          </w:tcPr>
          <w:p>
            <w:pPr>
              <w:jc w:val="right"/>
              <w:ind w:right="55"/>
              <w:spacing w:after="0" w:line="153" w:lineRule="exact"/>
              <w:rPr>
                <w:sz w:val="20"/>
                <w:szCs w:val="20"/>
                <w:color w:val="auto"/>
              </w:rPr>
            </w:pPr>
            <w:r>
              <w:rPr>
                <w:rFonts w:ascii="Arial" w:cs="Arial" w:eastAsia="Arial" w:hAnsi="Arial"/>
                <w:sz w:val="14"/>
                <w:szCs w:val="14"/>
                <w:color w:val="auto"/>
              </w:rPr>
              <w:t>WITHHELD</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NON-VOTE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Richard Heyman, Ph.D.</w:t>
            </w:r>
          </w:p>
        </w:tc>
        <w:tc>
          <w:tcPr>
            <w:tcW w:w="3260" w:type="dxa"/>
            <w:vAlign w:val="bottom"/>
          </w:tcPr>
          <w:p>
            <w:pPr>
              <w:jc w:val="right"/>
              <w:ind w:right="55"/>
              <w:spacing w:after="0"/>
              <w:rPr>
                <w:sz w:val="20"/>
                <w:szCs w:val="20"/>
                <w:color w:val="auto"/>
              </w:rPr>
            </w:pPr>
            <w:r>
              <w:rPr>
                <w:rFonts w:ascii="Arial" w:cs="Arial" w:eastAsia="Arial" w:hAnsi="Arial"/>
                <w:sz w:val="18"/>
                <w:szCs w:val="18"/>
                <w:color w:val="auto"/>
              </w:rPr>
              <w:t>28,709,696</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6,665,802</w:t>
            </w:r>
          </w:p>
        </w:tc>
        <w:tc>
          <w:tcPr>
            <w:tcW w:w="880" w:type="dxa"/>
            <w:vAlign w:val="bottom"/>
          </w:tcPr>
          <w:p>
            <w:pPr>
              <w:jc w:val="right"/>
              <w:spacing w:after="0"/>
              <w:rPr>
                <w:sz w:val="20"/>
                <w:szCs w:val="20"/>
                <w:color w:val="auto"/>
              </w:rPr>
            </w:pPr>
            <w:r>
              <w:rPr>
                <w:rFonts w:ascii="Arial" w:cs="Arial" w:eastAsia="Arial" w:hAnsi="Arial"/>
                <w:sz w:val="18"/>
                <w:szCs w:val="18"/>
                <w:color w:val="auto"/>
              </w:rPr>
              <w:t>4,491,578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David H. Mack, Ph.D.</w:t>
            </w:r>
          </w:p>
        </w:tc>
        <w:tc>
          <w:tcPr>
            <w:tcW w:w="3260" w:type="dxa"/>
            <w:vAlign w:val="bottom"/>
          </w:tcPr>
          <w:p>
            <w:pPr>
              <w:jc w:val="right"/>
              <w:ind w:right="55"/>
              <w:spacing w:after="0"/>
              <w:rPr>
                <w:sz w:val="20"/>
                <w:szCs w:val="20"/>
                <w:color w:val="auto"/>
              </w:rPr>
            </w:pPr>
            <w:r>
              <w:rPr>
                <w:rFonts w:ascii="Arial" w:cs="Arial" w:eastAsia="Arial" w:hAnsi="Arial"/>
                <w:sz w:val="18"/>
                <w:szCs w:val="18"/>
                <w:color w:val="auto"/>
              </w:rPr>
              <w:t>35,181,696</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193,802</w:t>
            </w:r>
          </w:p>
        </w:tc>
        <w:tc>
          <w:tcPr>
            <w:tcW w:w="880" w:type="dxa"/>
            <w:vAlign w:val="bottom"/>
          </w:tcPr>
          <w:p>
            <w:pPr>
              <w:jc w:val="right"/>
              <w:spacing w:after="0"/>
              <w:rPr>
                <w:sz w:val="20"/>
                <w:szCs w:val="20"/>
                <w:color w:val="auto"/>
              </w:rPr>
            </w:pPr>
            <w:r>
              <w:rPr>
                <w:rFonts w:ascii="Arial" w:cs="Arial" w:eastAsia="Arial" w:hAnsi="Arial"/>
                <w:sz w:val="18"/>
                <w:szCs w:val="18"/>
                <w:color w:val="auto"/>
              </w:rPr>
              <w:t>4,491,578</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Laurie Stelzer</w:t>
            </w:r>
          </w:p>
        </w:tc>
        <w:tc>
          <w:tcPr>
            <w:tcW w:w="3260" w:type="dxa"/>
            <w:vAlign w:val="bottom"/>
          </w:tcPr>
          <w:p>
            <w:pPr>
              <w:jc w:val="right"/>
              <w:ind w:right="55"/>
              <w:spacing w:after="0"/>
              <w:rPr>
                <w:sz w:val="20"/>
                <w:szCs w:val="20"/>
                <w:color w:val="auto"/>
              </w:rPr>
            </w:pPr>
            <w:r>
              <w:rPr>
                <w:rFonts w:ascii="Arial" w:cs="Arial" w:eastAsia="Arial" w:hAnsi="Arial"/>
                <w:sz w:val="18"/>
                <w:szCs w:val="18"/>
                <w:color w:val="auto"/>
              </w:rPr>
              <w:t>34,128,780</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1,246,718</w:t>
            </w:r>
          </w:p>
        </w:tc>
        <w:tc>
          <w:tcPr>
            <w:tcW w:w="880" w:type="dxa"/>
            <w:vAlign w:val="bottom"/>
          </w:tcPr>
          <w:p>
            <w:pPr>
              <w:jc w:val="right"/>
              <w:spacing w:after="0"/>
              <w:rPr>
                <w:sz w:val="20"/>
                <w:szCs w:val="20"/>
                <w:color w:val="auto"/>
              </w:rPr>
            </w:pPr>
            <w:r>
              <w:rPr>
                <w:rFonts w:ascii="Arial" w:cs="Arial" w:eastAsia="Arial" w:hAnsi="Arial"/>
                <w:sz w:val="18"/>
                <w:szCs w:val="18"/>
                <w:color w:val="auto"/>
              </w:rPr>
              <w:t>4,491,578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Non-Binding Advisory Vote to Approve the Compensation of the Company’s Named Executive Officers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stockholders approved, on a non-binding advisory basis, the compensation paid to its named executive officers as described in the Company’s definitive proxy statement on Schedule 14A, filed with the U.S. Securities and Exchange Commission (the “SEC”) on April 28, 2023 (the “Proxy Statement”). The final voting results are as follows:</w:t>
      </w:r>
    </w:p>
    <w:p>
      <w:pPr>
        <w:sectPr>
          <w:pgSz w:w="11900" w:h="16838" w:orient="portrait"/>
          <w:cols w:equalWidth="0" w:num="1">
            <w:col w:w="10860"/>
          </w:cols>
          <w:pgMar w:left="440" w:top="513" w:right="599" w:bottom="1440" w:gutter="0" w:footer="0" w:header="0"/>
        </w:sectPr>
      </w:pPr>
    </w:p>
    <w:p>
      <w:pPr>
        <w:spacing w:after="0" w:line="368"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right="860"/>
        <w:spacing w:after="0"/>
        <w:rPr>
          <w:sz w:val="20"/>
          <w:szCs w:val="20"/>
          <w:color w:val="auto"/>
        </w:rPr>
      </w:pPr>
      <w:r>
        <w:rPr>
          <w:rFonts w:ascii="Arial" w:cs="Arial" w:eastAsia="Arial" w:hAnsi="Arial"/>
          <w:sz w:val="14"/>
          <w:szCs w:val="14"/>
          <w:color w:val="auto"/>
        </w:rPr>
        <w:t>AGAINST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right="800"/>
        <w:spacing w:after="0"/>
        <w:rPr>
          <w:sz w:val="20"/>
          <w:szCs w:val="20"/>
          <w:color w:val="auto"/>
        </w:rPr>
      </w:pPr>
      <w:r>
        <w:rPr>
          <w:rFonts w:ascii="Arial" w:cs="Arial" w:eastAsia="Arial" w:hAnsi="Arial"/>
          <w:sz w:val="14"/>
          <w:szCs w:val="14"/>
          <w:color w:val="auto"/>
        </w:rPr>
        <w:t>ABSTAIN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720"/>
        <w:spacing w:after="0"/>
        <w:rPr>
          <w:sz w:val="20"/>
          <w:szCs w:val="20"/>
          <w:color w:val="auto"/>
        </w:rPr>
      </w:pPr>
      <w:r>
        <w:rPr>
          <w:rFonts w:ascii="Arial" w:cs="Arial" w:eastAsia="Arial" w:hAnsi="Arial"/>
          <w:sz w:val="14"/>
          <w:szCs w:val="14"/>
          <w:color w:val="auto"/>
        </w:rPr>
        <w:t>BROKER</w:t>
      </w:r>
    </w:p>
    <w:p>
      <w:pPr>
        <w:jc w:val="center"/>
        <w:ind w:right="1720"/>
        <w:spacing w:after="0"/>
        <w:rPr>
          <w:sz w:val="20"/>
          <w:szCs w:val="20"/>
          <w:color w:val="auto"/>
        </w:rPr>
      </w:pPr>
      <w:r>
        <w:rPr>
          <w:rFonts w:ascii="Arial" w:cs="Arial" w:eastAsia="Arial" w:hAnsi="Arial"/>
          <w:sz w:val="14"/>
          <w:szCs w:val="14"/>
          <w:color w:val="auto"/>
        </w:rPr>
        <w:t>NON-VOTE</w:t>
      </w:r>
    </w:p>
    <w:p>
      <w:pPr>
        <w:spacing w:after="0" w:line="22" w:lineRule="exact"/>
        <w:rPr>
          <w:sz w:val="20"/>
          <w:szCs w:val="20"/>
          <w:color w:val="auto"/>
        </w:rPr>
      </w:pPr>
    </w:p>
    <w:p>
      <w:pPr>
        <w:sectPr>
          <w:pgSz w:w="11900" w:h="16838" w:orient="portrait"/>
          <w:cols w:equalWidth="0" w:num="4">
            <w:col w:w="3360" w:space="720"/>
            <w:col w:w="1480" w:space="720"/>
            <w:col w:w="1400" w:space="720"/>
            <w:col w:w="2460"/>
          </w:cols>
          <w:pgMar w:left="440" w:top="513" w:right="599" w:bottom="1440" w:gutter="0" w:footer="0" w:header="0"/>
          <w:type w:val="continuous"/>
        </w:sectPr>
      </w:pPr>
    </w:p>
    <w:p>
      <w:pPr>
        <w:ind w:left="1840"/>
        <w:spacing w:after="0"/>
        <w:rPr>
          <w:sz w:val="20"/>
          <w:szCs w:val="20"/>
          <w:color w:val="auto"/>
        </w:rPr>
      </w:pPr>
      <w:r>
        <w:rPr>
          <w:rFonts w:ascii="Arial" w:cs="Arial" w:eastAsia="Arial" w:hAnsi="Arial"/>
          <w:sz w:val="15"/>
          <w:szCs w:val="15"/>
          <w:color w:val="auto"/>
        </w:rPr>
        <w:t>34,537,890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836,543</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5"/>
          <w:szCs w:val="15"/>
          <w:color w:val="auto"/>
        </w:rPr>
        <w:t>1,065</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6"/>
          <w:szCs w:val="16"/>
          <w:color w:val="auto"/>
        </w:rPr>
        <w:t>4,491,578</w:t>
      </w:r>
    </w:p>
    <w:p>
      <w:pPr>
        <w:spacing w:after="0" w:line="200" w:lineRule="exact"/>
        <w:rPr>
          <w:sz w:val="20"/>
          <w:szCs w:val="20"/>
          <w:color w:val="auto"/>
        </w:rPr>
      </w:pPr>
    </w:p>
    <w:p>
      <w:pPr>
        <w:sectPr>
          <w:pgSz w:w="11900" w:h="16838" w:orient="portrait"/>
          <w:cols w:equalWidth="0" w:num="4">
            <w:col w:w="3380" w:space="720"/>
            <w:col w:w="1560" w:space="720"/>
            <w:col w:w="1300" w:space="720"/>
            <w:col w:w="2460"/>
          </w:cols>
          <w:pgMar w:left="440" w:top="513" w:right="599" w:bottom="1440" w:gutter="0" w:footer="0" w:header="0"/>
          <w:type w:val="continuous"/>
        </w:sectPr>
      </w:pPr>
    </w:p>
    <w:p>
      <w:pPr>
        <w:spacing w:after="0" w:line="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Consistent with the recommendation of the Company’s Board of Directors and based on the Company’s stockholders’ approval at the Company’s 2022 annual meeting of stockholders, held on June 2, 2022, the Company conducts non-binding advisory votes on the compensation of its named executive officers every year. This policy will remain in effect until the next non-binding advisory stockholder vote on the frequency of future stockholder advisory votes on the compensation of the Company’s named executive officers, expected to be held at the Company’s 2028 annual meeting of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 Ratification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ratified the selection by the Audit Committee of the Company’s Board of Directors of Ernst &amp; Young LLP as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independent registered public accounting firm for the fiscal year ending December 31, 2023. The final voting results are as follows:</w:t>
      </w:r>
    </w:p>
    <w:p>
      <w:pPr>
        <w:sectPr>
          <w:pgSz w:w="11900" w:h="16838" w:orient="portrait"/>
          <w:cols w:equalWidth="0" w:num="1">
            <w:col w:w="10860"/>
          </w:cols>
          <w:pgMar w:left="440" w:top="513" w:right="599" w:bottom="1440" w:gutter="0" w:footer="0" w:header="0"/>
          <w:type w:val="continuous"/>
        </w:sectPr>
      </w:pPr>
    </w:p>
    <w:p>
      <w:pPr>
        <w:spacing w:after="0" w:line="245" w:lineRule="exact"/>
        <w:rPr>
          <w:sz w:val="20"/>
          <w:szCs w:val="20"/>
          <w:color w:val="auto"/>
        </w:rPr>
      </w:pPr>
    </w:p>
    <w:p>
      <w:pPr>
        <w:ind w:left="274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AGAINST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ABSTAIN</w:t>
      </w:r>
    </w:p>
    <w:p>
      <w:pPr>
        <w:spacing w:after="0" w:line="21" w:lineRule="exact"/>
        <w:rPr>
          <w:sz w:val="20"/>
          <w:szCs w:val="20"/>
          <w:color w:val="auto"/>
        </w:rPr>
      </w:pPr>
    </w:p>
    <w:p>
      <w:pPr>
        <w:sectPr>
          <w:pgSz w:w="11900" w:h="16838" w:orient="portrait"/>
          <w:cols w:equalWidth="0" w:num="3">
            <w:col w:w="4540" w:space="720"/>
            <w:col w:w="1920" w:space="720"/>
            <w:col w:w="2960"/>
          </w:cols>
          <w:pgMar w:left="440" w:top="513" w:right="599" w:bottom="1440" w:gutter="0" w:footer="0" w:header="0"/>
          <w:type w:val="continuous"/>
        </w:sectPr>
      </w:pPr>
    </w:p>
    <w:p>
      <w:pPr>
        <w:ind w:left="2480"/>
        <w:spacing w:after="0"/>
        <w:rPr>
          <w:sz w:val="20"/>
          <w:szCs w:val="20"/>
          <w:color w:val="auto"/>
        </w:rPr>
      </w:pPr>
      <w:r>
        <w:rPr>
          <w:rFonts w:ascii="Arial" w:cs="Arial" w:eastAsia="Arial" w:hAnsi="Arial"/>
          <w:sz w:val="16"/>
          <w:szCs w:val="16"/>
          <w:color w:val="auto"/>
        </w:rPr>
        <w:t>39,864,451</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15"/>
          <w:szCs w:val="15"/>
          <w:color w:val="auto"/>
        </w:rPr>
        <w:t>2,087</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6"/>
          <w:szCs w:val="16"/>
          <w:color w:val="auto"/>
        </w:rPr>
        <w:t>538</w:t>
      </w:r>
    </w:p>
    <w:p>
      <w:pPr>
        <w:spacing w:after="0" w:line="200" w:lineRule="exact"/>
        <w:rPr>
          <w:sz w:val="20"/>
          <w:szCs w:val="20"/>
          <w:color w:val="auto"/>
        </w:rPr>
      </w:pPr>
    </w:p>
    <w:p>
      <w:pPr>
        <w:sectPr>
          <w:pgSz w:w="11900" w:h="16838" w:orient="portrait"/>
          <w:cols w:equalWidth="0" w:num="3">
            <w:col w:w="4660" w:space="720"/>
            <w:col w:w="1960" w:space="720"/>
            <w:col w:w="2800"/>
          </w:cols>
          <w:pgMar w:left="440" w:top="513" w:right="5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foregoing proposals, see the Proxy Statement as filed with the SEC.</w:t>
      </w:r>
    </w:p>
    <w:p>
      <w:pPr>
        <w:sectPr>
          <w:pgSz w:w="11900" w:h="16838" w:orient="portrait"/>
          <w:cols w:equalWidth="0" w:num="1">
            <w:col w:w="10860"/>
          </w:cols>
          <w:pgMar w:left="440" w:top="513" w:right="599" w:bottom="1440" w:gutter="0" w:footer="0" w:header="0"/>
          <w:type w:val="continuous"/>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Operating Officer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2023</w:t>
      </w:r>
    </w:p>
    <w:sectPr>
      <w:pgSz w:w="11900" w:h="16838" w:orient="portrait"/>
      <w:cols w:equalWidth="0" w:num="1">
        <w:col w:w="10700"/>
      </w:cols>
      <w:pgMar w:left="440" w:top="51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2023-06-09T07:04:58Z</dcterms:created>
  <dcterms:modified xsi:type="dcterms:W3CDTF">2023-06-09T07:04:58Z</dcterms:modified>
</cp:coreProperties>
</file>