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 4</w:t>
            </w:r>
          </w:p>
        </w:tc>
        <w:tc>
          <w:tcPr>
            <w:tcW w:w="6200" w:type="dxa"/>
            <w:vAlign w:val="bottom"/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00" w:type="dxa"/>
            <w:vAlign w:val="bottom"/>
            <w:gridSpan w:val="22"/>
            <w:vMerge w:val="restart"/>
          </w:tcPr>
          <w:p>
            <w:pPr>
              <w:jc w:val="center"/>
              <w:ind w:right="78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0" w:type="dxa"/>
            <w:vAlign w:val="bottom"/>
            <w:gridSpan w:val="2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20" w:type="dxa"/>
            <w:vAlign w:val="bottom"/>
            <w:gridSpan w:val="16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Instruction 1(b).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2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2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Mack David Henry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PMV Pharmaceuticals,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PMVP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05/12/2023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PMV PHARMACEUTICALS, INC.</w:t>
            </w:r>
          </w:p>
        </w:tc>
        <w:tc>
          <w:tcPr>
            <w:tcW w:w="13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RESEARCH WAY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200" w:type="dxa"/>
            <w:vAlign w:val="bottom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NJ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08540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</w:rPr>
              <w:t>Rule 10b5-1(c) Transaction Indication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80" w:type="dxa"/>
            <w:vAlign w:val="bottom"/>
            <w:gridSpan w:val="15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8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20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76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05/12/2023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330,000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05/12/2033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330,000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-5484495</wp:posOffset>
            </wp:positionV>
            <wp:extent cx="7046595" cy="56362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636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subject to the option vest in 48 equal monthly installments beginning on June 12, 2023.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David H. Mack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05/15/2023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341642" TargetMode="External"/><Relationship Id="rId9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2023-05-15T16:52:39Z</dcterms:created>
  <dcterms:modified xsi:type="dcterms:W3CDTF">2023-05-15T16:52:39Z</dcterms:modified>
</cp:coreProperties>
</file>