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4,720,357.00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4,720,357.00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4,720,357.00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Tang Capital Management, LLC ("TCM") shares voting and dispositive power 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with Tang Capital Partners, LP ("TCP"), Tang Capital Partners International, LP ("TCPI") and Kevin Tang. The percentages used herein are based on 52,990,864 shares of Common Stock outstanding as of August 6, 2025, as set forth in the Quarterly Report filed on Form 10-Q that was filed with the Securities and Exchange Commission on August 7,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4,720,357.00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4,720,357.00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4,720,357.00</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TCPI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40"/>
          </w:cols>
          <w:pgMar w:left="320" w:top="111" w:right="6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2,654,728.00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2,654,728.00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2,654,728.00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type w:val="continuous"/>
        </w:sectPr>
      </w:pPr>
    </w:p>
    <w:p>
      <w:pPr>
        <w:spacing w:after="0" w:line="7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940"/>
          </w:cols>
          <w:pgMar w:left="320" w:top="111" w:right="6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40"/>
          </w:cols>
          <w:pgMar w:left="320" w:top="111" w:right="63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860"/>
          </w:cols>
          <w:pgMar w:left="320" w:top="189" w:right="71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2,065,629.00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2,065,629.00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2,065,629.00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9" w:orient="portrait"/>
          <w:cols w:equalWidth="0" w:num="2">
            <w:col w:w="1100" w:space="60"/>
            <w:col w:w="9700"/>
          </w:cols>
          <w:pgMar w:left="320" w:top="189" w:right="7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NEVADA</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860"/>
          </w:cols>
          <w:pgMar w:left="320" w:top="189" w:right="719" w:bottom="0" w:gutter="0" w:footer="0" w:header="0"/>
          <w:type w:val="continuous"/>
        </w:sectPr>
      </w:pPr>
    </w:p>
    <w:bookmarkStart w:id="4" w:name="page5"/>
    <w:bookmarkEnd w:id="4"/>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60" w:orient="portrait"/>
          <w:cols w:equalWidth="0" w:num="2">
            <w:col w:w="1060" w:space="60"/>
            <w:col w:w="8979"/>
          </w:cols>
          <w:pgMar w:left="360" w:top="112" w:right="1440" w:bottom="0" w:gutter="0" w:footer="0" w:header="0"/>
          <w:type w:val="continuous"/>
        </w:sectPr>
      </w:pPr>
    </w:p>
    <w:bookmarkStart w:id="5" w:name="page6"/>
    <w:bookmarkEnd w:id="5"/>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on Schedule 13G (this "Statement") is filed by TCM, the general partner of TCP and TCPI; Kevin Tang, the manager of TCM and Chief Executive Officer of Tang Capital Partners III, Inc. ("TCP III") and Tang Capital Partners IV, Inc. ("TCP IV"); TCP; TCPI; TCP III; and TCP IV.</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TCM, Kevin Tang, TCP and TCPI is 4747 Executive Drive, Suite 210, San Diego, CA 92121. The address of TCP III and TCP IV is 400 S. 4th Street, 3rd Floor, Las Vegas, NV 89101.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TCM is a Delaware limited liability company. Mr. Tang is a United States citizen. TCP and TCPI are Delaware limited partnerships. TCP III and TCP IV are Nevada corporations that are indirectly wholly owned by TCP.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4,720,357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0760"/>
          </w:cols>
          <w:pgMar w:left="360" w:top="355" w:right="77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4,720,357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4,720,357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TANG</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ectPr>
          <w:pgSz w:w="11900" w:h="16838" w:orient="portrait"/>
          <w:cols w:equalWidth="0" w:num="1">
            <w:col w:w="11140"/>
          </w:cols>
          <w:pgMar w:left="360" w:top="126" w:right="399" w:bottom="0" w:gutter="0" w:footer="0" w:header="0"/>
          <w:type w:val="continuous"/>
        </w:sectPr>
      </w:pPr>
    </w:p>
    <w:bookmarkStart w:id="7" w:name="page8"/>
    <w:bookmarkEnd w:id="7"/>
    <w:p>
      <w:pPr>
        <w:ind w:left="2520"/>
        <w:spacing w:after="0"/>
        <w:rPr>
          <w:sz w:val="20"/>
          <w:szCs w:val="20"/>
          <w:color w:val="auto"/>
        </w:rPr>
      </w:pPr>
      <w:r>
        <w:rPr>
          <w:rFonts w:ascii="Times New Roman" w:cs="Times New Roman" w:eastAsia="Times New Roman" w:hAnsi="Times New Roman"/>
          <w:sz w:val="21"/>
          <w:szCs w:val="21"/>
          <w:color w:val="auto"/>
        </w:rPr>
        <w:t>TANG CAPITAL PARTNERS III, INC</w:t>
      </w:r>
    </w:p>
    <w:p>
      <w:pPr>
        <w:spacing w:after="0" w:line="16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TANG CAPITAL PARTNERS IV, INC</w:t>
      </w:r>
    </w:p>
    <w:p>
      <w:pPr>
        <w:spacing w:after="0" w:line="16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80" w:firstLine="549"/>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$0.00001 par value per share, of PMV Pharmaceuticals,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2025</w:t>
            </w:r>
          </w:p>
        </w:tc>
        <w:tc>
          <w:tcPr>
            <w:tcW w:w="696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r>
      <w:tr>
        <w:trPr>
          <w:trHeight w:val="414"/>
        </w:trPr>
        <w:tc>
          <w:tcPr>
            <w:tcW w:w="3160" w:type="dxa"/>
            <w:vAlign w:val="bottom"/>
          </w:tcPr>
          <w:p>
            <w:pPr>
              <w:spacing w:after="0"/>
              <w:rPr>
                <w:sz w:val="24"/>
                <w:szCs w:val="24"/>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160" w:type="dxa"/>
            <w:vAlign w:val="bottom"/>
          </w:tcPr>
          <w:p>
            <w:pPr>
              <w:spacing w:after="0"/>
              <w:rPr>
                <w:sz w:val="20"/>
                <w:szCs w:val="20"/>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Its:</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160" w:type="dxa"/>
            <w:vAlign w:val="bottom"/>
          </w:tcPr>
          <w:p>
            <w:pPr>
              <w:spacing w:after="0"/>
              <w:rPr>
                <w:sz w:val="24"/>
                <w:szCs w:val="24"/>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160" w:type="dxa"/>
            <w:vAlign w:val="bottom"/>
          </w:tcPr>
          <w:p>
            <w:pPr>
              <w:spacing w:after="0"/>
              <w:rPr>
                <w:sz w:val="24"/>
                <w:szCs w:val="24"/>
                <w:color w:val="auto"/>
              </w:rPr>
            </w:pPr>
          </w:p>
        </w:tc>
        <w:tc>
          <w:tcPr>
            <w:tcW w:w="696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TANG CAPITAL PARTNERS INTERNATIONAL, LP</w:t>
            </w:r>
          </w:p>
        </w:tc>
      </w:tr>
      <w:tr>
        <w:trPr>
          <w:trHeight w:val="414"/>
        </w:trPr>
        <w:tc>
          <w:tcPr>
            <w:tcW w:w="3160" w:type="dxa"/>
            <w:vAlign w:val="bottom"/>
          </w:tcPr>
          <w:p>
            <w:pPr>
              <w:spacing w:after="0"/>
              <w:rPr>
                <w:sz w:val="24"/>
                <w:szCs w:val="24"/>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160" w:type="dxa"/>
            <w:vAlign w:val="bottom"/>
          </w:tcPr>
          <w:p>
            <w:pPr>
              <w:spacing w:after="0"/>
              <w:rPr>
                <w:sz w:val="20"/>
                <w:szCs w:val="20"/>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Its:</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160" w:type="dxa"/>
            <w:vAlign w:val="bottom"/>
          </w:tcPr>
          <w:p>
            <w:pPr>
              <w:spacing w:after="0"/>
              <w:rPr>
                <w:sz w:val="24"/>
                <w:szCs w:val="24"/>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p>
      <w:pPr>
        <w:spacing w:after="0" w:line="229" w:lineRule="exact"/>
        <w:rPr>
          <w:sz w:val="20"/>
          <w:szCs w:val="20"/>
          <w:color w:val="auto"/>
        </w:rPr>
      </w:pPr>
    </w:p>
    <w:tbl>
      <w:tblPr>
        <w:tblLayout w:type="fixed"/>
        <w:tblInd w:w="44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6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p>
      <w:pPr>
        <w:spacing w:after="0" w:line="229" w:lineRule="exact"/>
        <w:rPr>
          <w:sz w:val="20"/>
          <w:szCs w:val="20"/>
          <w:color w:val="auto"/>
        </w:rPr>
      </w:pPr>
    </w:p>
    <w:tbl>
      <w:tblPr>
        <w:tblLayout w:type="fixed"/>
        <w:tblInd w:w="44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6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0"/>
                <w:szCs w:val="20"/>
                <w:color w:val="auto"/>
              </w:rPr>
            </w:pPr>
          </w:p>
        </w:tc>
      </w:tr>
      <w:tr>
        <w:trPr>
          <w:trHeight w:val="191"/>
        </w:trPr>
        <w:tc>
          <w:tcPr>
            <w:tcW w:w="4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c>
          <w:tcPr>
            <w:tcW w:w="1120" w:type="dxa"/>
            <w:vAlign w:val="bottom"/>
          </w:tcPr>
          <w:p>
            <w:pPr>
              <w:spacing w:after="0"/>
              <w:rPr>
                <w:sz w:val="16"/>
                <w:szCs w:val="16"/>
                <w:color w:val="auto"/>
              </w:rPr>
            </w:pPr>
          </w:p>
        </w:tc>
      </w:tr>
      <w:tr>
        <w:trPr>
          <w:trHeight w:val="234"/>
        </w:trPr>
        <w:tc>
          <w:tcPr>
            <w:tcW w:w="4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1120" w:type="dxa"/>
            <w:vAlign w:val="bottom"/>
          </w:tcPr>
          <w:p>
            <w:pPr>
              <w:spacing w:after="0"/>
              <w:rPr>
                <w:sz w:val="20"/>
                <w:szCs w:val="20"/>
                <w:color w:val="auto"/>
              </w:rPr>
            </w:pPr>
          </w:p>
        </w:tc>
      </w:tr>
      <w:tr>
        <w:trPr>
          <w:trHeight w:val="432"/>
        </w:trPr>
        <w:tc>
          <w:tcPr>
            <w:tcW w:w="4440" w:type="dxa"/>
            <w:vAlign w:val="bottom"/>
          </w:tcPr>
          <w:p>
            <w:pPr>
              <w:spacing w:after="0"/>
              <w:rPr>
                <w:sz w:val="24"/>
                <w:szCs w:val="24"/>
                <w:color w:val="auto"/>
              </w:rPr>
            </w:pPr>
          </w:p>
        </w:tc>
        <w:tc>
          <w:tcPr>
            <w:tcW w:w="5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228"/>
        </w:trPr>
        <w:tc>
          <w:tcPr>
            <w:tcW w:w="44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9"/>
                <w:szCs w:val="19"/>
                <w:color w:val="auto"/>
              </w:rPr>
            </w:pPr>
          </w:p>
        </w:tc>
      </w:tr>
      <w:tr>
        <w:trPr>
          <w:trHeight w:val="745"/>
        </w:trPr>
        <w:tc>
          <w:tcPr>
            <w:tcW w:w="4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2025-09-23T19:46:45Z</dcterms:created>
  <dcterms:modified xsi:type="dcterms:W3CDTF">2025-09-23T19:46:45Z</dcterms:modified>
</cp:coreProperties>
</file>