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784d8k.htm"/>
      <w:bookmarkStart w:id="1" w:name="ksd1137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31,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PMV Pharmaceuticals,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001-39539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46-3218129</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400 Alexander Park Drive, Suite 301</w:t>
            </w:r>
          </w:p>
          <w:p>
            <w:pPr>
              <w:pStyle w:val="TableContents"/>
              <w:bidi w:val="0"/>
              <w:spacing w:before="0" w:after="20"/>
              <w:jc w:val="center"/>
              <w:rPr>
                <w:rFonts w:ascii="Times New Roman" w:hAnsi="Times New Roman"/>
                <w:b/>
                <w:sz w:val="20"/>
              </w:rPr>
            </w:pPr>
            <w:r>
              <w:rPr>
                <w:rFonts w:ascii="Times New Roman" w:hAnsi="Times New Roman"/>
                <w:b/>
                <w:sz w:val="20"/>
              </w:rPr>
              <w:t>Princeton, NJ</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08540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(609) 642-6670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505" w:type="dxa"/>
        <w:jc w:val="left"/>
        <w:tblInd w:w="0" w:type="dxa"/>
        <w:tblLayout w:type="fixed"/>
        <w:tblCellMar>
          <w:top w:w="0" w:type="dxa"/>
          <w:left w:w="0" w:type="dxa"/>
          <w:bottom w:w="0" w:type="dxa"/>
          <w:right w:w="0" w:type="dxa"/>
        </w:tblCellMar>
      </w:tblPr>
      <w:tblGrid>
        <w:gridCol w:w="4385"/>
        <w:gridCol w:w="60"/>
        <w:gridCol w:w="740"/>
        <w:gridCol w:w="60"/>
        <w:gridCol w:w="326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385" w:type="dxa"/>
            <w:tcBorders/>
            <w:vAlign w:val="center"/>
          </w:tcPr>
          <w:p>
            <w:pPr>
              <w:pStyle w:val="TableContents"/>
              <w:bidi w:val="0"/>
              <w:spacing w:before="0" w:after="283"/>
              <w:jc w:val="center"/>
              <w:rPr/>
            </w:pPr>
            <w:r>
              <w:rPr/>
              <w:t>Common Stock, $0.00001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PMVP</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31, 2026, PMV Pharmaceuticals, Inc. (the “Company”) entered into an underwriting agreement (the “Underwriting Agreement”) with TD Securities (USA) LLC (the “Underwriter”), relating to an underwritten offering (the “Offering”) of (i) (a) 22,055,000 shares (the “Shares”) of the Company’s common stock, $0.00001 par value per share (the “Common Stock”) and in lieu of Common Stock to certain investors, (b) pre-funded warrants to purchase an aggregate of 19,900,000 shares of Common Stock (the “Pre-Funded Warrants”), and (ii) accompanying warrants to purchase an aggregate of 41,955,000 shares of Common Stock (the “Common Stock Warrants,” and together with the “Pre-Funded Warrants,” the “Warrants”, and the Common Stock issuable upon exercise of the Warrants, the “Warrant Shares”). The Common Stock and Pre-Funded Warrants were sold in combination with an accompanying Common Stock Warrant to purchase one share of Common Stock for each share of Common Stock or Pre-Funded Warrant sold. Each Share was offered and sold together with an accompanying Common Stock Warrant at a combined offering price of $1.21, and each Pre-Funded Warrant was offered and sold together with an accompanying Common Stock Warrant at a combined offering price of $1.20999, which is equal to the combined offering price per share of Common Stock and accompanying Common Stock Warrant less the $0.00001 exercise price of each Pre-Funded Warrant. The offering is expected to close on September 2,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Each Pre-Funded Warrant has an initial exercise price per share of $0.00001, subject to certain adjustments. The Pre-Funded Warrants are exercisable immediately and may be exercised at any time until all of the Pre-Funded Warrants are exercised in full. The shares of the Company’s common stock (or Pre-Funded Warrants) and Common Stock Warrants are immediately separable and will be issued separately. The Common Stock Warrants will be immediately exercisable and will expire five years from the date of issuance. The initial exercise price of the Common Stock Warrants is $1.21 per share of Common Stock. The exercise price of the Common Stock Warrants and the number of shares of the Common Stock issuable upon exercise of the Common Stock Warrants is subject to adjustments as described elsewhere in the Prospectus Supplement (as defined below). In addition, beginning on the date of the Company’s initial public announcement of the decision by the U.S. Food and Drug Administration (the “FDA”) regarding the acceptance for review of the Company’s New Drug Application (“NDA”) for rezatapopt for the treatment of patients with platinum-resistant/refractory ovarian cancer harboring a TP53 Y220C mutation (the “NDA Acceptance Announcement”), the exercise price of the Common Stock Warrants will be reduced to the greater of (i) 33% of the initial exercise price of the Common Stock Warrants and (ii) the lesser of (x) the then exercise price and (y) the volume weighted average price of the Common Stock for the five trading day period beginning the trading day following the NDA Acceptance Announcement (the “Reset Exercise Price”). If the exercise price of the Common Stock Warrants is reduced to the Reset Exercise Price, the number of shares of Common Stock issuable pursuant to the Common Stock Warrant shall be increased such that the aggregate exercise price payable thereunder, after taking into account the decrease in the exercise price to the Reset Exercise Price, shall be equal to the aggregate exercise price immediately prior to the date of the NDA Acceptance Announcement.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NDA Acceptance Announcement relates to a positive decision of the FDA to accept the NDA, then during the period beginning on the 30th calendar day following the date of the NDA Acceptance Announcement and ending on the 60th calendar day following the date of the NDA Acceptance Announcement, the holders of Common Stock Warrants may be required, at the Company’s option, to exercise up to 50% of their Common Stock Warrants for cash (the “Mandatory Exercise”). Any Common Stock Warrant which has not been exercised pursuant to the Mandatory Exercise shall become null and void and the rights of the holder of the Common Stock Warrant to exercise such Common Stock warrant shall lapse. </w:t>
      </w:r>
    </w:p>
    <w:p>
      <w:pPr>
        <w:pStyle w:val="TextBody"/>
        <w:bidi w:val="0"/>
        <w:spacing w:before="240" w:after="0"/>
        <w:jc w:val="left"/>
        <w:rPr>
          <w:rFonts w:ascii="Times New Roman" w:hAnsi="Times New Roman"/>
          <w:sz w:val="20"/>
        </w:rPr>
      </w:pPr>
      <w:r>
        <w:rPr>
          <w:rFonts w:ascii="Times New Roman" w:hAnsi="Times New Roman"/>
          <w:sz w:val="20"/>
        </w:rPr>
        <w:t xml:space="preserve">Under the Warrants, the Company may not effect the exercise of any Warrant, and a holder will not be entitled to exercise any Warrant for a number of Warrant Shares in excess of that number of Warrant Shares which, upon giving effect or immediately prior to such exercise, would cause (i) the aggregate number of shares of Common Stock beneficially owned by such holder, its affiliates and any persons who are members of a Section 13(d) group with such holder or its affiliates to exceed 4.99% (or at the election of the holder prior to the issuance of the Warrant, 9.99%) (the “Maximum Percentage”)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Common Stock Warrants include certain rights upon “fundamental transactions” as described in the Common Stock Warrants, including the right of the holders thereof to receive from the Company or a successor entity the same type or form of consideration (and in the same proportion) that is being offered and paid to the holders of Common Stock in such fundamental transaction in the amount of the Black Scholes Value (as described in such Common Stock Warrants) of the unexercised portion of the applicable Common Stock Warrants on the date of the consummation of such fundamental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estimates that the net proceeds from the Offering will be approximately $47.0 million, after deducting underwriting discounts and commissions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Offering is being made pursuant to the Company’s effective registration statement on Form S-3 (File No. 333-283349) (the “Registration Statement”) and a related prospectus and prospectus supplement, in each case filed with the Securities and Exchange Commission (the “SEC”).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covenants, indemnification obligations of the Company and the Underwriters, including for liabilities under the Securities Act of 1933, as amended, and other obligations of the parties.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The foregoing is only a brief description of the terms of the Underwriting Agreement, does not purport to be a complete statement of the rights and obligations of the parties under the Underwriting Agreement and the transactions contemplated thereby, and is qualified in its entirety by reference to the Underwriting Agreement, which is filed as Exhibit 1.1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is only a brief description of the terms of the form of Warrants, does not purport to be a complete statement of the rights and obligations of the parties thereto and the transactions contemplated thereby, and is qualified in its entirety by reference to the form of Pre-Funded Warrant and form of Common Stock Warrant that are filed as Exhibit 4.1 and Exhibit 4.2, respectively, to this Current Report on Form 8-K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legal opinion of Wilson Sonsini Goodrich &amp; Rosati, P.C. relating to the issuance and sale of the Shares and the Warrants in the Offering is filed as Exhibit 5.1 to this Current Report on Form 8-K and is filed with reference to, and is hereby incorporated by reference into, the Registration Statement.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full text of the press release announcing the pricing of the underwritten offering on August 31, 2026 is attached as Exhibit 99.1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intends to use the net proceeds from the offering, together with its existing cash and cash equivalents, primarily to fund the late-stage clinical development, regulatory submission and commercialization preparation activities for rezatapopt, if approved. Based upon the Company’s current operating plan, the Company believes that the net proceeds from the offering, excluding any exercise of the underwriters’ option, together with the Company’s existing cash and cash equivalents, will enable it to fund its operating expenses and capital expenditure requirements into the first quarter of 2028. </w:t>
      </w:r>
    </w:p>
    <w:p>
      <w:pPr>
        <w:pStyle w:val="TextBody"/>
        <w:bidi w:val="0"/>
        <w:spacing w:before="0" w:after="0"/>
        <w:jc w:val="left"/>
        <w:rPr/>
      </w:pPr>
      <w:r>
        <w:rPr/>
        <w:t>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13784dex11.htm">
              <w:r>
                <w:rPr>
                  <w:rStyle w:val="InternetLink"/>
                </w:rPr>
                <w:t xml:space="preserve">Underwriting Agreement, dated August 31, 2026, between PMV Pharmaceuticals, Inc. and TD Securities (USA) LLC as representatives of the several underwriters named therein.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13784dex41.htm">
              <w:r>
                <w:rPr>
                  <w:rStyle w:val="InternetLink"/>
                </w:rPr>
                <w:t xml:space="preserve">Form of Pre-Funded Warrant.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13784dex42.htm">
              <w:r>
                <w:rPr>
                  <w:rStyle w:val="InternetLink"/>
                </w:rPr>
                <w:t xml:space="preserve">Form of Common Stock Warrant.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13784dex51.htm">
              <w:r>
                <w:rPr>
                  <w:rStyle w:val="InternetLink"/>
                </w:rPr>
                <w:t xml:space="preserve">Opinion of Wilson Sonsini Goodrich &amp; Rosati, P.C.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13784dex51.htm">
              <w:r>
                <w:rPr>
                  <w:rStyle w:val="InternetLink"/>
                </w:rPr>
                <w:t xml:space="preserve">Consent of Wilson Sonsini Goodrich &amp; Rosati, P.C (included in Exhibit 5.1).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13784dex991.htm">
              <w:r>
                <w:rPr>
                  <w:rStyle w:val="InternetLink"/>
                </w:rPr>
                <w:t xml:space="preserve">Press Release dated August 31,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have been omitted pursuant to Item 601(a)(5) of Regulation S-K. A copy of any omitted schedule and/or exhibit will be furnished to the SEC upon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608" w:type="dxa"/>
        <w:jc w:val="left"/>
        <w:tblInd w:w="0" w:type="dxa"/>
        <w:tblLayout w:type="fixed"/>
        <w:tblCellMar>
          <w:top w:w="0" w:type="dxa"/>
          <w:left w:w="0" w:type="dxa"/>
          <w:bottom w:w="0" w:type="dxa"/>
          <w:right w:w="0" w:type="dxa"/>
        </w:tblCellMar>
      </w:tblPr>
      <w:tblGrid>
        <w:gridCol w:w="2390"/>
        <w:gridCol w:w="60"/>
        <w:gridCol w:w="23"/>
        <w:gridCol w:w="60"/>
        <w:gridCol w:w="365"/>
        <w:gridCol w:w="60"/>
        <w:gridCol w:w="365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75" w:type="dxa"/>
            <w:gridSpan w:val="3"/>
            <w:tcBorders/>
            <w:vAlign w:val="center"/>
          </w:tcPr>
          <w:p>
            <w:pPr>
              <w:pStyle w:val="TableContents"/>
              <w:bidi w:val="0"/>
              <w:spacing w:before="0" w:after="283"/>
              <w:jc w:val="left"/>
              <w:rPr>
                <w:b/>
              </w:rPr>
            </w:pPr>
            <w:r>
              <w:rPr>
                <w:b/>
              </w:rPr>
              <w:t>PMV PHARMACEUTICALS, INC.</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2390" w:type="dxa"/>
            <w:tcBorders/>
            <w:vAlign w:val="center"/>
          </w:tcPr>
          <w:p>
            <w:pPr>
              <w:pStyle w:val="TableContents"/>
              <w:bidi w:val="0"/>
              <w:spacing w:before="0" w:after="283"/>
              <w:jc w:val="left"/>
              <w:rPr/>
            </w:pPr>
            <w:r>
              <w:rPr/>
              <w:t>Date: September 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Carulli</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Michael Carulli</w:t>
            </w:r>
          </w:p>
        </w:tc>
      </w:tr>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TextBody"/>
        <w:bidi w:val="0"/>
        <w:spacing w:before="0" w:after="0"/>
        <w:jc w:val="right"/>
        <w:rPr>
          <w:rFonts w:ascii="Times New Roman" w:hAnsi="Times New Roman"/>
          <w:b/>
          <w:sz w:val="20"/>
        </w:rPr>
      </w:pPr>
      <w:bookmarkStart w:id="2" w:name="d113784dex11.htm"/>
      <w:bookmarkStart w:id="3" w:name="ksd113784dex11"/>
      <w:bookmarkEnd w:id="2"/>
      <w:bookmarkEnd w:id="3"/>
      <w:r>
        <w:rPr>
          <w:rFonts w:ascii="Times New Roman" w:hAnsi="Times New Roman"/>
          <w:b/>
          <w:sz w:val="20"/>
        </w:rPr>
        <w:t xml:space="preserve">Exhibit 1.1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120" w:after="0"/>
        <w:jc w:val="center"/>
        <w:rPr>
          <w:rFonts w:ascii="Times New Roman" w:hAnsi="Times New Roman"/>
          <w:b/>
          <w:sz w:val="20"/>
        </w:rPr>
      </w:pPr>
      <w:r>
        <w:rPr>
          <w:rFonts w:ascii="Times New Roman" w:hAnsi="Times New Roman"/>
          <w:b/>
          <w:sz w:val="20"/>
        </w:rPr>
        <w:t xml:space="preserve">22,055,000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Pre-Funded Warrants to Purchase Up to 19,900,000 Shares of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Common Warrants to Purchase Up to 41,955,000 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31,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(the “Representative”)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PMV Pharmaceuticals, Inc., a Delaware corporation (the “</w:t>
      </w:r>
      <w:r>
        <w:rPr>
          <w:rFonts w:ascii="Times New Roman" w:hAnsi="Times New Roman"/>
          <w:b/>
          <w:i/>
          <w:sz w:val="20"/>
        </w:rPr>
        <w:t>Company</w:t>
      </w:r>
      <w:r>
        <w:rPr>
          <w:rFonts w:ascii="Times New Roman" w:hAnsi="Times New Roman"/>
          <w:sz w:val="20"/>
        </w:rPr>
        <w:t>”), proposes, subject to the terms and conditions stated in this agreement (this “</w:t>
      </w:r>
      <w:r>
        <w:rPr>
          <w:rFonts w:ascii="Times New Roman" w:hAnsi="Times New Roman"/>
          <w:b/>
          <w:i/>
          <w:sz w:val="20"/>
        </w:rPr>
        <w:t>Agreement</w:t>
      </w:r>
      <w:r>
        <w:rPr>
          <w:rFonts w:ascii="Times New Roman" w:hAnsi="Times New Roman"/>
          <w:sz w:val="20"/>
        </w:rPr>
        <w:t xml:space="preserve">”), to issue and sell to the Underwriters named in </w:t>
      </w:r>
      <w:r>
        <w:rPr>
          <w:rFonts w:ascii="Times New Roman" w:hAnsi="Times New Roman"/>
          <w:b/>
          <w:sz w:val="20"/>
          <w:u w:val="single"/>
        </w:rPr>
        <w:t>Schedule I</w:t>
      </w:r>
      <w:r>
        <w:rPr>
          <w:rFonts w:ascii="Times New Roman" w:hAnsi="Times New Roman"/>
          <w:sz w:val="20"/>
        </w:rPr>
        <w:t xml:space="preserve"> hereto (the “</w:t>
      </w:r>
      <w:r>
        <w:rPr>
          <w:rFonts w:ascii="Times New Roman" w:hAnsi="Times New Roman"/>
          <w:b/>
          <w:i/>
          <w:sz w:val="20"/>
        </w:rPr>
        <w:t>Underwriters</w:t>
      </w:r>
      <w:r>
        <w:rPr>
          <w:rFonts w:ascii="Times New Roman" w:hAnsi="Times New Roman"/>
          <w:sz w:val="20"/>
        </w:rPr>
        <w:t>”) an aggregate of (i) 22,055,000 shares of common stock (the “</w:t>
      </w:r>
      <w:r>
        <w:rPr>
          <w:rFonts w:ascii="Times New Roman" w:hAnsi="Times New Roman"/>
          <w:b/>
          <w:i/>
          <w:sz w:val="20"/>
        </w:rPr>
        <w:t>Shares</w:t>
      </w:r>
      <w:r>
        <w:rPr>
          <w:rFonts w:ascii="Times New Roman" w:hAnsi="Times New Roman"/>
          <w:sz w:val="20"/>
        </w:rPr>
        <w:t>”), par value $0.00001 per share (the “</w:t>
      </w:r>
      <w:r>
        <w:rPr>
          <w:rFonts w:ascii="Times New Roman" w:hAnsi="Times New Roman"/>
          <w:b/>
          <w:i/>
          <w:sz w:val="20"/>
        </w:rPr>
        <w:t>Common Stock</w:t>
      </w:r>
      <w:r>
        <w:rPr>
          <w:rFonts w:ascii="Times New Roman" w:hAnsi="Times New Roman"/>
          <w:sz w:val="20"/>
        </w:rPr>
        <w:t xml:space="preserve">”), of the Company, (ii) pre-funded warrants, substantially in the form attached as </w:t>
      </w:r>
      <w:r>
        <w:rPr>
          <w:rFonts w:ascii="Times New Roman" w:hAnsi="Times New Roman"/>
          <w:b/>
          <w:sz w:val="20"/>
          <w:u w:val="single"/>
        </w:rPr>
        <w:t>Annex I</w:t>
      </w:r>
      <w:r>
        <w:rPr>
          <w:rFonts w:ascii="Times New Roman" w:hAnsi="Times New Roman"/>
          <w:sz w:val="20"/>
        </w:rPr>
        <w:t xml:space="preserve"> hereto, to purchase up to an aggregate of 19,900,000 shares of Common Stock at an exercise price equal to $0.00001 per share (the “</w:t>
      </w:r>
      <w:r>
        <w:rPr>
          <w:rFonts w:ascii="Times New Roman" w:hAnsi="Times New Roman"/>
          <w:b/>
          <w:i/>
          <w:sz w:val="20"/>
        </w:rPr>
        <w:t>Pre-Funded Warrants</w:t>
      </w:r>
      <w:r>
        <w:rPr>
          <w:rFonts w:ascii="Times New Roman" w:hAnsi="Times New Roman"/>
          <w:sz w:val="20"/>
        </w:rPr>
        <w:t xml:space="preserve">”) and (iii) Common Stock warrants, substantially in the form attached as </w:t>
      </w:r>
      <w:r>
        <w:rPr>
          <w:rFonts w:ascii="Times New Roman" w:hAnsi="Times New Roman"/>
          <w:b/>
          <w:sz w:val="20"/>
          <w:u w:val="single"/>
        </w:rPr>
        <w:t>Annex II</w:t>
      </w:r>
      <w:r>
        <w:rPr>
          <w:rFonts w:ascii="Times New Roman" w:hAnsi="Times New Roman"/>
          <w:sz w:val="20"/>
        </w:rPr>
        <w:t xml:space="preserve"> hereto, to purchase up to an aggregate of 41,955,000 shares of Common Stock at an exercise price equal to $1.21 per share (the “</w:t>
      </w:r>
      <w:r>
        <w:rPr>
          <w:rFonts w:ascii="Times New Roman" w:hAnsi="Times New Roman"/>
          <w:b/>
          <w:i/>
          <w:sz w:val="20"/>
        </w:rPr>
        <w:t>Common Warrants</w:t>
      </w:r>
      <w:r>
        <w:rPr>
          <w:rFonts w:ascii="Times New Roman" w:hAnsi="Times New Roman"/>
          <w:sz w:val="20"/>
        </w:rPr>
        <w:t>,” together with the Pre-Funded Warrants, the “</w:t>
      </w:r>
      <w:r>
        <w:rPr>
          <w:rFonts w:ascii="Times New Roman" w:hAnsi="Times New Roman"/>
          <w:b/>
          <w:i/>
          <w:sz w:val="20"/>
        </w:rPr>
        <w:t>Warrants</w:t>
      </w:r>
      <w:r>
        <w:rPr>
          <w:rFonts w:ascii="Times New Roman" w:hAnsi="Times New Roman"/>
          <w:sz w:val="20"/>
        </w:rPr>
        <w:t xml:space="preserve">”), each in the respective amounts set forth in </w:t>
      </w:r>
      <w:r>
        <w:rPr>
          <w:rFonts w:ascii="Times New Roman" w:hAnsi="Times New Roman"/>
          <w:b/>
          <w:sz w:val="20"/>
          <w:u w:val="single"/>
        </w:rPr>
        <w:t>Schedule I</w:t>
      </w:r>
      <w:r>
        <w:rPr>
          <w:rFonts w:ascii="Times New Roman" w:hAnsi="Times New Roman"/>
          <w:sz w:val="20"/>
        </w:rPr>
        <w:t xml:space="preserve"> hereto. The Shares and the Warrants are collectively herein referred to as the “</w:t>
      </w:r>
      <w:r>
        <w:rPr>
          <w:rFonts w:ascii="Times New Roman" w:hAnsi="Times New Roman"/>
          <w:b/>
          <w:i/>
          <w:sz w:val="20"/>
        </w:rPr>
        <w:t>Securities</w:t>
      </w:r>
      <w:r>
        <w:rPr>
          <w:rFonts w:ascii="Times New Roman" w:hAnsi="Times New Roman"/>
          <w:sz w:val="20"/>
        </w:rPr>
        <w:t>.” The shares of Common Stock issuable upon exercise of the Warrants are herein referred to as the “</w:t>
      </w:r>
      <w:r>
        <w:rPr>
          <w:rFonts w:ascii="Times New Roman" w:hAnsi="Times New Roman"/>
          <w:b/>
          <w:i/>
          <w:sz w:val="20"/>
        </w:rPr>
        <w:t>Warrant Shares</w:t>
      </w:r>
      <w:r>
        <w:rPr>
          <w:rFonts w:ascii="Times New Roman" w:hAnsi="Times New Roman"/>
          <w:sz w:val="20"/>
        </w:rPr>
        <w:t xml:space="preserve">.” Each Share or Pre-Funded Warrant is being sold with one accompanying Common Warrant to purchase one share of Common Stock. To the extent there are no additional underwriters listed on </w:t>
      </w:r>
      <w:r>
        <w:rPr>
          <w:rFonts w:ascii="Times New Roman" w:hAnsi="Times New Roman"/>
          <w:b/>
          <w:sz w:val="20"/>
          <w:u w:val="single"/>
        </w:rPr>
        <w:t>Schedule I</w:t>
      </w:r>
      <w:r>
        <w:rPr>
          <w:rFonts w:ascii="Times New Roman" w:hAnsi="Times New Roman"/>
          <w:sz w:val="20"/>
        </w:rPr>
        <w:t xml:space="preserve">, the terms “Representative” and “Underwriters” as used herein shall mean you, as Underwriter. </w:t>
      </w:r>
    </w:p>
    <w:p>
      <w:pPr>
        <w:pStyle w:val="TextBody"/>
        <w:bidi w:val="0"/>
        <w:spacing w:before="240" w:after="0"/>
        <w:jc w:val="left"/>
        <w:rPr>
          <w:rFonts w:ascii="Times New Roman" w:hAnsi="Times New Roman"/>
          <w:sz w:val="20"/>
        </w:rPr>
      </w:pPr>
      <w:r>
        <w:rPr>
          <w:rFonts w:ascii="Times New Roman" w:hAnsi="Times New Roman"/>
          <w:sz w:val="20"/>
        </w:rPr>
        <w:t xml:space="preserve">1. The Company represents and warrants to, and agrees with, each of the Underwriters as of the date hereof and as of the Time of Delivery that: </w:t>
      </w:r>
    </w:p>
    <w:p>
      <w:pPr>
        <w:pStyle w:val="TextBody"/>
        <w:bidi w:val="0"/>
        <w:spacing w:before="120" w:after="0"/>
        <w:jc w:val="left"/>
        <w:rPr>
          <w:rFonts w:ascii="Times New Roman" w:hAnsi="Times New Roman"/>
          <w:sz w:val="20"/>
        </w:rPr>
      </w:pPr>
      <w:r>
        <w:rPr>
          <w:rFonts w:ascii="Times New Roman" w:hAnsi="Times New Roman"/>
          <w:sz w:val="20"/>
        </w:rPr>
        <w:t>(a) A registration statement of the Company on Form S-3 (File No. 333-283349) in respect of the Securities has been filed with the Securities and Exchange Commission (the “</w:t>
      </w:r>
      <w:r>
        <w:rPr>
          <w:rFonts w:ascii="Times New Roman" w:hAnsi="Times New Roman"/>
          <w:b/>
          <w:i/>
          <w:sz w:val="20"/>
        </w:rPr>
        <w:t>Commission</w:t>
      </w:r>
      <w:r>
        <w:rPr>
          <w:rFonts w:ascii="Times New Roman" w:hAnsi="Times New Roman"/>
          <w:sz w:val="20"/>
        </w:rPr>
        <w:t>”) pursuant to Rule 415 under the Securities Act of 1933, as amended (the “</w:t>
      </w:r>
      <w:r>
        <w:rPr>
          <w:rFonts w:ascii="Times New Roman" w:hAnsi="Times New Roman"/>
          <w:b/>
          <w:i/>
          <w:sz w:val="20"/>
        </w:rPr>
        <w:t>Act</w:t>
      </w:r>
      <w:r>
        <w:rPr>
          <w:rFonts w:ascii="Times New Roman" w:hAnsi="Times New Roman"/>
          <w:sz w:val="20"/>
        </w:rPr>
        <w:t xml:space="preserve">”). Such registration statement and any post-effective amendment thereto, each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the form heretofore delivered to the Representative, and, excluding exhibits thereto, to the Representative for each of the other Underwriters, have been declared effective by the Commission in such form and meet the requirements of the Act and no stop order suspending the effectiveness of such registration statement or any part thereof has been issued and no proceeding for that purpose has been initiated or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w:t>
      </w:r>
      <w:r>
        <w:rPr>
          <w:rFonts w:ascii="Times New Roman" w:hAnsi="Times New Roman"/>
          <w:b/>
          <w:i/>
          <w:sz w:val="20"/>
        </w:rPr>
        <w:t>Basic Prospectus</w:t>
      </w:r>
      <w:r>
        <w:rPr>
          <w:rFonts w:ascii="Times New Roman" w:hAnsi="Times New Roman"/>
          <w:sz w:val="20"/>
        </w:rPr>
        <w:t>”; any preliminary prospectus (including any preliminary prospectus supplement) relating to the Securities filed with the Commission pursuant to Rule 424(b) under the Act is hereinafter called a “</w:t>
      </w:r>
      <w:r>
        <w:rPr>
          <w:rFonts w:ascii="Times New Roman" w:hAnsi="Times New Roman"/>
          <w:b/>
          <w:i/>
          <w:sz w:val="20"/>
        </w:rPr>
        <w:t>Preliminary Prospectus</w:t>
      </w:r>
      <w:r>
        <w:rPr>
          <w:rFonts w:ascii="Times New Roman" w:hAnsi="Times New Roman"/>
          <w:sz w:val="20"/>
        </w:rPr>
        <w:t>”; the various parts of such registration statement, including all exhibits thereto but excluding Form T-1 and including any prospectus supplement relating to the Securities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hAnsi="Times New Roman"/>
          <w:b/>
          <w:i/>
          <w:sz w:val="20"/>
        </w:rPr>
        <w:t>Registration Statement</w:t>
      </w:r>
      <w:r>
        <w:rPr>
          <w:rFonts w:ascii="Times New Roman" w:hAnsi="Times New Roman"/>
          <w:sz w:val="20"/>
        </w:rPr>
        <w:t>”; the Basic Prospectus, as amended and supplemented immediately prior to the Applicable Time (as defined in Section 1(c) hereof), is hereinafter called the “</w:t>
      </w:r>
      <w:r>
        <w:rPr>
          <w:rFonts w:ascii="Times New Roman" w:hAnsi="Times New Roman"/>
          <w:b/>
          <w:i/>
          <w:sz w:val="20"/>
        </w:rPr>
        <w:t>Pricing Prospectus</w:t>
      </w:r>
      <w:r>
        <w:rPr>
          <w:rFonts w:ascii="Times New Roman" w:hAnsi="Times New Roman"/>
          <w:sz w:val="20"/>
        </w:rPr>
        <w:t>”; the form of the final prospectus relating to the Securities filed with the Commission pursuant to Rule 424(b) under the Act in accordance with Section 5(a) hereof is hereinafter called the “</w:t>
      </w:r>
      <w:r>
        <w:rPr>
          <w:rFonts w:ascii="Times New Roman" w:hAnsi="Times New Roman"/>
          <w:b/>
          <w:i/>
          <w:sz w:val="20"/>
        </w:rPr>
        <w:t>Prospectus</w:t>
      </w:r>
      <w:r>
        <w:rPr>
          <w:rFonts w:ascii="Times New Roman" w:hAnsi="Times New Roman"/>
          <w:sz w:val="20"/>
        </w:rPr>
        <w:t>”;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Times New Roman" w:hAnsi="Times New Roman"/>
          <w:b/>
          <w:i/>
          <w:sz w:val="20"/>
        </w:rPr>
        <w:t>Exchange Act</w:t>
      </w:r>
      <w:r>
        <w:rPr>
          <w:rFonts w:ascii="Times New Roman" w:hAnsi="Times New Roman"/>
          <w:sz w:val="20"/>
        </w:rPr>
        <w: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Rule 163B under the Act is hereinafter called a “</w:t>
      </w:r>
      <w:r>
        <w:rPr>
          <w:rFonts w:ascii="Times New Roman" w:hAnsi="Times New Roman"/>
          <w:b/>
          <w:i/>
          <w:sz w:val="20"/>
        </w:rPr>
        <w:t>Testing-the-Waters Communication</w:t>
      </w:r>
      <w:r>
        <w:rPr>
          <w:rFonts w:ascii="Times New Roman" w:hAnsi="Times New Roman"/>
          <w:sz w:val="20"/>
        </w:rPr>
        <w:t>”; any Testing-the-Waters Communication that is a written communication within the meaning of Rule 405 under the Act is hereinafter called a “</w:t>
      </w:r>
      <w:r>
        <w:rPr>
          <w:rFonts w:ascii="Times New Roman" w:hAnsi="Times New Roman"/>
          <w:b/>
          <w:i/>
          <w:sz w:val="20"/>
        </w:rPr>
        <w:t>Written Testing-the-Waters Communication</w:t>
      </w:r>
      <w:r>
        <w:rPr>
          <w:rFonts w:ascii="Times New Roman" w:hAnsi="Times New Roman"/>
          <w:sz w:val="20"/>
        </w:rPr>
        <w:t>”; and any “issuer free writing prospectus” as defined in Rule 433 under the Act relating to the Securities is hereinafter called an “</w:t>
      </w:r>
      <w:r>
        <w:rPr>
          <w:rFonts w:ascii="Times New Roman" w:hAnsi="Times New Roman"/>
          <w:b/>
          <w:i/>
          <w:sz w:val="20"/>
        </w:rPr>
        <w:t>Issuer Free Writing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to be stated therein or necessary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representation and warranty shall not apply to any statements or omissions made in reliance upon and in conformity with the Underwriter Information (as defined in Section 9(b) of this Agreement). </w:t>
      </w:r>
    </w:p>
    <w:p>
      <w:pPr>
        <w:pStyle w:val="TextBody"/>
        <w:bidi w:val="0"/>
        <w:spacing w:before="240" w:after="0"/>
        <w:jc w:val="left"/>
        <w:rPr>
          <w:rFonts w:ascii="Times New Roman" w:hAnsi="Times New Roman"/>
          <w:sz w:val="20"/>
        </w:rPr>
      </w:pPr>
      <w:r>
        <w:rPr>
          <w:rFonts w:ascii="Times New Roman" w:hAnsi="Times New Roman"/>
          <w:sz w:val="20"/>
        </w:rPr>
        <w:t>(c) For the purposes of this Agreement, the “</w:t>
      </w:r>
      <w:r>
        <w:rPr>
          <w:rFonts w:ascii="Times New Roman" w:hAnsi="Times New Roman"/>
          <w:b/>
          <w:i/>
          <w:sz w:val="20"/>
        </w:rPr>
        <w:t>Applicable Time</w:t>
      </w:r>
      <w:r>
        <w:rPr>
          <w:rFonts w:ascii="Times New Roman" w:hAnsi="Times New Roman"/>
          <w:sz w:val="20"/>
        </w:rPr>
        <w:t xml:space="preserve">” is 7:00 p.m. (Eastern time) on the date of this Agreement. The Pricing Prospectus, as supplemented by the information listed on </w:t>
      </w:r>
      <w:r>
        <w:rPr>
          <w:rFonts w:ascii="Times New Roman" w:hAnsi="Times New Roman"/>
          <w:b/>
          <w:sz w:val="20"/>
          <w:u w:val="single"/>
        </w:rPr>
        <w:t>Schedule II(c)</w:t>
      </w:r>
      <w:r>
        <w:rPr>
          <w:rFonts w:ascii="Times New Roman" w:hAnsi="Times New Roman"/>
          <w:sz w:val="20"/>
        </w:rPr>
        <w:t xml:space="preserve"> hereto, taken together (collectively, the “</w:t>
      </w:r>
      <w:r>
        <w:rPr>
          <w:rFonts w:ascii="Times New Roman" w:hAnsi="Times New Roman"/>
          <w:b/>
          <w:i/>
          <w:sz w:val="20"/>
        </w:rPr>
        <w:t>Pricing Disclosure Package</w:t>
      </w:r>
      <w:r>
        <w:rPr>
          <w:rFonts w:ascii="Times New Roman" w:hAnsi="Times New Roman"/>
          <w:sz w:val="20"/>
        </w:rPr>
        <w:t xml:space="preserve">”), as of the Applicable Time, did not, and as of the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the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any Underwriter Information. </w:t>
      </w:r>
    </w:p>
    <w:p>
      <w:pPr>
        <w:pStyle w:val="TextBody"/>
        <w:bidi w:val="0"/>
        <w:spacing w:before="240" w:after="0"/>
        <w:jc w:val="left"/>
        <w:rPr>
          <w:rFonts w:ascii="Times New Roman" w:hAnsi="Times New Roman"/>
          <w:sz w:val="20"/>
        </w:rPr>
      </w:pPr>
      <w:r>
        <w:rPr>
          <w:rFonts w:ascii="Times New Roman" w:hAnsi="Times New Roman"/>
          <w:sz w:val="20"/>
        </w:rPr>
        <w:t xml:space="preserve">(d) 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the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 The documents incorporated by reference in the Pricing Prospectus, when they were filed with the Commission conformed in all material respects to the requirements of the Act or the Exchange Act, as applicable, and the rules and regulations of the Commission thereunder and none of such documents contained any untrue statement of a material fact or omitted to state any material fact required to be stated therein, or necessary to make the statements therein, in the light of the circumstances under which they were made, not misleading; and any further documents so filed and incorporated by reference in the Pricing Prospectus, when such documents are filed with Commission will conform in all material respects to the requirements of the Act or the Exchange Act, as applicable, and the rules and regulations of the Commission thereunder and will not contain any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Company has not, since the date of the latest audited financial statements included in the Pricing Prospectus,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or incurred any liability or obligation, direct or contingent, that is material to the Company other than as set forth or contemplated in the Pricing Prospectus; and, since the respective dates as of which information is given in the Registration Statement and the Pricing Prospectus, there has not been (x) any change in the capital stock of the Company (other than as a result of (i) the exercise, if any, of stock options or the award, if any, of stock options, restricted stock or other awards in the ordinary course of business pursuant to the Company’s equity plans that are described in the Pricing Prospectus and the Prospectus or (ii) the issuance, if any, of shares of Common Stock upon conversion of Company securities as described in the Pricing Prospectus and the Prospectus) or long-term debt of the Company or (y) any Material Adverse Effect (as defined below); as used in this Agreement, “</w:t>
      </w:r>
      <w:r>
        <w:rPr>
          <w:rFonts w:ascii="Times New Roman" w:hAnsi="Times New Roman"/>
          <w:b/>
          <w:i/>
          <w:sz w:val="20"/>
        </w:rPr>
        <w:t>Material Adverse Effect</w:t>
      </w:r>
      <w:r>
        <w:rPr>
          <w:rFonts w:ascii="Times New Roman" w:hAnsi="Times New Roman"/>
          <w:sz w:val="20"/>
        </w:rPr>
        <w:t xml:space="preserve">” shall mean any material adverse change or effect, or any development involving a prospective material adverse change or effect, in or affecting (i) the business, properties, general affairs, management, financial position, stockholders’ equity or results of operations of the Company, except as set forth or contemplated in the Pricing Prospectus, or (ii) the ability of the Company to perform its obligations under this Agreement, including the issuance and sale of the Securities, or to consummate the transactions contemplated in the Pricing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does not own any real property and the Company has good and marketable title to all personal property owned by it (other than with respect to Intellectual Property (as defined below), which is addressed exclusively in subsection (z) below), in each case free and clear of all liens, encumbrances and defects except such as are described in the Pricing Prospectus and the Prospectus or such as do not materially affect the value of such property and do not interfere with the use made and proposed to be made of such property by the Company; and any real property and buildings held under lease by the Company are, to the Company’s knowledge, held by the Company under valid, subsisting and enforceable leases with such exceptions as are, not material and do not materially interfere with the use made and proposed to be made of such property and buildings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(g) The Company has been (i) duly organized and is validly existing and in good standing under the laws of its jurisdiction of organization, with power and authority (corporate and other) to own and/or lease its properties and conduct its business as described in the Pricing Prospectus, and (ii) duly qualified as a foreign corporation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no “significant subsidiaries” as defined in Rule 1-02(w) of Regulation S-X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has an authorized capitalization as set forth in the Pricing Prospectus and all of the issued shares of capital stock of the Company have been duly and validly authorized and issued and are fully paid and non-assessable and conform in all material respects to the description of the Common Stock contained in the Pricing Prospectus and the Prospectus. Except as described in each of the Pricing Prospectus and the Prospectus, there are no outstanding rights (contractual or otherwise), warrants or options to acquire, or instruments convertible into or exchangeable for, or agreements or understandings with respect to the sale or issuance of, any shares of capital stock of or other equity interest in the Company, other than in the ordinary course of business, consistent with past practice, under the Company’s equity compensation programs. </w:t>
      </w:r>
    </w:p>
    <w:p>
      <w:pPr>
        <w:pStyle w:val="TextBody"/>
        <w:bidi w:val="0"/>
        <w:spacing w:before="240" w:after="0"/>
        <w:jc w:val="left"/>
        <w:rPr>
          <w:rFonts w:ascii="Times New Roman" w:hAnsi="Times New Roman"/>
          <w:sz w:val="20"/>
        </w:rPr>
      </w:pPr>
      <w:r>
        <w:rPr>
          <w:rFonts w:ascii="Times New Roman" w:hAnsi="Times New Roman"/>
          <w:sz w:val="20"/>
        </w:rPr>
        <w:t xml:space="preserve">(j) The Shares to be issued and sold by the Company to the Underwriters hereunder have been duly and validly authorized and, when issued and delivered against payment therefor as provided herein, will be duly and validly issued and fully paid and non-assessable; and the issuance of the Shares is not subject to any preemptive or similar rights except as have been validly waived or complied with. The Warrants have been duly authorized by the Company, and, when executed and delivered by the Company pursuant to this Agreement, will constitute valid, legal and binding obligations of the Company, enforceable against the Company in accordance with their terms, except as such enforceability may be limited by applicable bankruptcy, insolvency, reorganization or similar laws affecting the rights of creditors generally and subject to general principles of equity; and the issuance of the Warrants is not subject to the preemptive or other similar rights of any securityholder of the Company. The Warrant Shares have been duly authorized and validly reserved for issuance upon exercise of the Warrants in a number sufficient to meet the current exercise requirements and, when issued and delivered upon exercise of the Warrants in accordance with the terms thereof, will be validly issued, fully paid and nonassessable; and the issuance of the Warrant Shares is not subject to any preemptive or similar rights. The Securities conform in all material respects to all statements relating thereto contained in the Pricing Prospectus and such descriptions conform in all material respects to the rights set forth in the instruments defining the same. No holder of Securities or Warrant Shares will be subject to personal liability solely by reason of being such a holder. </w:t>
      </w:r>
    </w:p>
    <w:p>
      <w:pPr>
        <w:pStyle w:val="TextBody"/>
        <w:bidi w:val="0"/>
        <w:spacing w:before="240" w:after="0"/>
        <w:jc w:val="left"/>
        <w:rPr>
          <w:rFonts w:ascii="Times New Roman" w:hAnsi="Times New Roman"/>
          <w:sz w:val="20"/>
        </w:rPr>
      </w:pPr>
      <w:r>
        <w:rPr>
          <w:rFonts w:ascii="Times New Roman" w:hAnsi="Times New Roman"/>
          <w:sz w:val="20"/>
        </w:rPr>
        <w:t>(k) The issue and sale of the Securities and the Warrant Shares, and the compliance by the Company with this Agreement, the Warrants and the consummation of the transactions contemplated in this Agreement, the Warrants and the Pricing Prospectus will not conflict with or result in a breach or violation of any of the terms or provisions of, or constitute a default under, (A) any indenture, mortgage, deed of trust, loan agreement or other agreement or instrument to which the Company is a party or by which the Company is bound or to which any of the property or assets of the Company is subject, (B) the certificate of incorporation or by-laws (or other applicable organizational document) of the Company, or (C) any statute or any judgment, order, rule or regulation of any court or governmental agency or body having jurisdiction over the Company or any of its properties except, in the case of clauses (A) or (C), for such defaults, breaches, or violations that would not, individually or in the aggregate, have a Material Adverse Effect; and no consent, approval, authorization, order, registration or qualification of or with any such court or governmental agency or body is required for the issue and sale of the Securities or the consummation by the Company of the transactions contemplated by this Agreement, except such as have been obtained under the Act, the approval by the Financial Industry Regulatory Authority (“</w:t>
      </w:r>
      <w:r>
        <w:rPr>
          <w:rFonts w:ascii="Times New Roman" w:hAnsi="Times New Roman"/>
          <w:b/>
          <w:i/>
          <w:sz w:val="20"/>
        </w:rPr>
        <w:t>FINRA</w:t>
      </w:r>
      <w:r>
        <w:rPr>
          <w:rFonts w:ascii="Times New Roman" w:hAnsi="Times New Roman"/>
          <w:sz w:val="20"/>
        </w:rPr>
        <w:t xml:space="preserve">”) of the underwriting terms and arrangements and such consents, approvals, authorizations, registrations or qualifications as may be required under state securities or Blue Sky laws in connection with the purchase and distribution of the Securities by the Underwriters.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Company is not (i) in violation of its certificate of incorporation or by-laws (or other applicable organizational document), (ii) in violation of any statute or any judgment, order, rule or regulation of any court or governmental agency or body having jurisdiction over the Company or any of its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(m) The statements set forth in the Pricing Prospectus and Prospectus under the caption “Description of Securities”, insofar as they purport to constitute a summary of the terms of the Securities, under the caption “Material U.S. Federal Income Tax Consequences for Non-U.S. Holders of Our Common Stock”, insofar as they purport to describe the provisions of the laws and documents referred to therein, are accurate, complete and fair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(n) There are no legal or governmental proceedings pending to which the Company or, to the Company’s knowledge, any officer or director of the Company, is a party or of which any property of the Company is the subject which, if determined adversely to the Company (or such officer or director), would individually or in the aggregate have a Material Adverse Effect; and, to the Company’s knowledge, no such proceedings are threatened or contemplated by governmental authorities or others. </w:t>
      </w:r>
    </w:p>
    <w:p>
      <w:pPr>
        <w:pStyle w:val="TextBody"/>
        <w:bidi w:val="0"/>
        <w:spacing w:before="240" w:after="0"/>
        <w:jc w:val="left"/>
        <w:rPr>
          <w:rFonts w:ascii="Times New Roman" w:hAnsi="Times New Roman"/>
          <w:sz w:val="20"/>
        </w:rPr>
      </w:pPr>
      <w:r>
        <w:rPr>
          <w:rFonts w:ascii="Times New Roman" w:hAnsi="Times New Roman"/>
          <w:sz w:val="20"/>
        </w:rPr>
        <w:t xml:space="preserve">(o) The Company is not and, after giving effect to the offering and sale of the Securities and the application of the proceeds thereof, including any proceeds upon exercise of the Warrants, as described in the Pricing Prospectus, will not be an “investment company”, as such term is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(p) At the time of filing the Registration Statement and any post-effective amendment thereto, at the earliest time thereafter that the Company or any offering participant made a bona fide offer (within the meaning of Rule 164(h)(2) under the Act) of the Securities, and at the date hereof, the Company was not and is not an “ineligible issuer,” as defined under Rule 405 under the Act. </w:t>
      </w:r>
    </w:p>
    <w:p>
      <w:pPr>
        <w:pStyle w:val="TextBody"/>
        <w:bidi w:val="0"/>
        <w:spacing w:before="240" w:after="0"/>
        <w:jc w:val="left"/>
        <w:rPr>
          <w:rFonts w:ascii="Times New Roman" w:hAnsi="Times New Roman"/>
          <w:sz w:val="20"/>
        </w:rPr>
      </w:pPr>
      <w:r>
        <w:rPr>
          <w:rFonts w:ascii="Times New Roman" w:hAnsi="Times New Roman"/>
          <w:sz w:val="20"/>
        </w:rPr>
        <w:t xml:space="preserve">(q) Ernst &amp; Young LLP, who has certified certain financial statements of the Company, is an independent registered public accounting firm as required by the Act and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(r) The Company maintains a system of internal control over financial reporting (as such term is defined in Rule 13a-15(f) under the Exchange Act) (i) that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 is designed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accurate and fairly presents the information called for in all material respects and is prepared in accordance with the Commission’s rules and guidelines applicable thereto; and the Company is not aware of any material weaknesses in its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(s) Since the date of the latest audited financial statements included in the Pricing Prospectus, there has been no change in the Company’s internal control over financial reporting that has materially and adversely affected, or is reasonably likely to materially and adversely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(t) The Company maintains disclosure controls and procedures (as such term is defined in Rule 13a-15(e) under the Exchange Act) that have been designed to ensure that material information relating to the Company is made known to the Company’s principal executive officer and principal financial officer by others within the Company; and such disclosure controls and procedures are effective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(u) The Company has all requisite corporate power and authority to execute and deliver, and to perform its obligations under, this Agreement and the Warrants. This Agreement and the Warrants have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(v) Neither the Company nor, to the knowledge of the Company, any director, officer, agent, employee, affiliate or other person associated with or acting on behalf of the Company has (i) made, offered, promised or authorized any unlawful contribution, gift, entertainment or other unlawful expense (or taken any act in furtherance thereof); (ii) made, offered, promised or authorized any direct or indirect unlawful payment; or (iii) violated or is in violation of any applicable provision of the U.S. Foreign Corrupt Practices Act of 1977, as amended, the Bribery Act 2010 of the United Kingdom or any other applicable anti-bribery or anti-corruption law. No action, suit or proceeding by or before any court or governmental agency, authority or body or any arbitrator involving the Company with respect to criminal laws is pending or threatened except as would not, singularly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(w) The operations of the Company are and have been conducted at all times in compliance with the requirements of applicable anti-money laundering laws, including, but not limited to, the Bank Secrecy Act, as amended by Title III of the Uniting and Strengthening America by Providing Appropriate Tools Required to Intercept and Obstruct Terrorism Act of 2001 (USA PATRIOT Act), and the anti-money laundering laws of the various jurisdictions in which the Company conducts business (collectively, the “</w:t>
      </w:r>
      <w:r>
        <w:rPr>
          <w:rFonts w:ascii="Times New Roman" w:hAnsi="Times New Roman"/>
          <w:b/>
          <w:i/>
          <w:sz w:val="20"/>
        </w:rPr>
        <w:t>Money Laundering Laws</w:t>
      </w:r>
      <w:r>
        <w:rPr>
          <w:rFonts w:ascii="Times New Roman" w:hAnsi="Times New Roman"/>
          <w:sz w:val="20"/>
        </w:rPr>
        <w:t xml:space="preserve">”) and no action, suit or proceeding by or before any court or governmental agency, authority or body or any arbitrator involving the Company with respect to the Money Laundering Laws is pending or, to the knowledge of the Company, threatened.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Neither the Company nor, to the knowledge of the Company, any director, officer, agent, employee or affiliate of the Company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 w:hAnsi="Times New Roman"/>
          <w:b/>
          <w:i/>
          <w:sz w:val="20"/>
        </w:rPr>
        <w:t>Sanctions</w:t>
      </w:r>
      <w:r>
        <w:rPr>
          <w:rFonts w:ascii="Times New Roman" w:hAnsi="Times New Roman"/>
          <w:sz w:val="20"/>
        </w:rPr>
        <w:t xml:space="preserve">”), nor is the Company located, organized or resident in a country or territory that is the subject or target of Sanctions,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The Company has not knowingly engaged in, is not now knowingly engaged in, and will not engage in, any direct or indirect dealings or transactions with any individual or entity, or in any country or territory, that at the time of the dealing or transaction, is or was the subject of Sanctions. </w:t>
      </w:r>
    </w:p>
    <w:p>
      <w:pPr>
        <w:pStyle w:val="TextBody"/>
        <w:bidi w:val="0"/>
        <w:spacing w:before="240" w:after="0"/>
        <w:jc w:val="left"/>
        <w:rPr>
          <w:rFonts w:ascii="Times New Roman" w:hAnsi="Times New Roman"/>
          <w:sz w:val="20"/>
        </w:rPr>
      </w:pPr>
      <w:r>
        <w:rPr>
          <w:rFonts w:ascii="Times New Roman" w:hAnsi="Times New Roman"/>
          <w:sz w:val="20"/>
        </w:rPr>
        <w:t xml:space="preserve">(y) The financial statements included in the Registration Statement, the Pricing Prospectus and the Prospectus, together with the related schedules and notes, present fairly in all material respects the financial position of the Company at the dates indicated therein and the statement of operations, stockholders’ equity and cash flows of the Company for the periods specified; such financial statements have been prepared in conformity with U.S. generally accepted accounting principles applied on a consistent basis throughout the periods involved.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(z) Except as disclosed in the Pricing Prospectus and the Prospectus, the Company owns or has obtained valid and enforceable licenses for, the inventions, patent applications, patents, trademarks, trade names, service names, copyrights, trade secrets, domain names, technology, know-how and other intellectual property described in the Registration Statement, the Pricing Prospectus and the Prospectus as being owned or licensed by it or which are necessary for the conduct of its business as currently conducted and as proposed to be conducted (collectively, “</w:t>
      </w:r>
      <w:r>
        <w:rPr>
          <w:rFonts w:ascii="Times New Roman" w:hAnsi="Times New Roman"/>
          <w:b/>
          <w:i/>
          <w:sz w:val="20"/>
        </w:rPr>
        <w:t>Intellectual Property</w:t>
      </w:r>
      <w:r>
        <w:rPr>
          <w:rFonts w:ascii="Times New Roman" w:hAnsi="Times New Roman"/>
          <w:sz w:val="20"/>
        </w:rPr>
        <w:t xml:space="preserve">”). To the Company’s knowledge: (i) there are no third parties who have rights to any Intellectual Property, except for customary reversionary rights of third-party licensors with respect to Intellectual Property that is disclosed in the Registration Statement, the Pricing Prospectus and the Prospectus as licensed to the Company; (ii) the Company is not infringing or misappropriating the intellectual property rights of third parties; and (iii) the Company is either the sole owner or the co-owner of the Intellectual Property owned by it and has the valid, enforceable right to use the Intellectual Property without the obligation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to sublicense and without a duty of accounting to the co-owner, as applicable. There is no pending or, to the Company’s knowledge, threatened action, suit, proceeding or claim by others and the Company has not received notice of and is unaware of any facts which would form a reasonable basis for any such claim: (A) challenging the Company’s rights in or to any Intellectual Property; (B) challenging the validity, enforceability or scope of any Intellectual Property; or (C) asserting that the Company infringes, misappropriates or otherwise violates, or would, upon the manufacture or commercialization of any product or service described in the Registration Statement, the Pricing Prospectus and the Prospectus as under development, infringe, misappropriate or violate, any patent, trademark, trade name, service name, copyright, trade secret or other proprietary rights of others. The Company has complied with the terms of each agreement pursuant to which Intellectual Property has been licensed to the Company, and all such agreements are in full force and effect. To the Company’s knowledge,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such violation has a Material Adverse Effect on the Company. The Company has taken reasonable steps necessary to secure assignments to the Company of the Intellectual Property purported to be owned by the Company from any employees, consultants, agents or contractors that developed (in whole or in part) such Intellectual Property. No government funding, facilities or resources of a university, college, other educational institution or research center was used in the development of any Intellectual Property that is owned or purported to be owned by the Company that would confer upon any governmental agency or body, university, college, other educational institution or research center any claim or right of ownership to any such Intellectual Property. </w:t>
      </w:r>
    </w:p>
    <w:p>
      <w:pPr>
        <w:pStyle w:val="TextBody"/>
        <w:bidi w:val="0"/>
        <w:spacing w:before="240" w:after="0"/>
        <w:jc w:val="left"/>
        <w:rPr>
          <w:rFonts w:ascii="Times New Roman" w:hAnsi="Times New Roman"/>
          <w:sz w:val="20"/>
        </w:rPr>
      </w:pPr>
      <w:r>
        <w:rPr>
          <w:rFonts w:ascii="Times New Roman" w:hAnsi="Times New Roman"/>
          <w:sz w:val="20"/>
        </w:rPr>
        <w:t>(aa) Except as described in the Registration Statement, the Pricing Disclosure Package and the Prospectus, all patents and patent applications owned by or licensed to the Company or under which the Company has rights have, to the knowledge of the Company, been duly and properly filed and maintained and are valid and enforceable; the Company has, to the knowledge of the Company, complied with its duty of candor and disclosure to the U.S. Patent and Trademark Office (the “</w:t>
      </w:r>
      <w:r>
        <w:rPr>
          <w:rFonts w:ascii="Times New Roman" w:hAnsi="Times New Roman"/>
          <w:b/>
          <w:i/>
          <w:sz w:val="20"/>
        </w:rPr>
        <w:t>USPTO</w:t>
      </w:r>
      <w:r>
        <w:rPr>
          <w:rFonts w:ascii="Times New Roman" w:hAnsi="Times New Roman"/>
          <w:sz w:val="20"/>
        </w:rPr>
        <w:t xml:space="preserve">”) in connection with such patents and patent applications for which it has filing, prosecution, and/or maintenance responsibilities; to the knowledge of the Company, the parties having filing, prosecuting and/or maintenance responsibilities for such patents and patent applications have complied with their duty of candor and disclosure to the USPTO in connection with such patents and patent applications; and the Company is not aware of any prior art or public or commercial activity or other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been issued with respect to such applications. </w:t>
      </w:r>
    </w:p>
    <w:p>
      <w:pPr>
        <w:pStyle w:val="TextBody"/>
        <w:bidi w:val="0"/>
        <w:spacing w:before="240" w:after="0"/>
        <w:jc w:val="left"/>
        <w:rPr>
          <w:rFonts w:ascii="Times New Roman" w:hAnsi="Times New Roman"/>
          <w:sz w:val="20"/>
        </w:rPr>
      </w:pPr>
      <w:r>
        <w:rPr>
          <w:rFonts w:ascii="Times New Roman" w:hAnsi="Times New Roman"/>
          <w:sz w:val="20"/>
        </w:rPr>
        <w:t>(bb) The Company: (i) has operated and currently operates its business in compliance in all material respects with applicable provisions of the Health Care Laws (as defined below) of the Food and Drug Administration (“</w:t>
      </w:r>
      <w:r>
        <w:rPr>
          <w:rFonts w:ascii="Times New Roman" w:hAnsi="Times New Roman"/>
          <w:b/>
          <w:i/>
          <w:sz w:val="20"/>
        </w:rPr>
        <w:t>FDA</w:t>
      </w:r>
      <w:r>
        <w:rPr>
          <w:rFonts w:ascii="Times New Roman" w:hAnsi="Times New Roman"/>
          <w:sz w:val="20"/>
        </w:rPr>
        <w:t>”), the Department of Health and Human Services and any comparable foreign or other regulatory authority to which they are subject (collectively, the “</w:t>
      </w:r>
      <w:r>
        <w:rPr>
          <w:rFonts w:ascii="Times New Roman" w:hAnsi="Times New Roman"/>
          <w:b/>
          <w:i/>
          <w:sz w:val="20"/>
        </w:rPr>
        <w:t>Applicable Regulatory Authorities</w:t>
      </w:r>
      <w:r>
        <w:rPr>
          <w:rFonts w:ascii="Times New Roman" w:hAnsi="Times New Roman"/>
          <w:sz w:val="20"/>
        </w:rPr>
        <w:t xml:space="preserve">”) applicable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ownership, testing, development, manufacture, packaging, processing, use, distribution, storage, import, export or disposal of any of the Company’s product candidates or any product manufactured or distributed by the Company; (ii) has not received any FDA Form 483, written notice of adverse finding, warning letter, untitled letter or other correspondence or written notice from any court or arbitrator or the Applicable Regulatory Authorities alleging or asserting non-compliance with any Health Care Laws or the licenses, certificates, approvals, clearances, registrations, exemptions, authorizations, permits and supplements or amendments thereto required by any such Health Care Laws (“</w:t>
      </w:r>
      <w:r>
        <w:rPr>
          <w:rFonts w:ascii="Times New Roman" w:hAnsi="Times New Roman"/>
          <w:b/>
          <w:i/>
          <w:sz w:val="20"/>
        </w:rPr>
        <w:t>Regulatory Authorizations</w:t>
      </w:r>
      <w:r>
        <w:rPr>
          <w:rFonts w:ascii="Times New Roman" w:hAnsi="Times New Roman"/>
          <w:sz w:val="20"/>
        </w:rPr>
        <w:t xml:space="preserve">”);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any court or arbitrator or the Applicable Regulatory Authorities or any other third party alleging that any product operation or activity is in material violation of any Health Care Laws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materially adversely limit, suspend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 </w:t>
      </w:r>
    </w:p>
    <w:p>
      <w:pPr>
        <w:pStyle w:val="TextBody"/>
        <w:bidi w:val="0"/>
        <w:spacing w:before="240" w:after="0"/>
        <w:jc w:val="left"/>
        <w:rPr>
          <w:rFonts w:ascii="Times New Roman" w:hAnsi="Times New Roman"/>
          <w:sz w:val="20"/>
        </w:rPr>
      </w:pPr>
      <w:r>
        <w:rPr>
          <w:rFonts w:ascii="Times New Roman" w:hAnsi="Times New Roman"/>
          <w:sz w:val="20"/>
        </w:rPr>
        <w:t>(cc) The term “</w:t>
      </w:r>
      <w:r>
        <w:rPr>
          <w:rFonts w:ascii="Times New Roman" w:hAnsi="Times New Roman"/>
          <w:b/>
          <w:i/>
          <w:sz w:val="20"/>
        </w:rPr>
        <w:t>Health Care Laws</w:t>
      </w:r>
      <w:r>
        <w:rPr>
          <w:rFonts w:ascii="Times New Roman" w:hAnsi="Times New Roman"/>
          <w:sz w:val="20"/>
        </w:rPr>
        <w:t xml:space="preserve">” means all applicable laws governing the research, investigation, development, testing, manufacturing, production, packaging, labeling, distribution, storage, shipping, transport, marketing, advertising, promotion, sale, export, import, use, handling, control, safety or efficacy of pharmaceutical products, including, as applicable the Federal Food, Drug, and Cosmetic Act, 21 U.S.C. §§ 301 et seq. and any other law pertaining to or governing a government healthcare program; all health care anti-kickback, self-referral, false claim, fraud and abuse laws, including, Title XVIII of the Social Security Act, 42 U.S.C. §§ 1395-1395hhh (the Medicare statute); Title XIX of the Social Security Act, 42 U.S.C. §§ 1396-1396v (the Medicaid statute); the Federal Anti-Kickback Statute, 42 U.S.C. § 1320a-7b(b); the civil False Claims Act, 31 U.S.C. §§ 3729 et seq.; the Anti-Inducement Law, 42 U.S.C. §1320a-7a(a)(5); the criminal False Claims Act 42 U.S.C. 1320a-7b(a); any criminal laws relating to health care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abuse, including but not limited to 18 U.S.C. Sections 286, 287, 1035, 1347 and 1349 and the health care fraud criminal provisions under the Health Insurance Portability and Accountability Act of 1996, 42 U.S.C. §§ 1320d et seq., (“</w:t>
      </w:r>
      <w:r>
        <w:rPr>
          <w:rFonts w:ascii="Times New Roman" w:hAnsi="Times New Roman"/>
          <w:b/>
          <w:i/>
          <w:sz w:val="20"/>
        </w:rPr>
        <w:t>HIPAA</w:t>
      </w:r>
      <w:r>
        <w:rPr>
          <w:rFonts w:ascii="Times New Roman" w:hAnsi="Times New Roman"/>
          <w:sz w:val="20"/>
        </w:rPr>
        <w:t xml:space="preserve">”); the Civil Monetary Penalties Law, 42 U.S.C. §§ 1320a-7a and 1320a-7b; the Physician Payments Sunshine Act, 42 U.S.C. § 1320a-7h; the Exclusion Laws, 42 U.S.C. § 1320a-7; HIPAA, as amended by the Health Information Technology for Economic and Clinical Health Act, 42 U.S.C. §§ 17921 et seq.; the Federal Food, Drug, and Cosmetic Act, 21 U.S.C. §§ 301 et seq.; in each case as amended; the regulations promulgated pursuant to such laws; and any similar foreign, federal, state and local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(dd) To the Company’s knowledge, the manufacturing facilities and operations of its suppliers are operated in compliance in all material respects with all applicable statutes, rules, regulations and legal requirements of the Applicable Regulatory Authorities. </w:t>
      </w:r>
    </w:p>
    <w:p>
      <w:pPr>
        <w:pStyle w:val="TextBody"/>
        <w:bidi w:val="0"/>
        <w:spacing w:before="240" w:after="0"/>
        <w:jc w:val="left"/>
        <w:rPr>
          <w:rFonts w:ascii="Times New Roman" w:hAnsi="Times New Roman"/>
          <w:sz w:val="20"/>
        </w:rPr>
      </w:pPr>
      <w:r>
        <w:rPr>
          <w:rFonts w:ascii="Times New Roman" w:hAnsi="Times New Roman"/>
          <w:sz w:val="20"/>
        </w:rPr>
        <w:t>(ee) None of the Company’s product candidates have received marketing approval from any Applicable Regulatory Authority. All pre-clinical and clinical studies and trials conducted by, for or on behalf of the Company, or in which the Company has participated with respect to its product candidates that are described in the Registration Statement, the Pricing Prospectus and the Prospectus, or the results of which are referred to in the Registration Statement, the Pricing Prospectus and the Prospectus, as applicable (the “</w:t>
      </w:r>
      <w:r>
        <w:rPr>
          <w:rFonts w:ascii="Times New Roman" w:hAnsi="Times New Roman"/>
          <w:b/>
          <w:i/>
          <w:sz w:val="20"/>
        </w:rPr>
        <w:t>Company Trials</w:t>
      </w:r>
      <w:r>
        <w:rPr>
          <w:rFonts w:ascii="Times New Roman" w:hAnsi="Times New Roman"/>
          <w:sz w:val="20"/>
        </w:rPr>
        <w:t xml:space="preserve">”), were, and if still pending are, to the Company’s knowledge, being conducted in all material respects in accordance with all applicable Health Care Laws of the Applicable Regulatory Authorities and current Good Clinical Practices and Good Laboratory Practices, study protocols, applicable rules and regulations the jurisdiction in which such trials and studies are being conducted; the descriptions in the Registration Statement, Pricing Prospectus and the Prospectus of the results of any Company Trials are accurate and complete descriptions in all material respects and fairly present the data derived therefrom; the Company has no knowledge of any other studies or trials not described in the Registration Statement, the Pricing Prospectus and the Prospectus, the results of which are inconsistent with or call into question the results described or referred to in the Registration Statement, the Pricing Prospectus and the Prospectus; the Company has not received any written notices, correspondence or other communications from the Applicable Regulatory Authorities or any other governmental entity requiring or threatening the termination, material adverse modification or suspension of Company Trials, other than ordinary course communications in connection with the design and implementation of such studies or trials, and, to the Company’s knowledge, there are no reasonable grounds for the same. No investigational new drug application or comparable submission filed by or on behalf of the Company with the FDA has been terminated or suspended by the FDA or any other Applicable Regulatory Authority. The Company has obtained (or caused to be obtained) informed consent by or on behalf of each human subject who participated in a Company Trial. To the Company’s knowledge, none of the Company Trials have involved any investigator who has been disqualified as a clinical investigator or has been found by the FDA to have engaged in scientific misconduct.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 The Company possesses such material permits, licenses, clearances, approvals, consents, exemptions, registrations, and other authorizations (collectively, “</w:t>
      </w:r>
      <w:r>
        <w:rPr>
          <w:rFonts w:ascii="Times New Roman" w:hAnsi="Times New Roman"/>
          <w:b/>
          <w:i/>
          <w:sz w:val="20"/>
        </w:rPr>
        <w:t>Governmental Licenses</w:t>
      </w:r>
      <w:r>
        <w:rPr>
          <w:rFonts w:ascii="Times New Roman" w:hAnsi="Times New Roman"/>
          <w:sz w:val="20"/>
        </w:rPr>
        <w:t xml:space="preserve">”) issued by the appropriate governmental entities necessary to conduct the business now operated by them. The Company is in material compliance with the terms and conditions of all governmental licenses, and all Governmental Licenses are valid and in full force and effect. The Company has not received any notice of proceedings relating to the revocation or material modification of any Governmental Licenses. </w:t>
      </w:r>
    </w:p>
    <w:p>
      <w:pPr>
        <w:pStyle w:val="TextBody"/>
        <w:bidi w:val="0"/>
        <w:spacing w:before="240" w:after="0"/>
        <w:jc w:val="left"/>
        <w:rPr>
          <w:rFonts w:ascii="Times New Roman" w:hAnsi="Times New Roman"/>
          <w:sz w:val="20"/>
        </w:rPr>
      </w:pPr>
      <w:r>
        <w:rPr>
          <w:rFonts w:ascii="Times New Roman" w:hAnsi="Times New Roman"/>
          <w:sz w:val="20"/>
        </w:rPr>
        <w:t>(gg) The Company is, and at all prior times was, in material compliance with all applicable data privacy and security laws and regulations, including without limitation, as applicable, HIPAA, as amended, and the Company has taken any required and necessary actions to comply in all material respects with the European Union General Data Protection Regulation (“</w:t>
      </w:r>
      <w:r>
        <w:rPr>
          <w:rFonts w:ascii="Times New Roman" w:hAnsi="Times New Roman"/>
          <w:b/>
          <w:i/>
          <w:sz w:val="20"/>
        </w:rPr>
        <w:t>GDPR</w:t>
      </w:r>
      <w:r>
        <w:rPr>
          <w:rFonts w:ascii="Times New Roman" w:hAnsi="Times New Roman"/>
          <w:sz w:val="20"/>
        </w:rPr>
        <w:t>”) (EU 2016/679) (and all other applicable laws and regulations with respect to Personal Data that have been announced as of the date hereof as becoming effective within 12 months after the date hereof, and for which any non-compliance with the same would be reasonably likely to create a material liability) as soon as they take effect (collectively, the “</w:t>
      </w:r>
      <w:r>
        <w:rPr>
          <w:rFonts w:ascii="Times New Roman" w:hAnsi="Times New Roman"/>
          <w:b/>
          <w:i/>
          <w:sz w:val="20"/>
        </w:rPr>
        <w:t>Privacy Laws</w:t>
      </w:r>
      <w:r>
        <w:rPr>
          <w:rFonts w:ascii="Times New Roman" w:hAnsi="Times New Roman"/>
          <w:sz w:val="20"/>
        </w:rPr>
        <w:t>”). To ensure material compliance with the Privacy Laws, the Company has in place and is in material compliance with commercially reasonable policies and procedures relating to data privacy and security and the collection, storage, use, disclosure, handling, and analysis of Personal Data (the “</w:t>
      </w:r>
      <w:r>
        <w:rPr>
          <w:rFonts w:ascii="Times New Roman" w:hAnsi="Times New Roman"/>
          <w:b/>
          <w:i/>
          <w:sz w:val="20"/>
        </w:rPr>
        <w:t>Policies</w:t>
      </w:r>
      <w:r>
        <w:rPr>
          <w:rFonts w:ascii="Times New Roman" w:hAnsi="Times New Roman"/>
          <w:sz w:val="20"/>
        </w:rPr>
        <w:t>”) as applicable. “</w:t>
      </w:r>
      <w:r>
        <w:rPr>
          <w:rFonts w:ascii="Times New Roman" w:hAnsi="Times New Roman"/>
          <w:b/>
          <w:i/>
          <w:sz w:val="20"/>
        </w:rPr>
        <w:t>Personal Data</w:t>
      </w:r>
      <w:r>
        <w:rPr>
          <w:rFonts w:ascii="Times New Roman" w:hAnsi="Times New Roman"/>
          <w:sz w:val="20"/>
        </w:rPr>
        <w:t xml:space="preserve">”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permits the collection or analysis of any data related to an identified person’s health or sexual orientation. The Company has since inception made all disclosures to users or customers required by applicable laws and regulatory rules or requirements, and has provided accurate notice of its Policies then in effect to its customers, employees, third party vendors and representatives as required by applicable laws and regulatory rules or requirements, except where the failure to do so would not, individually or in the aggregate, have a Material Adverse Effect.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violation of any Privacy Laws or Policies. The Company further certifies that it: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a party to any order, decree, or agreement that imposes any obligation or liability under any Privacy Law. </w:t>
      </w:r>
    </w:p>
    <w:p>
      <w:pPr>
        <w:pStyle w:val="TextBody"/>
        <w:bidi w:val="0"/>
        <w:spacing w:before="240" w:after="0"/>
        <w:jc w:val="left"/>
        <w:rPr>
          <w:rFonts w:ascii="Times New Roman" w:hAnsi="Times New Roman"/>
          <w:sz w:val="20"/>
        </w:rPr>
      </w:pPr>
      <w:r>
        <w:rPr>
          <w:rFonts w:ascii="Times New Roman" w:hAnsi="Times New Roman"/>
          <w:sz w:val="20"/>
        </w:rPr>
        <w:t>(hh) Except as would not reasonably be expected to have a Material Adverse Effect, the Company’s information technology assets and equipment, computers, systems, networks, hardware, software, websites, applications, and databases (collectively, “</w:t>
      </w:r>
      <w:r>
        <w:rPr>
          <w:rFonts w:ascii="Times New Roman" w:hAnsi="Times New Roman"/>
          <w:b/>
          <w:i/>
          <w:sz w:val="20"/>
        </w:rPr>
        <w:t>IT Systems</w:t>
      </w:r>
      <w:r>
        <w:rPr>
          <w:rFonts w:ascii="Times New Roman" w:hAnsi="Times New Roman"/>
          <w:sz w:val="20"/>
        </w:rPr>
        <w:t xml:space="preserve">”) are adequate for, and operate and perform as required in connection with the operation of the business of the Company as currently conducted.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knowledge, its IT Systems are free and clear of all material bugs, errors, defects, Trojan horses, time bombs, malware and other corruptants. The Company has implemented and maintained commercially reasonable controls, policies, procedures, and safeguards to maintain and protect their material confidential information and the integrity, continuous operation, redundancy and security of all IT Systems and data Personal Data used in connection with their businesses, and there have been no breaches, violations, outages or known unauthorized uses of or known accesses to same, except for those that have been remedied without material cost or liability or the duty to notify any other person, nor any incidents under internal review or investigations relating to the same and except as would not reasonably be expected to have a Material Adverse Effect. The Company is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where the failure to be in compliance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(ii) (i) the Company (x) is in compliance with all, and has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hAnsi="Times New Roman"/>
          <w:b/>
          <w:i/>
          <w:sz w:val="20"/>
        </w:rPr>
        <w:t>Environmental Laws</w:t>
      </w:r>
      <w:r>
        <w:rPr>
          <w:rFonts w:ascii="Times New Roman" w:hAnsi="Times New Roman"/>
          <w:sz w:val="20"/>
        </w:rPr>
        <w:t xml:space="preserve">”); (y) has received and is in compliance with all, and have not violated any, permits, licenses, certificates or other authorizations or approvals required of it under any Environmental Laws to conduct its businesses, except where such non-compliance with Environmental Laws, failure to receive required permits, licenses or other approvals or failure to comply with such permits, licenses, certificates or approvals would not individually or in the aggregate, reasonably be expected to have a Material Adverse Effect; and (z) has not received written notice of any actual or potential liability by the Company or obligation of the Company under or relating to, or any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and (iii)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 (y) the Company is not aware of any facts or issues regarding compliance with Environmental Laws, or liabilities or other obligations under Environmental Laws or concerning hazardous or toxic substances or wastes, pollutants or contaminants, and (z) the Company does not anticipate material capital expenditures relating to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(jj) There are no off-balance sheet arrangements (as defined in Regulation S-K Item 303(a)(4)(ii) of the Act) that have or are reasonably likely to have a Material Adverse Effect on the Company’s financial condition, changes in financial condition, results of operations, liquidity, capital expenditures or capital resources.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(kk) There are (and prior to the Time of Delivery, will be) no debt securities, convertible securities or preferred stock issued or guaranteed by the Company that are rated by a “nationally recognized statistical rating organization”, as such term is defined in Section 3(a)(62)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(ll) There are no persons with registration rights or other similar rights to have any securities registered pursuant to the Registration Statement or otherwise registered by the Company under the Act except as have been validly waived or complied with. </w:t>
      </w:r>
    </w:p>
    <w:p>
      <w:pPr>
        <w:pStyle w:val="TextBody"/>
        <w:bidi w:val="0"/>
        <w:spacing w:before="240" w:after="0"/>
        <w:jc w:val="left"/>
        <w:rPr>
          <w:rFonts w:ascii="Times New Roman" w:hAnsi="Times New Roman"/>
          <w:sz w:val="20"/>
        </w:rPr>
      </w:pPr>
      <w:r>
        <w:rPr>
          <w:rFonts w:ascii="Times New Roman" w:hAnsi="Times New Roman"/>
          <w:sz w:val="20"/>
        </w:rPr>
        <w:t xml:space="preserve">(mm) The Company has filed all tax returns required to be filed by it through the date hereof, or has duly requested extensions thereof, and all such tax returns are true and correct. The Company has timely paid all taxes required to be paid by it. No deficiencies for taxes of the Company have been assessed or proposed, or reasonably could be expected to be assessed or proposed, by a tax authority. </w:t>
      </w:r>
    </w:p>
    <w:p>
      <w:pPr>
        <w:pStyle w:val="TextBody"/>
        <w:bidi w:val="0"/>
        <w:spacing w:before="240" w:after="0"/>
        <w:jc w:val="left"/>
        <w:rPr>
          <w:rFonts w:ascii="Times New Roman" w:hAnsi="Times New Roman"/>
          <w:sz w:val="20"/>
        </w:rPr>
      </w:pPr>
      <w:r>
        <w:rPr>
          <w:rFonts w:ascii="Times New Roman" w:hAnsi="Times New Roman"/>
          <w:sz w:val="20"/>
        </w:rPr>
        <w:t xml:space="preserve">(nn) No labor disturbance by or dispute with the employees of the Company exists or, to the knowledge of the Company, is contemplated or threatened, and the Company is not aware of any existing or imminent labor disturbance by, or dispute with, the employees of any of its principal suppliers, manufacturers, customers or contractors, which, in either case, would, individually or in the aggregate,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(oo) (i) Except as would not, individually or in the aggregate, reasonably be expected to result in a Material Adverse Effect, (i) each employee benefit plan, within the meaning of Section 3(3) of the Employee Retirement Income Security Act of 1974, as amended (“</w:t>
      </w:r>
      <w:r>
        <w:rPr>
          <w:rFonts w:ascii="Times New Roman" w:hAnsi="Times New Roman"/>
          <w:b/>
          <w:i/>
          <w:sz w:val="20"/>
        </w:rPr>
        <w:t>ERISA</w:t>
      </w:r>
      <w:r>
        <w:rPr>
          <w:rFonts w:ascii="Times New Roman" w:hAnsi="Times New Roman"/>
          <w:sz w:val="20"/>
        </w:rPr>
        <w:t>”), for which the Company or any member of its “</w:t>
      </w:r>
      <w:r>
        <w:rPr>
          <w:rFonts w:ascii="Times New Roman" w:hAnsi="Times New Roman"/>
          <w:b/>
          <w:i/>
          <w:sz w:val="20"/>
        </w:rPr>
        <w:t>Controlled Group</w:t>
      </w:r>
      <w:r>
        <w:rPr>
          <w:rFonts w:ascii="Times New Roman" w:hAnsi="Times New Roman"/>
          <w:sz w:val="20"/>
        </w:rPr>
        <w:t>”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w:t>
      </w:r>
      <w:r>
        <w:rPr>
          <w:rFonts w:ascii="Times New Roman" w:hAnsi="Times New Roman"/>
          <w:b/>
          <w:i/>
          <w:sz w:val="20"/>
        </w:rPr>
        <w:t>Plan</w:t>
      </w:r>
      <w:r>
        <w:rPr>
          <w:rFonts w:ascii="Times New Roman" w:hAnsi="Times New Roman"/>
          <w:sz w:val="20"/>
        </w:rPr>
        <w:t xml:space="preserve">”) has been maintained in compliance with its terms and the requirements of any applicable statutes, orders, rules and regulations, including but not limited to ERISA and the Code and no prohibited transaction, within the meaning of Section 406 of ERISA or Section 4975 of the Code, has occurred with respect to any Plan, excluding transactions effected pursuant to a statutory or administrative exemption; (ii) none of the Plans are subject to the funding rules of Section 412 of the Code or Section 302 of ERISA; (iii) none of the Plans are “multiemployer plans” within the meaning of Section 4001(a)(3) of ERISA, and (iv) each Plan that is intended to be qualified under Section 401(a) of the Code is so qualified, and nothing has occurred, whether by action or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(pp) There are no business relationships or related-party transactions involving the Company or any other person required to be disclosed in the Pricing Prospectus or the Prospectus that have not been described as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(qq) The Company has insurance against such losses and risks and in such amounts as are prudent and customary for the size of the business and the industry in which it is engaged and the Company has not received notice from any insurer or agent of such insurer that capital improvements or other expenditures are required or necessary to be made in order to continue such insurance nor does the Company have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240" w:after="0"/>
        <w:jc w:val="left"/>
        <w:rPr>
          <w:rFonts w:ascii="Times New Roman" w:hAnsi="Times New Roman"/>
          <w:sz w:val="20"/>
        </w:rPr>
      </w:pPr>
      <w:r>
        <w:rPr>
          <w:rFonts w:ascii="Times New Roman" w:hAnsi="Times New Roman"/>
          <w:sz w:val="20"/>
        </w:rPr>
        <w:t xml:space="preserve">(rr) The Company is not party to any contract, agreement or understanding with any person (other than this Agreement) that would give rise to a valid claim against any of them or any Underwriter for a brokerage commission, finder’s fee or like payment in connection with the offering and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(ss) The Company has not, and, to its knowledge, no one acting on its behalf (other than any Underwriter) has taken, directly or indirectly, any action designed to or that could reasonably be expected to cause or result in any stabilization or manipulation of the price of the Common Stock. </w:t>
      </w:r>
    </w:p>
    <w:p>
      <w:pPr>
        <w:pStyle w:val="TextBody"/>
        <w:bidi w:val="0"/>
        <w:spacing w:before="240" w:after="0"/>
        <w:jc w:val="left"/>
        <w:rPr>
          <w:rFonts w:ascii="Times New Roman" w:hAnsi="Times New Roman"/>
          <w:sz w:val="20"/>
        </w:rPr>
      </w:pPr>
      <w:r>
        <w:rPr>
          <w:rFonts w:ascii="Times New Roman" w:hAnsi="Times New Roman"/>
          <w:sz w:val="20"/>
        </w:rPr>
        <w:t>(tt) The Common Stock is registered pursuant to Section 12(b) or 12(g) of the Act and listed on the Nasdaq Global Select Market (“</w:t>
      </w:r>
      <w:r>
        <w:rPr>
          <w:rFonts w:ascii="Times New Roman" w:hAnsi="Times New Roman"/>
          <w:b/>
          <w:i/>
          <w:sz w:val="20"/>
        </w:rPr>
        <w:t>Nasdaq</w:t>
      </w:r>
      <w:r>
        <w:rPr>
          <w:rFonts w:ascii="Times New Roman" w:hAnsi="Times New Roman"/>
          <w:sz w:val="20"/>
        </w:rPr>
        <w:t xml:space="preserve">”), and the Company has taken no action designed to, or reasonably likely to have the effect of, terminating the registration of the Common Stock under the Act or delisting the Common Stock from Nasdaq, nor has the Company received any notification that the Commission or Nasdaq is contemplating terminating such registration or listing. To the Company’s knowledge, it is in compliance with all applicable listing requirements of Nasdaq. </w:t>
      </w:r>
    </w:p>
    <w:p>
      <w:pPr>
        <w:pStyle w:val="TextBody"/>
        <w:bidi w:val="0"/>
        <w:spacing w:before="240" w:after="0"/>
        <w:jc w:val="left"/>
        <w:rPr>
          <w:rFonts w:ascii="Times New Roman" w:hAnsi="Times New Roman"/>
          <w:sz w:val="20"/>
        </w:rPr>
      </w:pPr>
      <w:r>
        <w:rPr>
          <w:rFonts w:ascii="Times New Roman" w:hAnsi="Times New Roman"/>
          <w:sz w:val="20"/>
        </w:rPr>
        <w:t xml:space="preserve">(uu) The statistical and market-related data included in the Pricing Prospectus or the Prospectus are based on or derived from sources that the Company believes to be reliable and accurate. </w:t>
      </w:r>
    </w:p>
    <w:p>
      <w:pPr>
        <w:pStyle w:val="TextBody"/>
        <w:bidi w:val="0"/>
        <w:spacing w:before="240" w:after="0"/>
        <w:jc w:val="left"/>
        <w:rPr>
          <w:rFonts w:ascii="Times New Roman" w:hAnsi="Times New Roman"/>
          <w:sz w:val="20"/>
        </w:rPr>
      </w:pPr>
      <w:r>
        <w:rPr>
          <w:rFonts w:ascii="Times New Roman" w:hAnsi="Times New Roman"/>
          <w:sz w:val="20"/>
        </w:rPr>
        <w:t xml:space="preserve">(vv) Neither the Company nor, to the Company’s knowledge, any of its affiliates (within the meaning of FINRA Rule 5121(f)(1)) directly or indirectly controls, is controlled by, or is under common control with, or is an associated person (within the meaning of Article I, Section 1(rr) of the By-laws of FINRA) of, any member firm of FINRA. </w:t>
      </w:r>
    </w:p>
    <w:p>
      <w:pPr>
        <w:pStyle w:val="TextBody"/>
        <w:bidi w:val="0"/>
        <w:spacing w:before="240" w:after="0"/>
        <w:jc w:val="left"/>
        <w:rPr>
          <w:rFonts w:ascii="Times New Roman" w:hAnsi="Times New Roman"/>
          <w:sz w:val="20"/>
        </w:rPr>
      </w:pPr>
      <w:r>
        <w:rPr>
          <w:rFonts w:ascii="Times New Roman" w:hAnsi="Times New Roman"/>
          <w:sz w:val="20"/>
        </w:rPr>
        <w:t xml:space="preserve">(ww) The application of the proceeds received by the Company from the issuance, sale and delivery of the Securities and upon exercise of the Warrants as described in the Pricing Prospectus and the Prospectus will not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(xx) The Company is not a “covered foreign person,” as that term is defined in 31 C.F.R. § 850.209. The Company does not currently engage, and has no plans to engage, directly or indirectly, in a “covered activity,” as that term is defined in 31 C.F.R. § 850.208 (“</w:t>
      </w:r>
      <w:r>
        <w:rPr>
          <w:rFonts w:ascii="Times New Roman" w:hAnsi="Times New Roman"/>
          <w:b/>
          <w:i/>
          <w:sz w:val="20"/>
        </w:rPr>
        <w:t>Covered Activity</w:t>
      </w:r>
      <w:r>
        <w:rPr>
          <w:rFonts w:ascii="Times New Roman" w:hAnsi="Times New Roman"/>
          <w:sz w:val="20"/>
        </w:rPr>
        <w:t xml:space="preserve">”).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Subject to the terms and conditions herein set forth, the Company agrees to issue and sell to each of the Underwriters, and each of the Underwriters agrees, severally and not jointly, to purchase from the Company, at a purchase price of $1.13740 per Share and accompanying Common Warrant (or, for Pre-Funded Warrants in lieu of Shares, $1.13739 per Pre-Funded Warrant and accompanying Common Warrant) (the “</w:t>
      </w:r>
      <w:r>
        <w:rPr>
          <w:rFonts w:ascii="Times New Roman" w:hAnsi="Times New Roman"/>
          <w:b/>
          <w:sz w:val="20"/>
        </w:rPr>
        <w:t>Purchase Price</w:t>
      </w:r>
      <w:r>
        <w:rPr>
          <w:rFonts w:ascii="Times New Roman" w:hAnsi="Times New Roman"/>
          <w:sz w:val="20"/>
        </w:rPr>
        <w:t xml:space="preserve">”), the respective number of Shares, Pre-Funded Warrants and Common Warrants set forth opposite the name of such Underwriter in </w:t>
      </w:r>
      <w:r>
        <w:rPr>
          <w:rFonts w:ascii="Times New Roman" w:hAnsi="Times New Roman"/>
          <w:b/>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3. Upon the authorization by you of the release of the Securities, the several Underwriters propose to offer the Securities for sale upon the terms and conditions set forth in the Pricing Prospectus and the Prospectus. </w:t>
      </w:r>
    </w:p>
    <w:p>
      <w:pPr>
        <w:pStyle w:val="TextBody"/>
        <w:bidi w:val="0"/>
        <w:spacing w:before="240" w:after="0"/>
        <w:jc w:val="left"/>
        <w:rPr>
          <w:rFonts w:ascii="Times New Roman" w:hAnsi="Times New Roman"/>
          <w:sz w:val="20"/>
        </w:rPr>
      </w:pPr>
      <w:r>
        <w:rPr>
          <w:rFonts w:ascii="Times New Roman" w:hAnsi="Times New Roman"/>
          <w:sz w:val="20"/>
        </w:rPr>
        <w:t>4. (a) The Shares to be purchased by each Underwriter hereunder, in book-entry form, and in such authorized denominations and registered in such names as the Representative may request upon at least twenty-four hours’ prior notice to the Company shall be delivered by the Company, or caused to be delivered by the Company, through the facilities of Depositary Trust Company, unless the Representative shall otherwise instruct, to the Representative for the accounts of the several Underwriters at the Time of Delivery The time and date of such delivery and payment shall be, with respect to the Securities, 9:30 a.m., New York City time, on September 2, 2026 or such other time and date as the Representative and the Company may agree upon in writing. Such time and date for delivery of the Securities is herein called the “</w:t>
      </w:r>
      <w:r>
        <w:rPr>
          <w:rFonts w:ascii="Times New Roman" w:hAnsi="Times New Roman"/>
          <w:b/>
          <w:i/>
          <w:sz w:val="20"/>
        </w:rPr>
        <w:t>Time of Delivery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Company and the Representative shall instruct purchasers of the Pre-Funded Warrants and accompanying Common Warrants in the offering to make payment for the Pre-Funded Warrants and accompanying Common Warrants at the Time of Delivery to the Company by wire transfer in immediately available funds to the account specified by the Company at a purchase price of $1.20999 per Pre-Funded Warrant and accompanying Common Warrant, in lieu of payment by the Underwriters for such Pre-Funded Warrants and accompanying Common Warrants, and the Company shall deliver such Pre-Funded Warrants and accompanying Common Warrants to such purchasers at the Time of Delivery in definitive paper form against such payment, in lieu of the Company’s obligation to deliver such Pre-Funded Warrants and accompanying Common Warrants to the Representative; provided that, the Underwriters shall withhold $0.07260 per Pre-Funded Warrant and accompanying Common Warrant with respect to such Pre-Funded Warrants and accompanying Common Warrants as an offset against the payment owed by the Underwriters to the Company for the Common Stock and accompanying Common Warrants. In the event that any purchaser of the Pre-Funded Warrants and accompanying Common Warrants in the offering fails to make payment to the Company for all or part of the Pre-Funded Warrants and accompanying Common Warrants at the Time of Delivery, the Representative shall either (i) make payment to the Company for such Pre-Funded Warrants and accompanying Common Warrants that were otherwise to have been delivered to the purchasers thereof at the Purchase Price by wire transfer in immediately available funds to the account specified by the Company, or (ii) receive shares of Common Stock and accompanying Common Warrants at the Purchase Price by wire transfer in immediately available funds to the account specified by the Company in lieu of all or a portion of such Pre-Funded Warrants and accompanying Common Warrants that were otherwise to have been delivered to the purchasers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documents to be delivered at the Time of Delivery by or on behalf of the parties hereto pursuant to Section 8 hereof, including the cross receipt for the Securities and any additional documents requested by the Underwriters pursuant to Section 8(m) hereof, will be delivered at the offices of Paul Hastings LLP, The MetLife Building, 200 Park Avenue, New York, New York 10166. Time shall be of the essence, and delivery at the time and place specified pursuant to this Agreement is a further condition of the obligations of each Underwriter hereunder. For the purposes of this Agreement, “New York Business Day” shall mean each Monday, Tuesday, Wednesday, Thursday and Friday which is not a day on which banking institutions in New York City are generally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5. The Company agrees with each of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(a) To prepare the Prospectus in a form approved by you and to file such Prospectus pursuant to Rule 424(b) under the Act prior to the earlier of (i) the Time of Delivery and (ii)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Securities or suspending any such qualification, to promptly use its best efforts to obtain the withdrawal of such order; </w:t>
      </w:r>
    </w:p>
    <w:p>
      <w:pPr>
        <w:pStyle w:val="TextBody"/>
        <w:bidi w:val="0"/>
        <w:spacing w:before="240" w:after="0"/>
        <w:jc w:val="left"/>
        <w:rPr>
          <w:rFonts w:ascii="Times New Roman" w:hAnsi="Times New Roman"/>
          <w:sz w:val="20"/>
        </w:rPr>
      </w:pPr>
      <w:r>
        <w:rPr>
          <w:rFonts w:ascii="Times New Roman" w:hAnsi="Times New Roman"/>
          <w:sz w:val="20"/>
        </w:rPr>
        <w:t xml:space="preserve">(b) Promptly from time to time to take such action as you may reasonably request to qualify the Securities for offering and sale under the securities laws of such jurisdictions as you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(where not otherwise required) or to file a general consent to service of process in any jurisdiction (where not otherwise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Prior to 10:00 a.m., New York City time, on the New York Business Day next succeeding the date of this Agreement (or such other time as may be agreed to by the Representative and the Company)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w:t>
      </w:r>
    </w:p>
    <w:p>
      <w:pPr>
        <w:pStyle w:val="TextBody"/>
        <w:bidi w:val="0"/>
        <w:spacing w:before="240" w:after="0"/>
        <w:jc w:val="left"/>
        <w:rPr>
          <w:rFonts w:ascii="Times New Roman" w:hAnsi="Times New Roman"/>
          <w:sz w:val="20"/>
        </w:rPr>
      </w:pPr>
      <w:r>
        <w:rPr>
          <w:rFonts w:ascii="Times New Roman" w:hAnsi="Times New Roman"/>
          <w:sz w:val="20"/>
        </w:rPr>
        <w:t>(d) To make generally available to its securityholders as soon as practicable which may be satisfied by filing with the Commission’s Electronic Data Gathering Analysis and Retrieval System (“</w:t>
      </w:r>
      <w:r>
        <w:rPr>
          <w:rFonts w:ascii="Times New Roman" w:hAnsi="Times New Roman"/>
          <w:b/>
          <w:i/>
          <w:sz w:val="20"/>
        </w:rPr>
        <w:t>EDGAR</w:t>
      </w:r>
      <w:r>
        <w:rPr>
          <w:rFonts w:ascii="Times New Roman" w:hAnsi="Times New Roman"/>
          <w:sz w:val="20"/>
        </w:rPr>
        <w:t xml:space="preserve">”), but in any event not later than sixteen months after the effective date of the Registration Statement (as defined in Rule 158(c) under the Act), an earnings statement of the Company (which need not be audited) complying with Section 11(a) of the Act and the rules and regulations of the Commission thereunder (including, at the option of the Company, Rule 158); </w:t>
      </w:r>
    </w:p>
    <w:p>
      <w:pPr>
        <w:pStyle w:val="TextBody"/>
        <w:bidi w:val="0"/>
        <w:spacing w:before="240" w:after="0"/>
        <w:jc w:val="left"/>
        <w:rPr>
          <w:rFonts w:ascii="Times New Roman" w:hAnsi="Times New Roman"/>
          <w:sz w:val="20"/>
        </w:rPr>
      </w:pPr>
      <w:r>
        <w:rPr>
          <w:rFonts w:ascii="Times New Roman" w:hAnsi="Times New Roman"/>
          <w:sz w:val="20"/>
        </w:rPr>
        <w:t>(e) During the period beginning from the date hereof and continuing to and including the date 90 days after the date of the Prospectus (the “</w:t>
      </w:r>
      <w:r>
        <w:rPr>
          <w:rFonts w:ascii="Times New Roman" w:hAnsi="Times New Roman"/>
          <w:b/>
          <w:i/>
          <w:sz w:val="20"/>
        </w:rPr>
        <w:t>Lock-Up Period</w:t>
      </w:r>
      <w:r>
        <w:rPr>
          <w:rFonts w:ascii="Times New Roman" w:hAnsi="Times New Roman"/>
          <w:sz w:val="20"/>
        </w:rPr>
        <w:t xml:space="preserve">”), not to (i) offer, sell, contract to sell, lend, pledge, grant any option to purchase, make any short sale or otherwise transfer or dispose of, directly or indirectly, or file with or confidentially submit to the Commission a registration statement under the Act relating to, any securities of the Company that are substantially similar to the Securities,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loan, disposition, confidential submission or filing or (ii) enter into any swap or other agreement that transfers, in whole or in part, any of the economic consequences of ownership of the Common Stock or any such other securities, whether any such transaction described in clauses (i) or (ii) above is to be settled by delivery of Common Stock or such other securities, in cash or otherwise (other than the Securities to be sold hereunder or pursuant to employee stock option plans existing on, or upon the conversion or exchange of convertible or exchangeable securities outstanding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date of this Agreement), without the prior written consent of the Representative; provided, however, that the foregoing restrictions shall not apply to (1) the Securities to be sold hereunder, (2) any shares of Common Stock issued upon the conversion of convertible preferred stock outstanding on the date of this Agreement in connection with the offering contemplated by this Agreement, (3) any shares of Common Stock or any securities or other awards (including without limitation options, restricted stock or restricted stock units) convertible into, exercisable for, or that represent the right to receive, shares of Common Stock pursuant to any stock option plan, incentive plan or stock purchase plan of the Company (collectively, “</w:t>
      </w:r>
      <w:r>
        <w:rPr>
          <w:rFonts w:ascii="Times New Roman" w:hAnsi="Times New Roman"/>
          <w:b/>
          <w:i/>
          <w:sz w:val="20"/>
        </w:rPr>
        <w:t>Company Stock Plans</w:t>
      </w:r>
      <w:r>
        <w:rPr>
          <w:rFonts w:ascii="Times New Roman" w:hAnsi="Times New Roman"/>
          <w:sz w:val="20"/>
        </w:rPr>
        <w:t xml:space="preserve">”) or otherwise in equity compensation arrangements described in the Registration Statement and the Prospectus, provided that any directors or officers who are the recipients thereof have provided to the Representative a signed lock-up letter substantially in the form of </w:t>
      </w:r>
      <w:r>
        <w:rPr>
          <w:rFonts w:ascii="Times New Roman" w:hAnsi="Times New Roman"/>
          <w:b/>
          <w:sz w:val="20"/>
          <w:u w:val="single"/>
        </w:rPr>
        <w:t>Annex III</w:t>
      </w:r>
      <w:r>
        <w:rPr>
          <w:rFonts w:ascii="Times New Roman" w:hAnsi="Times New Roman"/>
          <w:sz w:val="20"/>
        </w:rPr>
        <w:t xml:space="preserve"> hereto, (4) any shares of Common Stock issued upon the conversion, exercise or exchange of convertible, exercisable or exchangeable securities outstanding on the date of this Agreement, in each case if such convertible, exercisable or exchangeable securities is described in the Registration Statement, the Pricing Prospectus and the Prospectus and the holders of such convertible, exercisable or exchangeable securities have provided to the Representative a signed lockup-letter substantially in the form of Annex III hereto, (5) the filing by the Company of any registration statement on Form S-8 or a successor form thereto relating to any Company Stock Plan described in the Registration Statement, the Pricing Prospectus and the Prospectus, (6) the issuance of the Warrant Shares in connection with the exercise of the Warrants, and (7) any shares of Common Stock or any securities convertible into or exchangeable for, or that represent the right to receive, shares of Common Stock issued in connection with any joint venture, commercial or collaborative relationship or the acquisition or license by the Company of the securities, businesses, property or other assets of another person or entity or pursuant to any employee benefit plan assumed by the Company in connection with any such acquisition, provided that in the case of clause (7), the aggregate number of shares that the Company may sell or issue or agree to sell or issue pursuant to clause (7), (x) shall not exceed 5.0% of the total number of shares of Common Stock issued and outstanding immediately following the completion of the transactions contemplated by this Agreement and (y) the recipients thereof provide to the Representative a signed lock-up letter substantially in the form of </w:t>
      </w:r>
      <w:r>
        <w:rPr>
          <w:rFonts w:ascii="Times New Roman" w:hAnsi="Times New Roman"/>
          <w:b/>
          <w:sz w:val="20"/>
          <w:u w:val="single"/>
        </w:rPr>
        <w:t>Annex III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(f) During a period of three years from the effective date of the Registration Statement, for so long as the Company is subject to the reporting requirements of either Section 13 or Section 15(d) of the Exchange Act, to furnish to its stockholders as soon as practicable after the end of each fiscal year an annual report (including a balance sheet and statements of income, stockholders’ equity and cash flows of the Company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for such quarter in reasonable detail, provided, that no reports, documents or other information needs to be furnished pursuant to this Section 5(f) to the extent they are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are consolidated in reports furnished to its stockholders generally or to the Commission), provided, that no reports, documents or other information needs to be furnished pursuant to this Section 5(g) to the extent they are available on EDGAR. </w:t>
      </w:r>
    </w:p>
    <w:p>
      <w:pPr>
        <w:pStyle w:val="TextBody"/>
        <w:bidi w:val="0"/>
        <w:spacing w:before="240" w:after="0"/>
        <w:jc w:val="left"/>
        <w:rPr>
          <w:rFonts w:ascii="Times New Roman" w:hAnsi="Times New Roman"/>
          <w:sz w:val="20"/>
        </w:rPr>
      </w:pPr>
      <w:r>
        <w:rPr>
          <w:rFonts w:ascii="Times New Roman" w:hAnsi="Times New Roman"/>
          <w:sz w:val="20"/>
        </w:rPr>
        <w:t xml:space="preserve">(h) To use the net proceeds received by it from the sale of the Securities pursuant to this Agreement in the manner specified in the Pricing Prospectus under the caption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(i) To use its best efforts to list to effect and maintain the listing of the Shares, and, upon the exercise of the Warrants, the Warrant Shares, on Nasdaq or any successor exchange; </w:t>
      </w:r>
    </w:p>
    <w:p>
      <w:pPr>
        <w:pStyle w:val="TextBody"/>
        <w:bidi w:val="0"/>
        <w:spacing w:before="240" w:after="0"/>
        <w:jc w:val="left"/>
        <w:rPr>
          <w:rFonts w:ascii="Times New Roman" w:hAnsi="Times New Roman"/>
          <w:sz w:val="20"/>
        </w:rPr>
      </w:pPr>
      <w:r>
        <w:rPr>
          <w:rFonts w:ascii="Times New Roman" w:hAnsi="Times New Roman"/>
          <w:sz w:val="20"/>
        </w:rPr>
        <w:t xml:space="preserve">(j) 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w:t>
      </w:r>
    </w:p>
    <w:p>
      <w:pPr>
        <w:pStyle w:val="TextBody"/>
        <w:bidi w:val="0"/>
        <w:spacing w:before="240" w:after="0"/>
        <w:jc w:val="left"/>
        <w:rPr>
          <w:rFonts w:ascii="Times New Roman" w:hAnsi="Times New Roman"/>
          <w:sz w:val="20"/>
        </w:rPr>
      </w:pPr>
      <w:r>
        <w:rPr>
          <w:rFonts w:ascii="Times New Roman" w:hAnsi="Times New Roman"/>
          <w:sz w:val="20"/>
        </w:rPr>
        <w:t>(k) 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w:t>
      </w:r>
      <w:r>
        <w:rPr>
          <w:rFonts w:ascii="Times New Roman" w:hAnsi="Times New Roman"/>
          <w:b/>
          <w:i/>
          <w:sz w:val="20"/>
        </w:rPr>
        <w:t>License</w:t>
      </w:r>
      <w:r>
        <w:rPr>
          <w:rFonts w:ascii="Times New Roman" w:hAnsi="Times New Roman"/>
          <w:sz w:val="20"/>
        </w:rPr>
        <w:t xml:space="preserve">”); provided, however, that the License shall be used solely for the purpose described above, is granted without any fee and may not be assigned or transferred; </w:t>
      </w:r>
    </w:p>
    <w:p>
      <w:pPr>
        <w:pStyle w:val="TextBody"/>
        <w:bidi w:val="0"/>
        <w:spacing w:before="240" w:after="0"/>
        <w:jc w:val="left"/>
        <w:rPr>
          <w:rFonts w:ascii="Times New Roman" w:hAnsi="Times New Roman"/>
          <w:sz w:val="20"/>
        </w:rPr>
      </w:pPr>
      <w:r>
        <w:rPr>
          <w:rFonts w:ascii="Times New Roman" w:hAnsi="Times New Roman"/>
          <w:sz w:val="20"/>
        </w:rPr>
        <w:t xml:space="preserve">(l) The Company shall, at all times while any Warrants are outstanding, reserve and keep available out of the aggregate of its authorized but unissued and otherwise unreserved shares of Common Stock, solely for the purpose of enabling it to issue Warrant Shares upon exercise of such Warrants, the number of Warrant Shares that are initially issuable and deliverable upon the exercise of the then-outstanding Warrants; and </w:t>
      </w:r>
    </w:p>
    <w:p>
      <w:pPr>
        <w:pStyle w:val="TextBody"/>
        <w:bidi w:val="0"/>
        <w:spacing w:before="240" w:after="0"/>
        <w:jc w:val="left"/>
        <w:rPr>
          <w:rFonts w:ascii="Times New Roman" w:hAnsi="Times New Roman"/>
          <w:sz w:val="20"/>
        </w:rPr>
      </w:pPr>
      <w:r>
        <w:rPr>
          <w:rFonts w:ascii="Times New Roman" w:hAnsi="Times New Roman"/>
          <w:sz w:val="20"/>
        </w:rPr>
        <w:t xml:space="preserve">(m) The Company will not take, directly or indirectly, any action designed to or that would reasonably be expected to cause or result in any stabilization or manipulation of the price of any security of the Company to facilitate the sale or resale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6. (a) The Company represents and agrees that, without the prior consent of the Representative, it has not made and will not make any offer relating to the Securities that would constitute a “free writing prospectus” as defined in Rule 405 under the Act; each Underwriter represents and agrees that, without the prior consent of the Company and the Representative, it has not made and will not make any offer relating to the Securities that would constitute a free writing prospectus required to be filed with the Commission; any such free writing prospectus the use of which has been consented to by the Company and the Representative is listed on Schedule II(a) 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to satisfy the conditions under Rule 433 under the Act to avoid a requirement to file with the Commission any electronic road show;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agrees that if at any time following issuance of an Issuer Free Writing Prospectus or Written Testing-the-Waters Communication prepared or authorized by it any event occurred or occurs as a result of which such Issuer Free Writing Prospectus or Written Testing-the-Waters Communication prepared or authorized by it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 and, if requested by the Representative,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or Written Testing-the-Waters Communication prepared or authorized by it made in reliance upon and in conformity with the Underwriter Information; and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represents and agrees that (i) it has not engaged in, or authorized any other person to engage in, any Testing-the-Waters Communications, other than Testing-the-Waters Communications with the prior consent of the Representative with entities that the Company reasonably believes are qualified institutional buyers as defined in Rule 144A under the Act or institutions that are accredited investors as defined in Rule 501(a) under the Act; and (ii) it has not distributed, or authorized any other person to distribute, any Written Testing-the-Waters Communications, other than those distributed with the prior consent of the Representative that are listed on Schedule II(d) hereto; and the Company reconfirms that the Representative has authorized to act on its behalf in engaging in Testing-the-Waters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7. 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the Warrants, any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survey (iv) all fees and expenses in connection with listing the Shares and Warrant Shares, when issued, on Nasdaq; (v) the filing fees incident to, and the fees and disbursements of counsel for the Underwriters in connection with, any required review by FINRA of the terms of the sale of the Securities; (vi) the cost of preparing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 certificates and Warrants; (vii) the cost and charges of any transfer agent or registrar; (viii) the costs and expenses relating to investor presentations on any “road show” undertaken in connection with the marketing of the Securities, including without limitation, expenses associated with the preparation or dissemination of any broadly available road show, expenses associated with the production of road show slides, graphics and videos, fees and expenses of any consultants engaged in connection with the road show presentations, and travel and lodging expenses of the representatives (not including the Underwriters) and officers of the Company and any such consultants; (ix) any documentary, stamp, registration or similar issuance tax or stock transfer tax, including any interest and penalties, on the sale, issuance or delivery of the Securities by the Company to the Underwriters; (x) all other costs and expenses incident to the performance of its obligations hereunder which are not otherwise specifically provided for in this Section; and (xi) the fees and expenses of the Underwriters incurred in connection with this Agreement (including related fees and expenses of their counsel), together with the fees in clauses (iii) and (v) above, not exceed $100,000 (for the avoidance of doubt, in addition to any reimbursement of fees and expenses the Underwriters may be entitled to pursuant to Section 9 hereof). It is understood, however, that, except as provided in this Section, and Sections 9 and 12 hereof, the Underwriters will pay all of their own costs and expenses, including the fees of their counsel, stock transfer taxes on resale of any of the Securities by them, and any advertising expenses connected with any offers they may make and all travel and lodging expenses of the Underwriters and their representatives and counsel; and (y) subject to the Company’s and Representative’s prior written approval of each such expense, the Underwriters and the Company shall each pay 50% of the cost of chartering any aircraft to be used by the directors and officers of the Company and the employees of the Representative in connection with the road show or any testing-the-waters meetings by the Company and the Underwriters, provided that both directors and officers of the Company and employees of the Representative are on board the aircraft. </w:t>
      </w:r>
    </w:p>
    <w:p>
      <w:pPr>
        <w:pStyle w:val="TextBody"/>
        <w:bidi w:val="0"/>
        <w:spacing w:before="240" w:after="0"/>
        <w:jc w:val="left"/>
        <w:rPr>
          <w:rFonts w:ascii="Times New Roman" w:hAnsi="Times New Roman"/>
          <w:sz w:val="20"/>
        </w:rPr>
      </w:pPr>
      <w:r>
        <w:rPr>
          <w:rFonts w:ascii="Times New Roman" w:hAnsi="Times New Roman"/>
          <w:sz w:val="20"/>
        </w:rPr>
        <w:t xml:space="preserve">8. The obligations of the Underwriters hereunder, as to the Securities to be delivered at the Time of Delivery, shall be subject, in their discretion, to the condition that all representations and warranties and other statements of the Company herein are, at and as of the Applicable Time and the Time of Delivery, true and correct, the condition that the Company shall have performed all of its obligations hereunder theretofore to be performed, and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Paul Hastings LLP, counsel for the Underwriters, shall have furnished to you such written opinion and negative assurance letter, each dated for the Time of Delivery, in form and substance satisfactory to you, and such counsel shall have received such papers and information as they may reasonably request to enable them to pass upon such matters; </w:t>
      </w:r>
    </w:p>
    <w:p>
      <w:pPr>
        <w:pStyle w:val="TextBody"/>
        <w:bidi w:val="0"/>
        <w:spacing w:before="120" w:after="0"/>
        <w:jc w:val="left"/>
        <w:rPr>
          <w:rFonts w:ascii="Times New Roman" w:hAnsi="Times New Roman"/>
          <w:sz w:val="20"/>
        </w:rPr>
      </w:pPr>
      <w:r>
        <w:rPr>
          <w:rFonts w:ascii="Times New Roman" w:hAnsi="Times New Roman"/>
          <w:sz w:val="20"/>
        </w:rPr>
        <w:t xml:space="preserve">(c) Wilson Sonsini Goodrich &amp; Rosati, P.C., corporate counsel for the Company, shall have furnished to you their written opinions and negative assurance letters, each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(d) Brown Rudnick LLP, intellectual property counsel for the Company, shall have furnished to you their written opinions,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(e) On the date of the Prospectus at a time prior to the execution of this Agreement, at 9:30 a.m., New York City time, on the effective date of any post-effective amendment to the Registration Statement filed subsequent to the date of this Agreement and also at the Time of Delivery, Ernst &amp; Young LLP shall have furnished to you a letter or letters, dated the respective dates of delivery thereof,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(f) (i) The Company shall not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restricted stock in the ordinary course of business pursuant to the Company’s equity plans that are described in the Pricing Prospectus) or long-term debt of the Company or any dividend or distribution of any kind declared, set aside for payment, paid or made by the Company on any class of capital stock or any change or effect, or any development involving a prospective change or effect, in or affecting (x) the business, properties, general affairs, management, financial position, stockholders’ equity, or results of operations of the Company, taken as a whole, except as set forth or contemplated in the Pricing Prospectus and the Prospectus, or (y) the ability of the Company to perform its obligations under this Agreement, including the issuance and sale of the Securities,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Securities being delivered at the Time of Delivery on the terms and in the manner contemplated in the Pricing Prospectus and the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On or after the Applicable Time there shall not have occurred any of the following: (i) a suspension or material limitation in trading in securities generally on the New York Stock Exchange or NASDAQ; (ii) a suspension or material limitation in trading in the Company’s securities on NASDAQ; (iii) a general moratorium on commercial banking activities declared by either Federal or New York or California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Securities being delivered at the Time of Delivery on the terms and in the manner contemplated in the Pricing Prospectus and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(h) The Shares to be sold at the Time of Delivery shall have been duly listed for quotation on Nasdaq;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obtained and delivered to the Underwriters executed copies of an agreement from all officers and directors of the Company, substantially to the effect set forth in </w:t>
      </w:r>
      <w:r>
        <w:rPr>
          <w:rFonts w:ascii="Times New Roman" w:hAnsi="Times New Roman"/>
          <w:b/>
          <w:sz w:val="20"/>
          <w:u w:val="single"/>
        </w:rPr>
        <w:t>Annex III</w:t>
      </w:r>
      <w:r>
        <w:rPr>
          <w:rFonts w:ascii="Times New Roman" w:hAnsi="Times New Roman"/>
          <w:sz w:val="20"/>
        </w:rPr>
        <w:t xml:space="preserve"> hereof in form and substance satisfactory to you; </w:t>
      </w:r>
    </w:p>
    <w:p>
      <w:pPr>
        <w:pStyle w:val="TextBody"/>
        <w:bidi w:val="0"/>
        <w:spacing w:before="120" w:after="0"/>
        <w:jc w:val="left"/>
        <w:rPr>
          <w:rFonts w:ascii="Times New Roman" w:hAnsi="Times New Roman"/>
          <w:sz w:val="20"/>
        </w:rPr>
      </w:pPr>
      <w:r>
        <w:rPr>
          <w:rFonts w:ascii="Times New Roman" w:hAnsi="Times New Roman"/>
          <w:sz w:val="20"/>
        </w:rPr>
        <w:t xml:space="preserve">(j) The Company shall have complied with the provisions of Section 5(c) hereof with respect to the furnishing of prospectuses on the New York Business Day next succeeding the date of this Agreement (or such other time as may be agreed to by the Representative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(k) 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(f) of this Section and as to such other matters as you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(l) At the Time of Delivery, the Representative shall have received a certificate of the Secretary of the Company, as to such matters as the Representative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(m) At the Time of Delivery, the Representative shall have received a certificate of the Chief Financial Officer of the Company, as to such matters as the Representative may reasonably request; and </w:t>
      </w:r>
    </w:p>
    <w:p>
      <w:pPr>
        <w:pStyle w:val="TextBody"/>
        <w:bidi w:val="0"/>
        <w:spacing w:before="120" w:after="0"/>
        <w:jc w:val="left"/>
        <w:rPr>
          <w:rFonts w:ascii="Times New Roman" w:hAnsi="Times New Roman"/>
          <w:sz w:val="20"/>
        </w:rPr>
      </w:pPr>
      <w:r>
        <w:rPr>
          <w:rFonts w:ascii="Times New Roman" w:hAnsi="Times New Roman"/>
          <w:sz w:val="20"/>
        </w:rPr>
        <w:t xml:space="preserve">(n) At the Time of Delivery, the Company shall have furnished to the Representative such additional information, certificates, opinions or documents as the Representative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w:t>
      </w:r>
      <w:r>
        <w:rPr>
          <w:rFonts w:ascii="Times New Roman" w:hAnsi="Times New Roman"/>
          <w:b/>
          <w:i/>
          <w:sz w:val="20"/>
        </w:rPr>
        <w:t>roadshow</w:t>
      </w:r>
      <w:r>
        <w:rPr>
          <w:rFonts w:ascii="Times New Roman" w:hAnsi="Times New Roman"/>
          <w:sz w:val="20"/>
        </w:rPr>
        <w:t xml:space="preserve">”), any “issuer information” filed or required to be filed pursuant to Rule 433(d) under the Act or any Testing-the-Waters Communication prepared or authorized by the Company,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 </w:t>
      </w:r>
    </w:p>
    <w:p>
      <w:pPr>
        <w:pStyle w:val="TextBody"/>
        <w:bidi w:val="0"/>
        <w:spacing w:before="240" w:after="0"/>
        <w:jc w:val="left"/>
        <w:rPr>
          <w:rFonts w:ascii="Times New Roman" w:hAnsi="Times New Roman"/>
          <w:sz w:val="20"/>
        </w:rPr>
      </w:pPr>
      <w:r>
        <w:rPr>
          <w:rFonts w:ascii="Times New Roman" w:hAnsi="Times New Roman"/>
          <w:sz w:val="20"/>
        </w:rPr>
        <w:t>(b) 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w:t>
      </w:r>
      <w:r>
        <w:rPr>
          <w:rFonts w:ascii="Times New Roman" w:hAnsi="Times New Roman"/>
          <w:b/>
          <w:i/>
          <w:sz w:val="20"/>
        </w:rPr>
        <w:t>Underwriter Information</w:t>
      </w:r>
      <w:r>
        <w:rPr>
          <w:rFonts w:ascii="Times New Roman" w:hAnsi="Times New Roman"/>
          <w:sz w:val="20"/>
        </w:rPr>
        <w:t xml:space="preserve">” shall mean the written information furnished to the Company by such Underwriter through the Representative expressly for use therein; it being understood and agreed upon that the only such information furnished by any Underwriter consists of the following information in the Prospectus furnished on behalf of each Underwriter: the information contained in the second sentence of the seventh paragraph, the tenth paragraph and the twelfth paragraph under the caption “Underwriting.”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Times New Roman" w:hAnsi="Times New Roman"/>
          <w:i/>
          <w:sz w:val="20"/>
        </w:rPr>
        <w:t>pro rata</w:t>
      </w:r>
      <w:r>
        <w:rPr>
          <w:rFonts w:ascii="Times New Roman" w:hAnsi="Times New Roman"/>
          <w:sz w:val="20"/>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the Company under this Section 9 shall be in addition to any liability which the Company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 </w:t>
      </w:r>
    </w:p>
    <w:p>
      <w:pPr>
        <w:pStyle w:val="TextBody"/>
        <w:bidi w:val="0"/>
        <w:spacing w:before="240" w:after="0"/>
        <w:jc w:val="left"/>
        <w:rPr>
          <w:rFonts w:ascii="Times New Roman" w:hAnsi="Times New Roman"/>
          <w:sz w:val="20"/>
        </w:rPr>
      </w:pPr>
      <w:r>
        <w:rPr>
          <w:rFonts w:ascii="Times New Roman" w:hAnsi="Times New Roman"/>
          <w:sz w:val="20"/>
        </w:rPr>
        <w:t xml:space="preserve">10. (a) If any Underwriter shall default in its obligation to purchase the Securities which it has agreed to purchase hereunder at a Time of Delivery, the Representative may in its discretion arrange for the Representative or another party or other parties to purchase such Securities on the terms contained herein. If within thirty-six hours after such default by any Underwriter the Representative does not arrange for the purchase of such Securities, then the Company shall be entitled to a further period of thirty-six hours within which to procure another party or other parties satisfactory to the Representative to purchase such Securities on such terms. In the event that, within the respective prescribed periods, the Representative notify the Company that the Representative has so arranged for the purchase of such Securities, or the Company notifies the Representative that it has so arranged for the purchase of such Securities, the Representative or the Company shall have the right to postpone such Time of Delivery for a period of not more than seven days, in order to effect whatever changes may thereby be made necessary in the Registration Statement or the Prospectus, or in any other documents or arrangements,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agrees to file promptly any amendments or supplements to the Registration Statement or the Prospectus which in the Representative’s opinion may thereby be made necessary. The term “</w:t>
      </w:r>
      <w:r>
        <w:rPr>
          <w:rFonts w:ascii="Times New Roman" w:hAnsi="Times New Roman"/>
          <w:b/>
          <w:i/>
          <w:sz w:val="20"/>
        </w:rPr>
        <w:t>Underwriter</w:t>
      </w:r>
      <w:r>
        <w:rPr>
          <w:rFonts w:ascii="Times New Roman" w:hAnsi="Times New Roman"/>
          <w:sz w:val="20"/>
        </w:rPr>
        <w:t xml:space="preserve">” as used in this Agreement shall include any person substituted under this Section with like effect as if such person had originally been a party to this Agreement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(b) If, after giving effect to any arrangements for the purchase of the Securities of a defaulting Underwriter or Underwriters by the Representative and the Company as provided in subsection (a) above, the aggregate number of such Securities which remains unpurchased does not exceed one-eleventh of the aggregate number of all the Securities to be purchased at such Time of Delivery, then the Company shall have the right to require each non-defaulting Underwriter to purchase the number of Securities which such Underwriter agreed to purchase hereunder at such Time of Delivery and, in addition, to require each non-defaulting Underwriter to purchase its pro rata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(c) If, after giving effect to any arrangements for the purchase of the Securities of a defaulting Underwriter or Underwriters by you and the Company as provided in subsection (a) above, the aggregate number of such Securities which remains unpurchased exceeds one-eleventh of the aggregate number of all the Securities to be purchased at such Time of Delivery, or if the Company shall not exercise the right described in subsection (b) above to require non-defaulting Underwriters to 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11. 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12. If this Agreement shall be terminated pursuant to Section 10 hereof, the Company shall not then be under any liability to any Underwriter except as provided in Sections 7 and 9 hereof; but, if for any other reason, any Securities are not delivered by or on behalf of the Company as provided herein or the Underwriters decline to purchase the Securities for any reason permitted under this Agreement, the Company will reimburse the Underwriters through you for all out-of-pocket expenses approved in writing by you, including fees and disbursements of counsel, reasonably incurred by the Underwriters in making preparations for the purchase, sale and delivery of the Securities not so delivered, but the Company shall then be under no further liability to any Underwriter except as provided in Sections 7 and 9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In all dealings hereunder, the Representative shall act on behalf of each of the Underwriters, and the parties hereto shall be entitled to act and rely upon any statement, request, notice or agreement on behalf of any Underwriter made or given by you jointly or by the Representative on behalf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All statements, requests, notices and agreements hereunder shall be in writing, and if to the Underwriters shall be delivered or sent by mail, telex or facsimile transmission to you as the Representative in care of TD Securities (USA) LLC, 1 Vanderbilt, New York, New York 10022, Attention: General Counsel (facsimile: (646) 562-1130); and if to the Company shall be delivered or sent by mail, telex or facsimile transmission to the address of the Company set forth in the Registration Statement, Attention: Secretary.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14. 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15. Time shall be of the essence of this Agreement. As used herein, the term “business day” shall mean any day when the Commission’s office in Washington, D.C. is open for business. </w:t>
      </w:r>
    </w:p>
    <w:p>
      <w:pPr>
        <w:pStyle w:val="TextBody"/>
        <w:bidi w:val="0"/>
        <w:spacing w:before="240" w:after="0"/>
        <w:jc w:val="left"/>
        <w:rPr>
          <w:rFonts w:ascii="Times New Roman" w:hAnsi="Times New Roman"/>
          <w:sz w:val="20"/>
        </w:rPr>
      </w:pPr>
      <w:r>
        <w:rPr>
          <w:rFonts w:ascii="Times New Roman" w:hAnsi="Times New Roman"/>
          <w:sz w:val="20"/>
        </w:rPr>
        <w:t xml:space="preserve">16. 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 </w:t>
      </w:r>
    </w:p>
    <w:p>
      <w:pPr>
        <w:pStyle w:val="TextBody"/>
        <w:bidi w:val="0"/>
        <w:spacing w:before="240" w:after="0"/>
        <w:jc w:val="left"/>
        <w:rPr>
          <w:rFonts w:ascii="Times New Roman" w:hAnsi="Times New Roman"/>
          <w:sz w:val="20"/>
        </w:rPr>
      </w:pPr>
      <w:r>
        <w:rPr>
          <w:rFonts w:ascii="Times New Roman" w:hAnsi="Times New Roman"/>
          <w:sz w:val="20"/>
        </w:rPr>
        <w:t xml:space="preserve">17. This Agreement supersedes all prior agreements and understandings (whether written or oral) among the Company and the Underwriters, or any of them, with respect to the subject matter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rPr>
        <w:t xml:space="preserve">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 </w:t>
      </w:r>
    </w:p>
    <w:p>
      <w:pPr>
        <w:pStyle w:val="TextBody"/>
        <w:bidi w:val="0"/>
        <w:spacing w:before="240" w:after="0"/>
        <w:jc w:val="left"/>
        <w:rPr>
          <w:rFonts w:ascii="Times New Roman" w:hAnsi="Times New Roman"/>
          <w:sz w:val="20"/>
        </w:rPr>
      </w:pPr>
      <w:r>
        <w:rPr>
          <w:rFonts w:ascii="Times New Roman" w:hAnsi="Times New Roman"/>
          <w:sz w:val="20"/>
        </w:rPr>
        <w:t xml:space="preserve">19.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20. This Agreement may be executed by any one or more of the parties hereto in any number of counterparts, each of which shall be deemed to be an original, but all such counterparts shall together constitute one and the same instrument. The words “execution,” signed, “signature,” and words of like import in this Agreement or in any other certificate, agreement or document related to this Agreement or the Securities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t>
      </w:r>
    </w:p>
    <w:p>
      <w:pPr>
        <w:pStyle w:val="TextBody"/>
        <w:bidi w:val="0"/>
        <w:spacing w:before="240" w:after="0"/>
        <w:jc w:val="left"/>
        <w:rPr>
          <w:rFonts w:ascii="Times New Roman" w:hAnsi="Times New Roman"/>
          <w:sz w:val="20"/>
        </w:rPr>
      </w:pPr>
      <w:r>
        <w:rPr>
          <w:rFonts w:ascii="Times New Roman" w:hAnsi="Times New Roman"/>
          <w:sz w:val="20"/>
        </w:rPr>
        <w:t xml:space="preserve">21. 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 </w:t>
      </w:r>
    </w:p>
    <w:p>
      <w:pPr>
        <w:pStyle w:val="TextBody"/>
        <w:bidi w:val="0"/>
        <w:spacing w:before="240" w:after="0"/>
        <w:jc w:val="left"/>
        <w:rPr>
          <w:rFonts w:ascii="Times New Roman" w:hAnsi="Times New Roman"/>
          <w:sz w:val="20"/>
        </w:rPr>
      </w:pPr>
      <w:r>
        <w:rPr>
          <w:rFonts w:ascii="Times New Roman" w:hAnsi="Times New Roman"/>
          <w:sz w:val="20"/>
        </w:rPr>
        <w:t xml:space="preserve">22. Recognition of the U.S. Special Resolution Regimes.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 As used in this section: </w:t>
      </w:r>
    </w:p>
    <w:p>
      <w:pPr>
        <w:pStyle w:val="TextBody"/>
        <w:bidi w:val="0"/>
        <w:spacing w:before="120" w:after="0"/>
        <w:jc w:val="left"/>
        <w:rPr/>
      </w:pPr>
      <w:r>
        <w:rPr/>
        <w:t>“</w:t>
      </w:r>
      <w:r>
        <w:rPr>
          <w:rFonts w:ascii="Times New Roman" w:hAnsi="Times New Roman"/>
          <w:b/>
          <w:i/>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240" w:after="0"/>
        <w:jc w:val="left"/>
        <w:rPr/>
      </w:pPr>
      <w:r>
        <w:rPr/>
        <w:t>“</w:t>
      </w:r>
      <w:r>
        <w:rPr>
          <w:rFonts w:ascii="Times New Roman" w:hAnsi="Times New Roman"/>
          <w:b/>
          <w:i/>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“covered entity” as that term is defined in, and interpreted in accordance with, 12 C.F.R. § 252.82(b); </w:t>
      </w:r>
    </w:p>
    <w:p>
      <w:pPr>
        <w:pStyle w:val="TextBody"/>
        <w:bidi w:val="0"/>
        <w:spacing w:before="240" w:after="0"/>
        <w:jc w:val="left"/>
        <w:rPr>
          <w:rFonts w:ascii="Times New Roman" w:hAnsi="Times New Roman"/>
          <w:sz w:val="20"/>
        </w:rPr>
      </w:pPr>
      <w:r>
        <w:rPr>
          <w:rFonts w:ascii="Times New Roman" w:hAnsi="Times New Roman"/>
          <w:sz w:val="20"/>
        </w:rPr>
        <w:t xml:space="preserve">(ii) a “covered bank” as that term is defined in, and interpreted in accordance with, 12 C.F.R. § 47.3(b); or </w:t>
      </w:r>
    </w:p>
    <w:p>
      <w:pPr>
        <w:pStyle w:val="TextBody"/>
        <w:bidi w:val="0"/>
        <w:spacing w:before="240" w:after="0"/>
        <w:jc w:val="left"/>
        <w:rPr>
          <w:rFonts w:ascii="Times New Roman" w:hAnsi="Times New Roman"/>
          <w:sz w:val="20"/>
        </w:rPr>
      </w:pPr>
      <w:r>
        <w:rPr>
          <w:rFonts w:ascii="Times New Roman" w:hAnsi="Times New Roman"/>
          <w:sz w:val="20"/>
        </w:rPr>
        <w:t xml:space="preserve">(iii) a “covered FSI” as that term is defined in, and interpreted in accordance with, 12 C.F.R. § 382.2(b). </w:t>
      </w:r>
    </w:p>
    <w:p>
      <w:pPr>
        <w:pStyle w:val="TextBody"/>
        <w:bidi w:val="0"/>
        <w:spacing w:before="240" w:after="0"/>
        <w:jc w:val="left"/>
        <w:rPr/>
      </w:pPr>
      <w:r>
        <w:rPr/>
        <w:t>“</w:t>
      </w:r>
      <w:r>
        <w:rPr>
          <w:rFonts w:ascii="Times New Roman" w:hAnsi="Times New Roman"/>
          <w:b/>
          <w:i/>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240" w:after="0"/>
        <w:jc w:val="left"/>
        <w:rPr/>
      </w:pPr>
      <w:r>
        <w:rPr/>
        <w:t>“</w:t>
      </w:r>
      <w:r>
        <w:rPr>
          <w:rFonts w:ascii="Times New Roman" w:hAnsi="Times New Roman"/>
          <w:b/>
          <w:i/>
          <w:sz w:val="20"/>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please sign and return to us a counterpart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PMV Pharmaceuticals,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David H. Mack,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David H. Mack,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369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37" w:type="dxa"/>
            <w:tcBorders>
              <w:bottom w:val="single" w:sz="2" w:space="0" w:color="000000"/>
            </w:tcBorders>
            <w:tcMar>
              <w:bottom w:w="28" w:type="dxa"/>
            </w:tcMar>
          </w:tcPr>
          <w:p>
            <w:pPr>
              <w:pStyle w:val="TableContents"/>
              <w:bidi w:val="0"/>
              <w:spacing w:before="0" w:after="283"/>
              <w:jc w:val="left"/>
              <w:rPr/>
            </w:pPr>
            <w:r>
              <w:rPr/>
              <w:t>/s/ Casey Chase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Name: Casey Chase</w:t>
            </w:r>
          </w:p>
        </w:tc>
      </w:tr>
      <w:tr>
        <w:trPr/>
        <w:tc>
          <w:tcPr>
            <w:tcW w:w="38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bidi w:val="0"/>
              <w:spacing w:before="0" w:after="283"/>
              <w:jc w:val="left"/>
              <w:rPr/>
            </w:pPr>
            <w:r>
              <w:rPr/>
              <w:t>Title: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itself and as Representative of the other Underwriters named in </w:t>
      </w:r>
      <w:r>
        <w:rPr>
          <w:rFonts w:ascii="Times New Roman" w:hAnsi="Times New Roman"/>
          <w:b/>
          <w:sz w:val="20"/>
          <w:u w:val="single"/>
        </w:rPr>
        <w:t>Schedule I</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83"/>
        <w:gridCol w:w="145"/>
        <w:gridCol w:w="60"/>
        <w:gridCol w:w="1179"/>
        <w:gridCol w:w="60"/>
        <w:gridCol w:w="145"/>
        <w:gridCol w:w="64"/>
        <w:gridCol w:w="1232"/>
        <w:gridCol w:w="60"/>
        <w:gridCol w:w="145"/>
        <w:gridCol w:w="60"/>
        <w:gridCol w:w="1106"/>
        <w:gridCol w:w="66"/>
      </w:tblGrid>
      <w:tr>
        <w:trPr/>
        <w:tc>
          <w:tcPr>
            <w:tcW w:w="588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883" w:type="dxa"/>
            <w:tcBorders/>
            <w:vAlign w:val="center"/>
          </w:tcPr>
          <w:p>
            <w:pPr>
              <w:pStyle w:val="TableContents"/>
              <w:bidi w:val="0"/>
              <w:spacing w:before="0" w:after="283"/>
              <w:jc w:val="left"/>
              <w:rPr>
                <w:sz w:val="4"/>
                <w:szCs w:val="4"/>
              </w:rPr>
            </w:pPr>
            <w:r>
              <w:rPr>
                <w:sz w:val="4"/>
                <w:szCs w:val="4"/>
              </w:rPr>
            </w:r>
          </w:p>
        </w:tc>
        <w:tc>
          <w:tcPr>
            <w:tcW w:w="1444" w:type="dxa"/>
            <w:gridSpan w:val="4"/>
            <w:tcBorders/>
            <w:vAlign w:val="center"/>
          </w:tcPr>
          <w:p>
            <w:pPr>
              <w:pStyle w:val="TableContents"/>
              <w:bidi w:val="0"/>
              <w:spacing w:before="0" w:after="283"/>
              <w:jc w:val="left"/>
              <w:rPr>
                <w:sz w:val="4"/>
                <w:szCs w:val="4"/>
              </w:rPr>
            </w:pPr>
            <w:r>
              <w:rPr>
                <w:sz w:val="4"/>
                <w:szCs w:val="4"/>
              </w:rPr>
            </w:r>
          </w:p>
        </w:tc>
        <w:tc>
          <w:tcPr>
            <w:tcW w:w="1501" w:type="dxa"/>
            <w:gridSpan w:val="4"/>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r>
      <w:tr>
        <w:trPr/>
        <w:tc>
          <w:tcPr>
            <w:tcW w:w="58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45" w:type="dxa"/>
            <w:tcBorders/>
            <w:vAlign w:val="bottom"/>
          </w:tcPr>
          <w:p>
            <w:pPr>
              <w:pStyle w:val="TableContents"/>
              <w:bidi w:val="0"/>
              <w:spacing w:before="0" w:after="283"/>
              <w:jc w:val="left"/>
              <w:rPr/>
            </w:pPr>
            <w:r>
              <w:rPr/>
              <w:t>  </w:t>
            </w:r>
          </w:p>
        </w:tc>
        <w:tc>
          <w:tcPr>
            <w:tcW w:w="12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Shares</w:t>
              <w:br/>
              <w:t>to be</w:t>
              <w:br/>
              <w:t>Purchased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br/>
              <w:t>Pre-Funded</w:t>
              <w:br/>
              <w:t>Warrants</w:t>
            </w:r>
            <w:r>
              <w:rPr/>
              <w:br/>
            </w:r>
            <w:r>
              <w:rPr>
                <w:b/>
              </w:rPr>
              <w:t>to be</w:t>
              <w:br/>
              <w:t>Purchased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66"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br/>
              <w:t>Common</w:t>
              <w:br/>
              <w:t>Warrants</w:t>
            </w:r>
            <w:r>
              <w:rPr/>
              <w:br/>
            </w:r>
            <w:r>
              <w:rPr>
                <w:b/>
              </w:rPr>
              <w:t>to be</w:t>
              <w:br/>
              <w:t>Purchased</w:t>
            </w:r>
          </w:p>
        </w:tc>
        <w:tc>
          <w:tcPr>
            <w:tcW w:w="66" w:type="dxa"/>
            <w:tcBorders/>
            <w:vAlign w:val="bottom"/>
          </w:tcPr>
          <w:p>
            <w:pPr>
              <w:pStyle w:val="TableContents"/>
              <w:bidi w:val="0"/>
              <w:spacing w:before="0" w:after="283"/>
              <w:jc w:val="left"/>
              <w:rPr/>
            </w:pPr>
            <w:r>
              <w:rPr/>
              <w:t> </w:t>
            </w:r>
          </w:p>
        </w:tc>
      </w:tr>
      <w:tr>
        <w:trPr/>
        <w:tc>
          <w:tcPr>
            <w:tcW w:w="58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22,055,000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1232" w:type="dxa"/>
            <w:tcBorders/>
            <w:shd w:fill="CCEEFF" w:val="clear"/>
            <w:vAlign w:val="bottom"/>
          </w:tcPr>
          <w:p>
            <w:pPr>
              <w:pStyle w:val="TableContents"/>
              <w:bidi w:val="0"/>
              <w:spacing w:before="0" w:after="283"/>
              <w:jc w:val="right"/>
              <w:rPr/>
            </w:pPr>
            <w:r>
              <w:rPr/>
              <w:t>19,900,000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6" w:type="dxa"/>
            <w:tcBorders/>
            <w:shd w:fill="CCEEFF" w:val="clear"/>
            <w:vAlign w:val="bottom"/>
          </w:tcPr>
          <w:p>
            <w:pPr>
              <w:pStyle w:val="TableContents"/>
              <w:bidi w:val="0"/>
              <w:spacing w:before="0" w:after="283"/>
              <w:jc w:val="right"/>
              <w:rPr/>
            </w:pPr>
            <w:r>
              <w:rPr/>
              <w:t>41,955,000</w:t>
            </w:r>
          </w:p>
        </w:tc>
        <w:tc>
          <w:tcPr>
            <w:tcW w:w="66" w:type="dxa"/>
            <w:tcBorders/>
            <w:shd w:fill="CCEEFF" w:val="clear"/>
            <w:vAlign w:val="bottom"/>
          </w:tcPr>
          <w:p>
            <w:pPr>
              <w:pStyle w:val="TableContents"/>
              <w:bidi w:val="0"/>
              <w:spacing w:before="0" w:after="283"/>
              <w:jc w:val="left"/>
              <w:rPr/>
            </w:pPr>
            <w:r>
              <w:rPr/>
              <w:t> </w:t>
            </w:r>
          </w:p>
        </w:tc>
      </w:tr>
      <w:tr>
        <w:trPr/>
        <w:tc>
          <w:tcPr>
            <w:tcW w:w="5883"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123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6"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883"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22,055,000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right"/>
              <w:rPr/>
            </w:pPr>
            <w:r>
              <w:rPr/>
              <w:t>19,900,000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6" w:type="dxa"/>
            <w:tcBorders/>
            <w:vAlign w:val="bottom"/>
          </w:tcPr>
          <w:p>
            <w:pPr>
              <w:pStyle w:val="TableContents"/>
              <w:bidi w:val="0"/>
              <w:spacing w:before="0" w:after="283"/>
              <w:jc w:val="right"/>
              <w:rPr/>
            </w:pPr>
            <w:r>
              <w:rPr/>
              <w:t>41,955,000</w:t>
            </w:r>
          </w:p>
        </w:tc>
        <w:tc>
          <w:tcPr>
            <w:tcW w:w="66"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Issuer Free Writing Prospectuses not included in the Pricing Disclosure Package: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Documents Incorporated by Reference: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other than the Pricing Prospectus that comprise the Pricing Disclosure Package: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Securities to be Sold: </w:t>
      </w:r>
    </w:p>
    <w:p>
      <w:pPr>
        <w:pStyle w:val="TextBody"/>
        <w:bidi w:val="0"/>
        <w:spacing w:before="120" w:after="0"/>
        <w:jc w:val="left"/>
        <w:rPr>
          <w:rFonts w:ascii="Times New Roman" w:hAnsi="Times New Roman"/>
          <w:sz w:val="20"/>
        </w:rPr>
      </w:pPr>
      <w:r>
        <w:rPr>
          <w:rFonts w:ascii="Times New Roman" w:hAnsi="Times New Roman"/>
          <w:sz w:val="20"/>
        </w:rPr>
        <w:t xml:space="preserve">22,055,000 Shares </w:t>
      </w:r>
    </w:p>
    <w:p>
      <w:pPr>
        <w:pStyle w:val="TextBody"/>
        <w:bidi w:val="0"/>
        <w:spacing w:before="240" w:after="0"/>
        <w:jc w:val="left"/>
        <w:rPr>
          <w:rFonts w:ascii="Times New Roman" w:hAnsi="Times New Roman"/>
          <w:sz w:val="20"/>
        </w:rPr>
      </w:pPr>
      <w:r>
        <w:rPr>
          <w:rFonts w:ascii="Times New Roman" w:hAnsi="Times New Roman"/>
          <w:sz w:val="20"/>
        </w:rPr>
        <w:t xml:space="preserve">Pre-Funded Warrants to Purchase 19,900,000 Shares; Exercise price equal to $0.00001 per share; Indefinite term </w:t>
      </w:r>
    </w:p>
    <w:p>
      <w:pPr>
        <w:pStyle w:val="TextBody"/>
        <w:bidi w:val="0"/>
        <w:spacing w:before="240" w:after="0"/>
        <w:jc w:val="left"/>
        <w:rPr>
          <w:rFonts w:ascii="Times New Roman" w:hAnsi="Times New Roman"/>
          <w:sz w:val="20"/>
        </w:rPr>
      </w:pPr>
      <w:r>
        <w:rPr>
          <w:rFonts w:ascii="Times New Roman" w:hAnsi="Times New Roman"/>
          <w:sz w:val="20"/>
        </w:rPr>
        <w:t xml:space="preserve">Common Stock Warrants to Purchase 41,955,000 Shares; Exercise price of $1.21 per underlying share of Common Stock; Five-year term </w:t>
      </w:r>
    </w:p>
    <w:p>
      <w:pPr>
        <w:pStyle w:val="TextBody"/>
        <w:bidi w:val="0"/>
        <w:spacing w:before="240" w:after="0"/>
        <w:jc w:val="left"/>
        <w:rPr>
          <w:rFonts w:ascii="Times New Roman" w:hAnsi="Times New Roman"/>
          <w:sz w:val="20"/>
        </w:rPr>
      </w:pPr>
      <w:r>
        <w:rPr>
          <w:rFonts w:ascii="Times New Roman" w:hAnsi="Times New Roman"/>
          <w:sz w:val="20"/>
        </w:rPr>
        <w:t xml:space="preserve">Public Offering Price: </w:t>
      </w:r>
    </w:p>
    <w:p>
      <w:pPr>
        <w:pStyle w:val="TextBody"/>
        <w:bidi w:val="0"/>
        <w:spacing w:before="120" w:after="0"/>
        <w:jc w:val="left"/>
        <w:rPr>
          <w:rFonts w:ascii="Times New Roman" w:hAnsi="Times New Roman"/>
          <w:sz w:val="20"/>
        </w:rPr>
      </w:pPr>
      <w:r>
        <w:rPr>
          <w:rFonts w:ascii="Times New Roman" w:hAnsi="Times New Roman"/>
          <w:sz w:val="20"/>
        </w:rPr>
        <w:t xml:space="preserve">$1.21000 per Share and accompanying Common Warrant </w:t>
      </w:r>
    </w:p>
    <w:p>
      <w:pPr>
        <w:pStyle w:val="TextBody"/>
        <w:bidi w:val="0"/>
        <w:spacing w:before="240" w:after="0"/>
        <w:jc w:val="left"/>
        <w:rPr>
          <w:rFonts w:ascii="Times New Roman" w:hAnsi="Times New Roman"/>
          <w:sz w:val="20"/>
        </w:rPr>
      </w:pPr>
      <w:r>
        <w:rPr>
          <w:rFonts w:ascii="Times New Roman" w:hAnsi="Times New Roman"/>
          <w:sz w:val="20"/>
        </w:rPr>
        <w:t xml:space="preserve">$1.20999 per Pre-Funded Warrant and accompanying Common Warrant </w:t>
      </w:r>
    </w:p>
    <w:p>
      <w:pPr>
        <w:pStyle w:val="TextBody"/>
        <w:bidi w:val="0"/>
        <w:spacing w:before="240" w:after="0"/>
        <w:jc w:val="left"/>
        <w:rPr>
          <w:rFonts w:ascii="Times New Roman" w:hAnsi="Times New Roman"/>
          <w:sz w:val="20"/>
        </w:rPr>
      </w:pPr>
      <w:r>
        <w:rPr>
          <w:rFonts w:ascii="Times New Roman" w:hAnsi="Times New Roman"/>
          <w:sz w:val="20"/>
        </w:rPr>
        <w:t xml:space="preserve">(d) Written Testing-the-Waters Communications: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22"/>
        <w:gridCol w:w="4900"/>
      </w:tblGrid>
      <w:tr>
        <w:trPr/>
        <w:tc>
          <w:tcPr>
            <w:tcW w:w="51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pPr>
            <w:r>
              <w:rPr/>
              <w:t>Warrant No. [ ]</w:t>
            </w:r>
          </w:p>
        </w:tc>
        <w:tc>
          <w:tcPr>
            <w:tcW w:w="122"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right"/>
              <w:rPr/>
            </w:pPr>
            <w:r>
              <w:rPr/>
              <w:t>Original Issue Date: September [ ], 2026</w:t>
            </w:r>
          </w:p>
        </w:tc>
      </w:tr>
    </w:tbl>
    <w:p>
      <w:pPr>
        <w:pStyle w:val="TextBody"/>
        <w:bidi w:val="0"/>
        <w:spacing w:before="240" w:after="0"/>
        <w:jc w:val="left"/>
        <w:rPr>
          <w:rFonts w:ascii="Times New Roman" w:hAnsi="Times New Roman"/>
          <w:sz w:val="20"/>
        </w:rPr>
      </w:pPr>
      <w:r>
        <w:rPr>
          <w:rFonts w:ascii="Times New Roman" w:hAnsi="Times New Roman"/>
          <w:sz w:val="20"/>
        </w:rPr>
        <w:t>PMV Pharmaceuticals,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$0.00001 (as adjusted from time to time as provided in </w:t>
      </w:r>
      <w:r>
        <w:rPr>
          <w:rFonts w:ascii="Times New Roman" w:hAnsi="Times New Roman"/>
          <w:sz w:val="20"/>
          <w:u w:val="single"/>
        </w:rPr>
        <w:t>Section</w:t>
      </w:r>
      <w:r>
        <w:rPr>
          <w:rFonts w:ascii="Times New Roman" w:hAnsi="Times New Roman"/>
          <w:sz w:val="20"/>
        </w:rPr>
        <w:t> 9 herein, the “</w:t>
      </w:r>
      <w:r>
        <w:rPr>
          <w:rFonts w:ascii="Times New Roman" w:hAnsi="Times New Roman"/>
          <w:i/>
          <w:sz w:val="20"/>
        </w:rPr>
        <w:t>Exercise Price</w:t>
      </w:r>
      <w:r>
        <w:rPr>
          <w:rFonts w:ascii="Times New Roman" w:hAnsi="Times New Roman"/>
          <w:sz w:val="20"/>
        </w:rPr>
        <w:t xml:space="preserve">”) upon exercise of this </w:t>
      </w:r>
      <w:r>
        <w:rPr>
          <w:rFonts w:ascii="Times New Roman" w:hAnsi="Times New Roman"/>
          <w:i/>
          <w:sz w:val="20"/>
        </w:rPr>
        <w:t>Pre-Funded Warrant to Purchase Common Stock</w:t>
      </w:r>
      <w:r>
        <w:rPr>
          <w:rFonts w:ascii="Times New Roman" w:hAnsi="Times New Roman"/>
          <w:sz w:val="20"/>
        </w:rPr>
        <w:t xml:space="preserve"> (including any </w:t>
      </w:r>
      <w:r>
        <w:rPr>
          <w:rFonts w:ascii="Times New Roman" w:hAnsi="Times New Roman"/>
          <w:i/>
          <w:sz w:val="20"/>
        </w:rPr>
        <w:t>Pre-Funded 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xml:space="preserve">”),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333-283349, declared effective on November 27,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Equiniti Trust Company, LLC,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such rights shall not expire until exercised in full. </w:t>
      </w:r>
    </w:p>
    <w:p>
      <w:pPr>
        <w:pStyle w:val="TextBody"/>
        <w:bidi w:val="0"/>
        <w:spacing w:before="12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in </w:t>
      </w:r>
      <w:r>
        <w:rPr>
          <w:rFonts w:ascii="Times New Roman" w:hAnsi="Times New Roman"/>
          <w:sz w:val="20"/>
          <w:u w:val="single"/>
        </w:rPr>
        <w:t>Section 10</w:t>
      </w:r>
      <w:r>
        <w:rPr>
          <w:rFonts w:ascii="Times New Roman" w:hAnsi="Times New Roman"/>
          <w:sz w:val="20"/>
        </w:rPr>
        <w:t xml:space="preserve">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 </w:t>
      </w:r>
      <w:r>
        <w:rPr>
          <w:rFonts w:ascii="Times New Roman" w:hAnsi="Times New Roman"/>
          <w:b/>
          <w:sz w:val="20"/>
        </w:rPr>
        <w:t>The Holder and any assignee, by acceptance of this Warrant, acknowledge and agree that, by reason of the provisions of this paragraph, following the purchase</w:t>
      </w:r>
      <w:r>
        <w:rPr>
          <w:rFonts w:ascii="Times New Roman" w:hAnsi="Times New Roman"/>
          <w:sz w:val="20"/>
        </w:rPr>
        <w:t> </w:t>
      </w:r>
      <w:r>
        <w:rPr>
          <w:rFonts w:ascii="Times New Roman" w:hAnsi="Times New Roman"/>
          <w:b/>
          <w:sz w:val="20"/>
        </w:rPr>
        <w:t>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or will cause its Transfer Agent to, promptly (but in no event later than the number of Trading Days comprising the Standard Settlement Period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within such Standard Settlement Period, and if after such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two (2)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or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w:t>
      </w:r>
    </w:p>
    <w:p>
      <w:pPr>
        <w:pStyle w:val="TextBody"/>
        <w:bidi w:val="0"/>
        <w:spacing w:before="240" w:after="0"/>
        <w:jc w:val="left"/>
        <w:rPr>
          <w:rFonts w:ascii="Times New Roman" w:hAnsi="Times New Roman"/>
          <w:sz w:val="20"/>
        </w:rPr>
      </w:pPr>
      <w:r>
        <w:rPr>
          <w:rFonts w:ascii="Times New Roman" w:hAnsi="Times New Roman"/>
          <w:sz w:val="20"/>
        </w:rPr>
        <w:t>The Company shall cause, to the extent the Fundamental Transaction is within the Company’s control, any successor entity in a Fundamental Transaction in which the Company is not the survivor (the “</w:t>
      </w:r>
      <w:r>
        <w:rPr>
          <w:rFonts w:ascii="Times New Roman" w:hAnsi="Times New Roman"/>
          <w:i/>
          <w:sz w:val="20"/>
        </w:rPr>
        <w:t>Successor Entity</w:t>
      </w:r>
      <w:r>
        <w:rPr>
          <w:rFonts w:ascii="Times New Roman" w:hAnsi="Times New Roman"/>
          <w:sz w:val="20"/>
        </w:rPr>
        <w:t xml:space="preserve">”)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 in Limited Circumstances</w:t>
      </w:r>
      <w:r>
        <w:rPr>
          <w:rFonts w:ascii="Times New Roman" w:hAnsi="Times New Roman"/>
          <w:sz w:val="20"/>
        </w:rPr>
        <w:t xml:space="preserve">. This Warrant may only be exercised for cash, provided, however, if at the time of exercise hereof there is no effective registration statement registering, or the prospectus contained therein is not available for the issuance of, the Warrant Shares to the holders, then this Warrant may also be exercised, in whole or in part, by means of a “cashless exercise,” in which event the Company shall issue to the Holder the number of Warrant Shares in an exchange of securities effected pursuant to Section 3(a)(9) of the Securities Act, as determined as follows: </w:t>
      </w:r>
    </w:p>
    <w:p>
      <w:pPr>
        <w:pStyle w:val="TextBody"/>
        <w:bidi w:val="0"/>
        <w:spacing w:before="0" w:after="0"/>
        <w:jc w:val="left"/>
        <w:rPr/>
      </w:pPr>
      <w:r>
        <w:rPr/>
        <w:t> </w:t>
      </w:r>
    </w:p>
    <w:p>
      <w:pPr>
        <w:pStyle w:val="TextBody"/>
        <w:bidi w:val="0"/>
        <w:spacing w:before="0" w:after="0"/>
        <w:jc w:val="center"/>
        <w:rPr/>
      </w:pPr>
      <w:r>
        <w:rPr/>
        <w:drawing>
          <wp:inline distT="0" distB="0" distL="0" distR="0">
            <wp:extent cx="971550" cy="219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71550" cy="219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the Warrants being exercised (provided that the Commission continues to take the position that such treatment is proper at the time of such exercise). 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40"/>
        <w:gridCol w:w="217"/>
        <w:gridCol w:w="2725"/>
      </w:tblGrid>
      <w:tr>
        <w:trPr/>
        <w:tc>
          <w:tcPr>
            <w:tcW w:w="114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PMV PHARMACEUTICALS, INC.</w:t>
            </w:r>
          </w:p>
        </w:tc>
      </w:tr>
      <w:tr>
        <w:trPr>
          <w:trHeight w:val="240" w:hRule="atLeast"/>
        </w:trPr>
        <w:tc>
          <w:tcPr>
            <w:tcW w:w="1140"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By:</w:t>
            </w:r>
          </w:p>
        </w:tc>
        <w:tc>
          <w:tcPr>
            <w:tcW w:w="217" w:type="dxa"/>
            <w:tcBorders/>
            <w:vAlign w:val="bottom"/>
          </w:tcPr>
          <w:p>
            <w:pPr>
              <w:pStyle w:val="TableContents"/>
              <w:bidi w:val="0"/>
              <w:spacing w:before="0" w:after="283"/>
              <w:jc w:val="left"/>
              <w:rPr/>
            </w:pPr>
            <w:r>
              <w:rPr/>
              <w:t> </w:t>
            </w:r>
          </w:p>
        </w:tc>
        <w:tc>
          <w:tcPr>
            <w:tcW w:w="272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PMV Pharmaceuticals,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120" w:after="0"/>
        <w:jc w:val="left"/>
        <w:rPr/>
      </w:pPr>
      <w:r>
        <w:rPr/>
        <w:t xml:space="preserve">☐ </w:t>
      </w:r>
      <w:r>
        <w:rPr>
          <w:rFonts w:ascii="Times New Roman" w:hAnsi="Times New Roman"/>
          <w:sz w:val="20"/>
        </w:rPr>
        <w:t xml:space="preserve">if permitted in accordance with Section 10 of the Warrant, “Cashless Exercise in Limited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Holder:</w:t>
            </w:r>
          </w:p>
        </w:tc>
      </w:tr>
      <w:tr>
        <w:trPr>
          <w:trHeight w:val="240" w:hRule="atLeast"/>
        </w:trPr>
        <w:tc>
          <w:tcPr>
            <w:tcW w:w="383" w:type="dxa"/>
            <w:tcBorders/>
            <w:vAlign w:val="center"/>
          </w:tcPr>
          <w:p>
            <w:pPr>
              <w:pStyle w:val="TableContents"/>
              <w:bidi w:val="0"/>
              <w:spacing w:before="0" w:after="283"/>
              <w:jc w:val="left"/>
              <w:rPr>
                <w:sz w:val="4"/>
                <w:szCs w:val="4"/>
              </w:rPr>
            </w:pPr>
            <w:r>
              <w:rPr>
                <w:sz w:val="4"/>
                <w:szCs w:val="4"/>
              </w:rPr>
            </w:r>
          </w:p>
        </w:tc>
        <w:tc>
          <w:tcPr>
            <w:tcW w:w="3699" w:type="dxa"/>
            <w:gridSpan w:val="2"/>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ANNEX II </w:t>
      </w:r>
    </w:p>
    <w:p>
      <w:pPr>
        <w:pStyle w:val="TextBody"/>
        <w:bidi w:val="0"/>
        <w:spacing w:before="24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TO PURCHASE COMMON STOCK OR PRE-FUNDED WARRANTS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3"/>
        <w:gridCol w:w="122"/>
        <w:gridCol w:w="4900"/>
      </w:tblGrid>
      <w:tr>
        <w:trPr/>
        <w:tc>
          <w:tcPr>
            <w:tcW w:w="518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00" w:type="dxa"/>
            <w:tcBorders/>
            <w:vAlign w:val="center"/>
          </w:tcPr>
          <w:p>
            <w:pPr>
              <w:pStyle w:val="TableContents"/>
              <w:bidi w:val="0"/>
              <w:spacing w:before="0" w:after="283"/>
              <w:jc w:val="left"/>
              <w:rPr>
                <w:sz w:val="4"/>
                <w:szCs w:val="4"/>
              </w:rPr>
            </w:pPr>
            <w:r>
              <w:rPr>
                <w:sz w:val="4"/>
                <w:szCs w:val="4"/>
              </w:rPr>
            </w:r>
          </w:p>
        </w:tc>
      </w:tr>
      <w:tr>
        <w:trPr/>
        <w:tc>
          <w:tcPr>
            <w:tcW w:w="5183" w:type="dxa"/>
            <w:tcBorders/>
          </w:tcPr>
          <w:p>
            <w:pPr>
              <w:pStyle w:val="TableContents"/>
              <w:bidi w:val="0"/>
              <w:spacing w:before="0" w:after="283"/>
              <w:jc w:val="left"/>
              <w:rPr/>
            </w:pPr>
            <w:r>
              <w:rPr/>
              <w:t>Warrant No. [ ]</w:t>
            </w:r>
          </w:p>
        </w:tc>
        <w:tc>
          <w:tcPr>
            <w:tcW w:w="122" w:type="dxa"/>
            <w:tcBorders/>
            <w:vAlign w:val="bottom"/>
          </w:tcPr>
          <w:p>
            <w:pPr>
              <w:pStyle w:val="TableContents"/>
              <w:bidi w:val="0"/>
              <w:spacing w:before="0" w:after="283"/>
              <w:jc w:val="left"/>
              <w:rPr/>
            </w:pPr>
            <w:r>
              <w:rPr/>
              <w:t>  </w:t>
            </w:r>
          </w:p>
        </w:tc>
        <w:tc>
          <w:tcPr>
            <w:tcW w:w="4900" w:type="dxa"/>
            <w:tcBorders/>
          </w:tcPr>
          <w:p>
            <w:pPr>
              <w:pStyle w:val="TableContents"/>
              <w:bidi w:val="0"/>
              <w:spacing w:before="0" w:after="283"/>
              <w:jc w:val="right"/>
              <w:rPr/>
            </w:pPr>
            <w:r>
              <w:rPr/>
              <w:t>Original Issue Date: September [ ], 2026</w:t>
            </w:r>
          </w:p>
        </w:tc>
      </w:tr>
    </w:tbl>
    <w:p>
      <w:pPr>
        <w:pStyle w:val="TextBody"/>
        <w:bidi w:val="0"/>
        <w:spacing w:before="240" w:after="0"/>
        <w:jc w:val="left"/>
        <w:rPr>
          <w:rFonts w:ascii="Times New Roman" w:hAnsi="Times New Roman"/>
          <w:sz w:val="20"/>
        </w:rPr>
      </w:pPr>
      <w:r>
        <w:rPr>
          <w:rFonts w:ascii="Times New Roman" w:hAnsi="Times New Roman"/>
          <w:sz w:val="20"/>
        </w:rPr>
        <w:t>PMV Pharmaceuticals,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or in lieu thereof, Pre-Funded Warrants (as defined below) to purchase the same number of Warrant Shares (as subject to adjustment hereunder, including as set forth in </w:t>
      </w:r>
      <w:r>
        <w:rPr>
          <w:rFonts w:ascii="Times New Roman" w:hAnsi="Times New Roman"/>
          <w:sz w:val="20"/>
          <w:u w:val="single"/>
        </w:rPr>
        <w:t>Section 4(b)</w:t>
      </w:r>
      <w:r>
        <w:rPr>
          <w:rFonts w:ascii="Times New Roman" w:hAnsi="Times New Roman"/>
          <w:sz w:val="20"/>
        </w:rPr>
        <w:t xml:space="preserve">), at a purchase price per share equal to the Exercise Price, as defined in </w:t>
      </w:r>
      <w:r>
        <w:rPr>
          <w:rFonts w:ascii="Times New Roman" w:hAnsi="Times New Roman"/>
          <w:sz w:val="20"/>
          <w:u w:val="single"/>
        </w:rPr>
        <w:t>Section 4(c)</w:t>
      </w:r>
      <w:r>
        <w:rPr>
          <w:rFonts w:ascii="Times New Roman" w:hAnsi="Times New Roman"/>
          <w:sz w:val="20"/>
        </w:rPr>
        <w:t xml:space="preserve">, upon exercise of this </w:t>
      </w:r>
      <w:r>
        <w:rPr>
          <w:rFonts w:ascii="Times New Roman" w:hAnsi="Times New Roman"/>
          <w:i/>
          <w:sz w:val="20"/>
        </w:rPr>
        <w:t>Warrant to Purchase Common Stock or Pre-Funded Warrants</w:t>
      </w:r>
      <w:r>
        <w:rPr>
          <w:rFonts w:ascii="Times New Roman" w:hAnsi="Times New Roman"/>
          <w:sz w:val="20"/>
        </w:rPr>
        <w:t xml:space="preserve"> (including any </w:t>
      </w:r>
      <w:r>
        <w:rPr>
          <w:rFonts w:ascii="Times New Roman" w:hAnsi="Times New Roman"/>
          <w:i/>
          <w:sz w:val="20"/>
        </w:rPr>
        <w:t>Warrants to Purchase Common Stock or Pre-Funded Warrants</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and on or prior to 5:00 P.M., New York City Time on the five year anniversary of the Original Issue Date (the “</w:t>
      </w:r>
      <w:r>
        <w:rPr>
          <w:rFonts w:ascii="Times New Roman" w:hAnsi="Times New Roman"/>
          <w:i/>
          <w:sz w:val="20"/>
        </w:rPr>
        <w:t>Termination Date</w:t>
      </w:r>
      <w:r>
        <w:rPr>
          <w:rFonts w:ascii="Times New Roman" w:hAnsi="Times New Roman"/>
          <w:sz w:val="20"/>
        </w:rPr>
        <w:t xml:space="preserve">”), but not thereafter,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Pre-Funded Warrants</w:t>
      </w:r>
      <w:r>
        <w:rPr>
          <w:rFonts w:ascii="Times New Roman" w:hAnsi="Times New Roman"/>
          <w:sz w:val="20"/>
        </w:rPr>
        <w:t xml:space="preserve">” means the pre-funded warrants to purchase a number of shares of Common Stock equal to the number of Warrant Shares as to which this Warrant is being exercised in the form of a Pre-Funded Warrant attached as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i/>
          <w:sz w:val="20"/>
        </w:rPr>
        <w:t>Pre-Funded Warrant Exercise Price</w:t>
      </w:r>
      <w:r>
        <w:rPr>
          <w:rFonts w:ascii="Times New Roman" w:hAnsi="Times New Roman"/>
          <w:sz w:val="20"/>
        </w:rPr>
        <w:t xml:space="preserve">” equals $0.00001 per share of Common Stock, subject to adjustment for reverse and forward share splits, share dividends, share combinations, ratio changes and other similar transactions of the shares of Common Stock that occur after the Original Issue Date; provided, that in no event shall the Pre-Funded Warrant Exercise Price be adjusted to an amount below the par value of the shares.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Registration Statement</w:t>
      </w:r>
      <w:r>
        <w:rPr>
          <w:rFonts w:ascii="Times New Roman" w:hAnsi="Times New Roman"/>
          <w:sz w:val="20"/>
        </w:rPr>
        <w:t xml:space="preserve">” means the Company’s Registration Statement on Form S-3 (File No. 333-283349, declared effective on November 27, 2024.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i/>
          <w:sz w:val="20"/>
        </w:rPr>
        <w:t>Transfer Agent</w:t>
      </w:r>
      <w:r>
        <w:rPr>
          <w:rFonts w:ascii="Times New Roman" w:hAnsi="Times New Roman"/>
          <w:sz w:val="20"/>
        </w:rPr>
        <w:t xml:space="preserve">” means Equiniti Trust Company, LLC,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i/>
          <w:sz w:val="20"/>
        </w:rPr>
        <w:t>VWAP</w:t>
      </w:r>
      <w:r>
        <w:rPr>
          <w:rFonts w:ascii="Times New Roman" w:hAnsi="Times New Roman"/>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hAnsi="Times New Roman"/>
          <w:i/>
          <w:sz w:val="20"/>
        </w:rPr>
        <w:t>OTCQB</w:t>
      </w:r>
      <w:r>
        <w:rPr>
          <w:rFonts w:ascii="Times New Roman" w:hAnsi="Times New Roman"/>
          <w:sz w:val="20"/>
        </w:rPr>
        <w:t>”) or the OTCQX Best Market (“</w:t>
      </w:r>
      <w:r>
        <w:rPr>
          <w:rFonts w:ascii="Times New Roman" w:hAnsi="Times New Roman"/>
          <w:i/>
          <w:sz w:val="20"/>
        </w:rPr>
        <w:t>OTCQX</w:t>
      </w:r>
      <w:r>
        <w:rPr>
          <w:rFonts w:ascii="Times New Roman" w:hAnsi="Times New Roman"/>
          <w:sz w:val="20"/>
        </w:rPr>
        <w:t xml:space="preserve">”)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sheets” by Pink Sheets LLC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and Pre-Funded Warrants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or Pre-Funded Warrants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before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number of Trading Days comprising the Standard Settlement Period following the date of exercise as aforesaid, the Holder shall deliver (A) the aggregate Exercise Price for the number of Warrant Shares specified in the applicable Exercise Notice, if this Warrant is being exercised for Warrant Shares, or (B) the aggregate Exercise Price minus the aggregate Pre-Funded Warrant Exercise Price for the number of Pre-Funded Warrants specified in the applicable Exercise Notice, if this Warrant is being exercised for Pre-Funded Warrants, in each case by wire transfer or cashier’s check drawn on a United States bank unless the cashless exercise procedure specified in </w:t>
      </w:r>
      <w:r>
        <w:rPr>
          <w:rFonts w:ascii="Times New Roman" w:hAnsi="Times New Roman"/>
          <w:sz w:val="20"/>
          <w:u w:val="single"/>
        </w:rPr>
        <w:t>Section 10</w:t>
      </w:r>
      <w:r>
        <w:rPr>
          <w:rFonts w:ascii="Times New Roman" w:hAnsi="Times New Roman"/>
          <w:sz w:val="20"/>
        </w:rPr>
        <w:t xml:space="preserve">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Company shall maintain records showing the number of Warrant Shares or Pre-Funded Warrants purchased and the date of such purchases. The Company shall deliver any objection to any Exercise Notice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w:t>
      </w:r>
      <w:r>
        <w:rPr>
          <w:rFonts w:ascii="Times New Roman" w:hAnsi="Times New Roman"/>
          <w:sz w:val="20"/>
        </w:rPr>
        <w:t> </w:t>
      </w:r>
      <w:r>
        <w:rPr>
          <w:rFonts w:ascii="Times New Roman" w:hAnsi="Times New Roman"/>
          <w:b/>
          <w:sz w:val="20"/>
        </w:rPr>
        <w:t>of a portion of the Warrant Shares or Pre-Funded Warrants hereunder, the number of Warrant Shares or Pre-Funded Warrants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exercise price per share of Common Stock under this Warrant shall be $  , subject to adjustment hereunder (the “</w:t>
      </w:r>
      <w:r>
        <w:rPr>
          <w:rFonts w:ascii="Times New Roman" w:hAnsi="Times New Roman"/>
          <w:i/>
          <w:sz w:val="20"/>
        </w:rPr>
        <w:t>Exercise Price</w:t>
      </w:r>
      <w:r>
        <w:rPr>
          <w:rFonts w:ascii="Times New Roman" w:hAnsi="Times New Roman"/>
          <w:sz w:val="20"/>
        </w:rPr>
        <w:t>”). In addition, beginning on the date of the Company’s initial public announcement of the decision by the U.S. Food and Drug Administration (“</w:t>
      </w:r>
      <w:r>
        <w:rPr>
          <w:rFonts w:ascii="Times New Roman" w:hAnsi="Times New Roman"/>
          <w:i/>
          <w:sz w:val="20"/>
        </w:rPr>
        <w:t>FDA</w:t>
      </w:r>
      <w:r>
        <w:rPr>
          <w:rFonts w:ascii="Times New Roman" w:hAnsi="Times New Roman"/>
          <w:sz w:val="20"/>
        </w:rPr>
        <w:t>”) regarding the acceptance for review of the Company’s New Drug Application (“</w:t>
      </w:r>
      <w:r>
        <w:rPr>
          <w:rFonts w:ascii="Times New Roman" w:hAnsi="Times New Roman"/>
          <w:i/>
          <w:sz w:val="20"/>
        </w:rPr>
        <w:t>NDA</w:t>
      </w:r>
      <w:r>
        <w:rPr>
          <w:rFonts w:ascii="Times New Roman" w:hAnsi="Times New Roman"/>
          <w:sz w:val="20"/>
        </w:rPr>
        <w:t>”) for Rezatapopt for the treatment of patients with platinum-resistant/refractory ovarian cancer harboring a TP53 Y220C mutation (the “</w:t>
      </w:r>
      <w:r>
        <w:rPr>
          <w:rFonts w:ascii="Times New Roman" w:hAnsi="Times New Roman"/>
          <w:i/>
          <w:sz w:val="20"/>
        </w:rPr>
        <w:t>NDA Acceptance Announcement</w:t>
      </w:r>
      <w:r>
        <w:rPr>
          <w:rFonts w:ascii="Times New Roman" w:hAnsi="Times New Roman"/>
          <w:sz w:val="20"/>
        </w:rPr>
        <w:t xml:space="preserve">”), the Exercise Price shall be reduced, and only reduced, to the greater of (i) $   and (ii) the lesser of (a) the then Exercise Price and (b) the VWAP of the five (5) Trading Day period beginning the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following the date of the NDA Acceptance Announcement (the “</w:t>
      </w:r>
      <w:r>
        <w:rPr>
          <w:rFonts w:ascii="Times New Roman" w:hAnsi="Times New Roman"/>
          <w:i/>
          <w:sz w:val="20"/>
        </w:rPr>
        <w:t>Reset Exercise Price</w:t>
      </w:r>
      <w:r>
        <w:rPr>
          <w:rFonts w:ascii="Times New Roman" w:hAnsi="Times New Roman"/>
          <w:sz w:val="20"/>
        </w:rPr>
        <w:t>”, which shall thereafter be the new Exercise Price, subject to further adjustment hereunder, and such five (5) Trading Day period shall be referred to herein as the “</w:t>
      </w:r>
      <w:r>
        <w:rPr>
          <w:rFonts w:ascii="Times New Roman" w:hAnsi="Times New Roman"/>
          <w:i/>
          <w:sz w:val="20"/>
        </w:rPr>
        <w:t>Measurement Period</w:t>
      </w:r>
      <w:r>
        <w:rPr>
          <w:rFonts w:ascii="Times New Roman" w:hAnsi="Times New Roman"/>
          <w:sz w:val="20"/>
        </w:rPr>
        <w:t>”), and the number of Warrant Shares or Pre-Funded Warrants issuable hereunder shall be increased such that the aggregate Exercise Price payable hereunder, after taking into account the decrease in the Exercise Price to the Reset Exercise Price, shall be equal to the aggregate Exercise Price prior to the date of the NDA Acceptance Announcement. The Company shall notify the Holder of the applicable adjustment to the Exercise Price as well as the adjusted number of Warrant Shares or Pre-Funded Warrants issuable hereunder following the Measurement Period (the “</w:t>
      </w:r>
      <w:r>
        <w:rPr>
          <w:rFonts w:ascii="Times New Roman" w:hAnsi="Times New Roman"/>
          <w:i/>
          <w:sz w:val="20"/>
        </w:rPr>
        <w:t>Exercise Price Adjustment Notice</w:t>
      </w:r>
      <w:r>
        <w:rPr>
          <w:rFonts w:ascii="Times New Roman" w:hAnsi="Times New Roman"/>
          <w:sz w:val="20"/>
        </w:rPr>
        <w:t xml:space="preserve">”). For purposes of clarification, whether or not the Company provides the Exercise Price Adjustment Notice pursuant to this Section 4(c), the Holder shall only be required to pay the Reset Exercise Price with respect to any exercise of this Warrant on or after the first Trading Day during the Measurement Period, regardless of whether the Holder accurately refers to such price in any Notice of Exercise. If the aggregate Exercise Price paid by the Holder in connection with the exercise of this Warrant on or after the first Trading Day during the Measurement Period exceeds the amount that should have been paid based on the Reset Exercise Price, the Company shall promptly return any excess aggregate Exercise Price to the Holder. Any adjustment to the Exercise Price pursuant to this Section 4(c) shall be effective retroactively to the first Trading Day during the Measurement Period. </w:t>
      </w:r>
    </w:p>
    <w:p>
      <w:pPr>
        <w:pStyle w:val="TextBody"/>
        <w:bidi w:val="0"/>
        <w:spacing w:before="120" w:after="0"/>
        <w:jc w:val="left"/>
        <w:rPr>
          <w:rFonts w:ascii="Times New Roman" w:hAnsi="Times New Roman"/>
          <w:sz w:val="20"/>
        </w:rPr>
      </w:pPr>
      <w:r>
        <w:rPr>
          <w:rFonts w:ascii="Times New Roman" w:hAnsi="Times New Roman"/>
          <w:sz w:val="20"/>
        </w:rPr>
        <w:t>(d) Solely to the extent that the NDA Acceptance Announcement relates to a positive decision, i.e., the FDA has accepted the NDA for review, then during the period beginning on the 30th calendar day following the date of the NDA Acceptance Announcement and ending on the 60th calendar day following the date of the NDA Acceptance Announcement, the Holder may be required, at the option of the Company, to exercise up to 50% of the Warrant for cash, in which case the Holder shall pay the Reset Exercise Price to the Company in accordance with the terms of this Warrant (the “</w:t>
      </w:r>
      <w:r>
        <w:rPr>
          <w:rFonts w:ascii="Times New Roman" w:hAnsi="Times New Roman"/>
          <w:i/>
          <w:sz w:val="20"/>
        </w:rPr>
        <w:t>Mandatory Exercise</w:t>
      </w:r>
      <w:r>
        <w:rPr>
          <w:rFonts w:ascii="Times New Roman" w:hAnsi="Times New Roman"/>
          <w:sz w:val="20"/>
        </w:rPr>
        <w:t xml:space="preserve">”); provided, that the Company shall only be permitted to elect a Mandatory Exercise if a registration statement covering the resale of the Warrant Shares issuable upon exercise of this Warrant is effective as of the Mandatory Exercise Date (as defined below). </w:t>
      </w:r>
    </w:p>
    <w:p>
      <w:pPr>
        <w:pStyle w:val="TextBody"/>
        <w:bidi w:val="0"/>
        <w:spacing w:before="120" w:after="0"/>
        <w:jc w:val="left"/>
        <w:rPr>
          <w:rFonts w:ascii="Times New Roman" w:hAnsi="Times New Roman"/>
          <w:sz w:val="20"/>
        </w:rPr>
      </w:pPr>
      <w:r>
        <w:rPr>
          <w:rFonts w:ascii="Times New Roman" w:hAnsi="Times New Roman"/>
          <w:sz w:val="20"/>
        </w:rPr>
        <w:t>(e) In the event the Company shall elect a Mandatory Exercise, the Company shall fix a date for the Mandatory Exercise (the “</w:t>
      </w:r>
      <w:r>
        <w:rPr>
          <w:rFonts w:ascii="Times New Roman" w:hAnsi="Times New Roman"/>
          <w:i/>
          <w:sz w:val="20"/>
        </w:rPr>
        <w:t>Mandatory Exercise Date</w:t>
      </w:r>
      <w:r>
        <w:rPr>
          <w:rFonts w:ascii="Times New Roman" w:hAnsi="Times New Roman"/>
          <w:sz w:val="20"/>
        </w:rPr>
        <w:t>”) and provide a notice of mandatory exercise not less than fifteen (15) Trading Days prior to the proposed date of the Mandatory Exercise (or such lesser period until the Termination Date) to the Holder (the “</w:t>
      </w:r>
      <w:r>
        <w:rPr>
          <w:rFonts w:ascii="Times New Roman" w:hAnsi="Times New Roman"/>
          <w:i/>
          <w:sz w:val="20"/>
        </w:rPr>
        <w:t>Mandatory Exercise Notice</w:t>
      </w:r>
      <w:r>
        <w:rPr>
          <w:rFonts w:ascii="Times New Roman" w:hAnsi="Times New Roman"/>
          <w:sz w:val="20"/>
        </w:rPr>
        <w:t xml:space="preserve">”). At least five (5) Trading Days prior to the Mandatory Exercise Date, the Holder shall deliver to the Company an Exercise Notice specifying the number of Warrants and, if subject to the Maximum Percentage, the number of Warrants subject to a Pre-Funded Warrant, to be purchased based on the amount required in the notice of Mandatory Exercise. Within one (1) Trading Day following the receipt by the Company of the Exercise Notice, the Holder shall deliver to the Company: (A) the aggregate Exercise Price for the number of Warrant Shares specified in the applicable Exercise Notice, if this Warrant is being exercised for Warrant Shares, or (B) the aggregate Exercise Price minus the aggregate Pre-Funded Warrant Exercise Price for the number of Pre-Funded Warrants specified in the applicable Exercise Notice, if this Warrant is being exercised for Pre-Funded Warrants, if applicable, thereby purchased and specified in the applicable notice in each case by wire transfer or cashier’s check drawn on a United States bank. Any Warrant which has not been exercised on or prior to the Mandatory Exercise Date for shares of Common Stock, and if subject to the Maximum Percentage, Pre-Funded Warrants, shall become null and void and the rights of the Holder to exercise such Warrant shall lapse, which the Company may suspend or waive in its sole discretion. The Company and Holder shall otherwise follow the procedures in this </w:t>
      </w:r>
      <w:r>
        <w:rPr>
          <w:rFonts w:ascii="Times New Roman" w:hAnsi="Times New Roman"/>
          <w:sz w:val="20"/>
          <w:u w:val="single"/>
        </w:rPr>
        <w:t>Section 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Mandatory Exercise Notice provided for in the manner set forth in </w:t>
      </w:r>
      <w:r>
        <w:rPr>
          <w:rFonts w:ascii="Times New Roman" w:hAnsi="Times New Roman"/>
          <w:sz w:val="20"/>
          <w:u w:val="single"/>
        </w:rPr>
        <w:t>Section 4(e)</w:t>
      </w:r>
      <w:r>
        <w:rPr>
          <w:rFonts w:ascii="Times New Roman" w:hAnsi="Times New Roman"/>
          <w:sz w:val="20"/>
        </w:rPr>
        <w:t xml:space="preserve"> shall be conclusively presumed to have been duly given whether or not the Holder received such notice. </w:t>
      </w:r>
    </w:p>
    <w:p>
      <w:pPr>
        <w:pStyle w:val="TextBody"/>
        <w:bidi w:val="0"/>
        <w:spacing w:before="120" w:after="0"/>
        <w:jc w:val="left"/>
        <w:rPr>
          <w:rFonts w:ascii="Times New Roman" w:hAnsi="Times New Roman"/>
          <w:sz w:val="20"/>
        </w:rPr>
      </w:pPr>
      <w:r>
        <w:rPr>
          <w:rFonts w:ascii="Times New Roman" w:hAnsi="Times New Roman"/>
          <w:sz w:val="20"/>
        </w:rPr>
        <w:t xml:space="preserve">(g) If this Warrant shall have been exercised in part, or adjusted to the Reset Exercise Price, the Company shall, at the request of a Holder and upon surrender of this Warrant certificate, and if exercised in part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 or Pre-Funded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this Warrant is being exercised for Warrant Shares, upon exercise of this Warrant, the Company shall or will cause its Transfer Agent to, promptly (but in no event later than the number of Trading Days comprising the Standard Settlement Period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(b) If this Warrant is being exercised for Pre-Funded Warrants, the Company shall promptly issue and dispatch, as specified in the Exercise Notice, Pre-Funded Warrants to purchase a number of shares of Common Stock with respect to which this Warrant is being exercised. </w:t>
      </w:r>
    </w:p>
    <w:p>
      <w:pPr>
        <w:pStyle w:val="TextBody"/>
        <w:bidi w:val="0"/>
        <w:spacing w:before="120" w:after="0"/>
        <w:jc w:val="left"/>
        <w:rPr>
          <w:rFonts w:ascii="Times New Roman" w:hAnsi="Times New Roman"/>
          <w:sz w:val="20"/>
        </w:rPr>
      </w:pPr>
      <w:r>
        <w:rPr>
          <w:rFonts w:ascii="Times New Roman" w:hAnsi="Times New Roman"/>
          <w:sz w:val="20"/>
        </w:rPr>
        <w:t xml:space="preserve">(c) If this Warrant is being exercised for Warrant Shares, if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within such Standard Settlement Period, and if after such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two (2)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permitted by law and subject to </w:t>
      </w:r>
      <w:r>
        <w:rPr>
          <w:rFonts w:ascii="Times New Roman" w:hAnsi="Times New Roman"/>
          <w:sz w:val="20"/>
          <w:u w:val="single"/>
        </w:rPr>
        <w:t>Section 5(c)</w:t>
      </w:r>
      <w:r>
        <w:rPr>
          <w:rFonts w:ascii="Times New Roman" w:hAnsi="Times New Roman"/>
          <w:sz w:val="20"/>
        </w:rPr>
        <w:t xml:space="preserve">, the Company’s obligations to or to cause the Transfer Agent to issue and deliver Warrant Shares and Pre-Funded Warrants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 Pre-Funded Warrants. Subject to </w:t>
      </w:r>
      <w:r>
        <w:rPr>
          <w:rFonts w:ascii="Times New Roman" w:hAnsi="Times New Roman"/>
          <w:sz w:val="20"/>
          <w:u w:val="single"/>
        </w:rPr>
        <w:t>Section 5(c)</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or Pre-Funded Warrants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Pre-Funded Warrants or the Warrants in a name other than that of the Holder or an Affiliate thereof. The Holder shall be responsible for all other tax liability that may arise as a result of holding or transferring this Warrant or receiving Warrant Shares or Pre-Funded Warrants upon exercise hereof.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or Pre-Funded Warrants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cash payment right shall not apply. “</w:t>
      </w:r>
      <w:r>
        <w:rPr>
          <w:rFonts w:ascii="Times New Roman" w:hAnsi="Times New Roman"/>
          <w:i/>
          <w:sz w:val="20"/>
        </w:rPr>
        <w:t>Black Scholes Value</w:t>
      </w:r>
      <w:r>
        <w:rPr>
          <w:rFonts w:ascii="Times New Roman" w:hAnsi="Times New Roman"/>
          <w:sz w:val="20"/>
        </w:rPr>
        <w:t>” means the value of this Warrant based on the Black-Scholes Option Pricing Model obtained from the “OV” function on Bloomberg, L.P. (“</w:t>
      </w:r>
      <w:r>
        <w:rPr>
          <w:rFonts w:ascii="Times New Roman" w:hAnsi="Times New Roman"/>
          <w:i/>
          <w:sz w:val="20"/>
        </w:rPr>
        <w:t>Bloomberg</w:t>
      </w:r>
      <w:r>
        <w:rPr>
          <w:rFonts w:ascii="Times New Roman" w:hAnsi="Times New Roman"/>
          <w:sz w:val="20"/>
        </w:rPr>
        <w:t xml:space="preserve">”)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lesser of 150% and the 200 day volatility obtained from the HVT function on Bloomberg (determined utilizing a 365 day annualization factor) as of the Trading Day immediately following the public announcement of the applicable contemplated Fundamental Transaction, (C) the underlying price per share used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calculation shall be the greater of (i) the sum of the price per share being offered in cash, if any, plus the value of any non-cash consideration, if any, being offered in such Fundamental Transaction and (ii) the highest single-day VWAP during the five (5) Trading Days immediately prior to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to the extent the Fundamental Transaction is within the Company’s control, any successor entity in a Fundamental Transaction in which the Company is not the survivor (the “</w:t>
      </w:r>
      <w:r>
        <w:rPr>
          <w:rFonts w:ascii="Times New Roman" w:hAnsi="Times New Roman"/>
          <w:i/>
          <w:sz w:val="20"/>
        </w:rPr>
        <w:t>Successor Entity</w:t>
      </w:r>
      <w:r>
        <w:rPr>
          <w:rFonts w:ascii="Times New Roman" w:hAnsi="Times New Roman"/>
          <w:sz w:val="20"/>
        </w:rPr>
        <w:t xml:space="preserve">”)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 or Pre-Funded Warrants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or Pre-Funded Warrants that may be purchased upon exercise of this Warrant shall be increased or decreased proportionately, so that after such adjustment the aggregate Exercise Price payable hereunder for the increased or decreased number of Warrant Shares or Pre-Funded Warrants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 xml:space="preserve">Voluntary Adjustment By Company. </w:t>
      </w:r>
      <w:r>
        <w:rPr>
          <w:rFonts w:ascii="Times New Roman" w:hAnsi="Times New Roman"/>
          <w:sz w:val="20"/>
        </w:rPr>
        <w:t xml:space="preserve">Subject to the rules and regulations of the Principal Trading Market, the Company may at any time during the term of this Warrant, reduce the then-current Exercise Price to any amount and for any period of time deemed appropriate by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 in Limited Circumstances</w:t>
      </w:r>
      <w:r>
        <w:rPr>
          <w:rFonts w:ascii="Times New Roman" w:hAnsi="Times New Roman"/>
          <w:sz w:val="20"/>
        </w:rPr>
        <w:t xml:space="preserve">. This Warrant may only be exercised for cash, provided, however, if at the time of exercise hereof there is no effective registration statement registering, or the prospectus contained therein is not available for the issuance of, the Warrant Shares to the holders, then this Warrant may also be exercised, in whole or in part, by means of a “cashless exercise,” in which event the Company shall issue to the Holder the number of Warrant Shares or Pre-Funded Warrants in an exchange of securities effected pursuant to Section 3(a)(9) of the Securities Act, as determined as follows: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161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24550" cy="1619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X” equals the number of Warrant Shares or Pre-Funded Warrants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or Pre-Funded Warrants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per Warrant Share or Pre-Funded Warrant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or Pre-Funded Warrants are issued in such a cashless exercise, the parties acknowledge and agree that in accordance with Section 3(a)(9) of the Securities Act, the Warrant Shares or Pre-Funded Warrants shall take on the registered characteristics of the Warrants being exercised (provided that the Commission continues to take the position that such treatment is proper at the time of such exercise). For purposes of Rule 144 promulgated under the Securities Act, it is intended, understood and acknowledged that the Warrant Shares or Pre-Funded Warrants issued in a “cashless exercise” transaction shall be deemed to have been acquired by the Holder, and the holding period for the Warrant Shares or Pre-Funded Warrants shall be deemed to have commenced, on the date this Warrant was originally issued (provided that the Commission continues to take the position that such treatment is proper at the time of such exercise).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contained herein, the Company shall not effect any exercise of this Warrant (other than to acquire Pre-Funded Warrants with the same (or lower) Maximum Percentage limitation on exercise), and the Holder shall not be entitled to exercise this Warrant (other than to acquire Pre-Funded Warrants with the same (or lower) Maximum Percentage limitation on exercise) for a number of Warrant Shares in excess of that number of Warrant Shares which, upon giving effect or immediately prior to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would cause (i) the aggregate number of shares of Common Stock beneficially owned by the Holder, its Affiliates and any other Persons acting as a group together with such Holder and any of such Holder’s Affiliates, and any other persons whose beneficial ownership of the Comon Stock would or would be aggregated with such Holder’s for the purpose of Section 13(d) of the Exchange Act (such Persons, “</w:t>
      </w:r>
      <w:r>
        <w:rPr>
          <w:rFonts w:ascii="Times New Roman" w:hAnsi="Times New Roman"/>
          <w:i/>
          <w:sz w:val="20"/>
        </w:rPr>
        <w:t>Attribution Parties</w:t>
      </w:r>
      <w:r>
        <w:rPr>
          <w:rFonts w:ascii="Times New Roman" w:hAnsi="Times New Roman"/>
          <w:sz w:val="20"/>
        </w:rPr>
        <w:t>”)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of the total number of issued and outstanding shares of Common Stock of the Company following such exercise, or (ii) the combined voting power of the securities of the Company beneficially owned by the Holder, its Affiliates Attribution Parties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two (2)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its Affiliates and Attribution Parties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In the event that the issuance of Common Stock to such Holder upon the exercise of the Warrant results in such Holder, together with its Attribution Parties, collectively being deemed to beneficially own, in the aggregate, more than the Maximum Percentage, the number of Common Stock so issued by which the aggregate Maximum Percentage of such Holder and its Attribution Parties exceeds such limitation (the “</w:t>
      </w:r>
      <w:r>
        <w:rPr>
          <w:rFonts w:ascii="Times New Roman" w:hAnsi="Times New Roman"/>
          <w:i/>
          <w:sz w:val="20"/>
        </w:rPr>
        <w:t>Excess Shares</w:t>
      </w:r>
      <w:r>
        <w:rPr>
          <w:rFonts w:ascii="Times New Roman" w:hAnsi="Times New Roman"/>
          <w:sz w:val="20"/>
        </w:rPr>
        <w:t xml:space="preserve">”) shall be deemed null and void and shall be cancelled ab initio, and such Holder and/or Attribution Parties shall not have the power to vote or to transfer the Excess Shares. As soon as reasonably practicable after the issuance of the Excess Shares have been deemed null and void, the Company shall return to such Holder the exercise price paid by such Holder for the Excess Shares and such Holder shall return the Excess Shares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 or Pre-Funded Warrants</w:t>
      </w:r>
      <w:r>
        <w:rPr>
          <w:rFonts w:ascii="Times New Roman" w:hAnsi="Times New Roman"/>
          <w:sz w:val="20"/>
        </w:rPr>
        <w:t xml:space="preserve">. No fractional Warrant Shares or fractional Pre-Funded Warrants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(ii) 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Pre-Funded Warrants in lieu of Common Stock</w:t>
      </w:r>
      <w:r>
        <w:rPr>
          <w:rFonts w:ascii="Times New Roman" w:hAnsi="Times New Roman"/>
          <w:sz w:val="20"/>
        </w:rPr>
        <w:t xml:space="preserve">. Notwithstanding anything to the contrary in this Warrant, to the extent the beneficial ownership limitations set forth in </w:t>
      </w:r>
      <w:r>
        <w:rPr>
          <w:rFonts w:ascii="Times New Roman" w:hAnsi="Times New Roman"/>
          <w:sz w:val="20"/>
          <w:u w:val="single"/>
        </w:rPr>
        <w:t>Section 11</w:t>
      </w:r>
      <w:r>
        <w:rPr>
          <w:rFonts w:ascii="Times New Roman" w:hAnsi="Times New Roman"/>
          <w:sz w:val="20"/>
        </w:rPr>
        <w:t xml:space="preserve"> restrict the exercise of this Warrant for Warrant Shares, the Holder may choose, in lieu of receiving Warrant Shares upon exercise of this Warrant, to receive a Pre-Funded Warrant in the form attached hereto as </w:t>
      </w:r>
      <w:r>
        <w:rPr>
          <w:rFonts w:ascii="Times New Roman" w:hAnsi="Times New Roman"/>
          <w:sz w:val="20"/>
          <w:u w:val="single"/>
        </w:rPr>
        <w:t>Exhibit A</w:t>
      </w:r>
      <w:r>
        <w:rPr>
          <w:rFonts w:ascii="Times New Roman" w:hAnsi="Times New Roman"/>
          <w:sz w:val="20"/>
        </w:rPr>
        <w:t xml:space="preserve"> to purchase an identical number of shares of Common Stock it would have received upon the exercise of this Warrant for shares of Common Stock, provided, however that the Exercise Price shall instead be the Exercise Price less $0.00001 per share, and the resulting issued Pre-Funded Warrant shall have an exercise price of $0.00001 per share. In such instance, the Pre-Funded Warrant issued upon exercise shall have the equivalent (or lower) Maximum Percentage limitation on exercise as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140"/>
        <w:gridCol w:w="217"/>
        <w:gridCol w:w="2725"/>
      </w:tblGrid>
      <w:tr>
        <w:trPr/>
        <w:tc>
          <w:tcPr>
            <w:tcW w:w="1140" w:type="dxa"/>
            <w:tcBorders/>
            <w:vAlign w:val="center"/>
          </w:tcPr>
          <w:p>
            <w:pPr>
              <w:pStyle w:val="TableContents"/>
              <w:bidi w:val="0"/>
              <w:spacing w:before="0" w:after="283"/>
              <w:jc w:val="left"/>
              <w:rPr>
                <w:sz w:val="4"/>
                <w:szCs w:val="4"/>
              </w:rPr>
            </w:pPr>
            <w:r>
              <w:rPr>
                <w:sz w:val="4"/>
                <w:szCs w:val="4"/>
              </w:rPr>
            </w:r>
          </w:p>
        </w:tc>
        <w:tc>
          <w:tcPr>
            <w:tcW w:w="217" w:type="dxa"/>
            <w:tcBorders/>
            <w:vAlign w:val="bottom"/>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PMV PHARMACEUTICALS, INC.</w:t>
            </w:r>
          </w:p>
        </w:tc>
      </w:tr>
      <w:tr>
        <w:trPr>
          <w:trHeight w:val="240" w:hRule="atLeast"/>
        </w:trPr>
        <w:tc>
          <w:tcPr>
            <w:tcW w:w="1140" w:type="dxa"/>
            <w:tcBorders/>
            <w:vAlign w:val="center"/>
          </w:tcPr>
          <w:p>
            <w:pPr>
              <w:pStyle w:val="TableContents"/>
              <w:bidi w:val="0"/>
              <w:spacing w:before="0" w:after="283"/>
              <w:jc w:val="left"/>
              <w:rPr>
                <w:sz w:val="4"/>
                <w:szCs w:val="4"/>
              </w:rPr>
            </w:pPr>
            <w:r>
              <w:rPr>
                <w:sz w:val="4"/>
                <w:szCs w:val="4"/>
              </w:rPr>
            </w:r>
          </w:p>
        </w:tc>
        <w:tc>
          <w:tcPr>
            <w:tcW w:w="2942"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tcPr>
          <w:p>
            <w:pPr>
              <w:pStyle w:val="TableContents"/>
              <w:bidi w:val="0"/>
              <w:spacing w:before="0" w:after="283"/>
              <w:jc w:val="left"/>
              <w:rPr/>
            </w:pPr>
            <w:r>
              <w:rPr/>
              <w:t>By:</w:t>
            </w:r>
          </w:p>
        </w:tc>
        <w:tc>
          <w:tcPr>
            <w:tcW w:w="217" w:type="dxa"/>
            <w:tcBorders/>
            <w:vAlign w:val="bottom"/>
          </w:tcPr>
          <w:p>
            <w:pPr>
              <w:pStyle w:val="TableContents"/>
              <w:bidi w:val="0"/>
              <w:spacing w:before="0" w:after="283"/>
              <w:jc w:val="left"/>
              <w:rPr/>
            </w:pPr>
            <w:r>
              <w:rPr/>
              <w:t> </w:t>
            </w:r>
          </w:p>
        </w:tc>
        <w:tc>
          <w:tcPr>
            <w:tcW w:w="2725"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PMV Pharmaceuticals,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120" w:after="0"/>
        <w:jc w:val="left"/>
        <w:rPr/>
      </w:pPr>
      <w:r>
        <w:rPr/>
        <w:t xml:space="preserve">☐ </w:t>
      </w:r>
      <w:r>
        <w:rPr>
          <w:rFonts w:ascii="Times New Roman" w:hAnsi="Times New Roman"/>
          <w:sz w:val="20"/>
        </w:rPr>
        <w:t xml:space="preserve">Cash Exercise </w:t>
      </w:r>
    </w:p>
    <w:p>
      <w:pPr>
        <w:pStyle w:val="TextBody"/>
        <w:bidi w:val="0"/>
        <w:spacing w:before="120" w:after="0"/>
        <w:jc w:val="left"/>
        <w:rPr/>
      </w:pPr>
      <w:r>
        <w:rPr/>
        <w:t xml:space="preserve">☐ </w:t>
      </w:r>
      <w:r>
        <w:rPr>
          <w:rFonts w:ascii="Times New Roman" w:hAnsi="Times New Roman"/>
          <w:sz w:val="20"/>
        </w:rPr>
        <w:t xml:space="preserve">if permitted in accordance with Section 10 of the Warrant, “Cashless Exercise in Limited Circumstances.” </w:t>
      </w:r>
    </w:p>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Name of Holder: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83"/>
        <w:gridCol w:w="61"/>
        <w:gridCol w:w="3638"/>
      </w:tblGrid>
      <w:tr>
        <w:trPr/>
        <w:tc>
          <w:tcPr>
            <w:tcW w:w="38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38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PRE-FUNDED WARRANT </w:t>
      </w:r>
      <w:r>
        <w:br w:type="page"/>
      </w:r>
    </w:p>
    <w:p>
      <w:pPr>
        <w:pStyle w:val="HorizontalLine"/>
        <w:pBdr>
          <w:bottom w:val="double" w:sz="6" w:space="0" w:color="808080"/>
        </w:pBdr>
        <w:bidi w:val="0"/>
        <w:jc w:val="left"/>
        <w:rPr/>
      </w:pPr>
      <w:r>
        <w:rPr/>
      </w:r>
    </w:p>
    <w:p>
      <w:pPr>
        <w:pStyle w:val="TextBody"/>
        <w:bidi w:val="0"/>
        <w:spacing w:before="240" w:after="0"/>
        <w:jc w:val="right"/>
        <w:rPr>
          <w:rFonts w:ascii="Times New Roman" w:hAnsi="Times New Roman"/>
          <w:b/>
          <w:sz w:val="20"/>
        </w:rPr>
      </w:pPr>
      <w:r>
        <w:rPr>
          <w:rFonts w:ascii="Times New Roman" w:hAnsi="Times New Roman"/>
          <w:b/>
          <w:sz w:val="20"/>
        </w:rPr>
        <w:t xml:space="preserve">ANNEX III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August </w:t>
      </w:r>
      <w:r>
        <w:rPr>
          <w:rFonts w:ascii="Times New Roman" w:hAnsi="Times New Roman"/>
          <w:b/>
          <w:sz w:val="20"/>
          <w:u w:val="single"/>
        </w:rPr>
        <w:t> </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As representative of the several </w:t>
      </w:r>
    </w:p>
    <w:p>
      <w:pPr>
        <w:pStyle w:val="TextBody"/>
        <w:bidi w:val="0"/>
        <w:spacing w:before="0" w:after="0"/>
        <w:jc w:val="left"/>
        <w:rPr>
          <w:rFonts w:ascii="Times New Roman" w:hAnsi="Times New Roman"/>
          <w:sz w:val="20"/>
        </w:rPr>
      </w:pPr>
      <w:r>
        <w:rPr>
          <w:rFonts w:ascii="Times New Roman" w:hAnsi="Times New Roman"/>
          <w:sz w:val="20"/>
        </w:rPr>
        <w:t xml:space="preserve">Underwriters named in Schedule I </w:t>
      </w:r>
    </w:p>
    <w:p>
      <w:pPr>
        <w:pStyle w:val="TextBody"/>
        <w:bidi w:val="0"/>
        <w:spacing w:before="0" w:after="0"/>
        <w:jc w:val="left"/>
        <w:rPr>
          <w:rFonts w:ascii="Times New Roman" w:hAnsi="Times New Roman"/>
          <w:sz w:val="20"/>
        </w:rPr>
      </w:pPr>
      <w:r>
        <w:rPr>
          <w:rFonts w:ascii="Times New Roman" w:hAnsi="Times New Roman"/>
          <w:sz w:val="20"/>
        </w:rPr>
        <w:t xml:space="preserve">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c/o 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Re: </w:t>
      </w:r>
      <w:r>
        <w:rPr>
          <w:rFonts w:ascii="Times New Roman" w:hAnsi="Times New Roman"/>
          <w:sz w:val="20"/>
          <w:u w:val="single"/>
        </w:rPr>
        <w:t>PMV Pharmaceuticals, Inc. - Lock-Up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understands that TD Securities (USA) LLC (“TD Cowen”), as representative, proposes to enter into an underwriting agreement (the “Underwriting Agreement”) on behalf of the several Underwriters named in Schedule I to such agreement (collectively, the “Underwriters”), with PMV Pharmaceuticals, Inc., a Delaware corporation (the “Company”), providing for a public offering (the “Public Offering”) of shares (the “Shares”) of Common Stock (the “Common Stock”) and other equity securities of the Company (collectively with the Common Stock, the “Securities”) pursuant to a Registration Statement on Form S-3 and accompanying prospectus supplement to be filed with the Securities and Exchange Commission (the “SEC”). In consideration of the agreement by the Underwriters to purchase, offer and sell the Securities, and of other good and valuable consideration the receipt and sufficiency of which is hereby acknowledged, the undersigned agrees that, during the period beginning from the date of this Lock-Up Agreement and continuing to and including the date 90 days after the date set forth on the final prospectus used to sell the Securities (the “Lock-Up Period”), the undersigned will not, and will not cause or direct any of its affiliates, without the prior written consent of TD Cowen, directly or indirectly, to (i) offer, sell, contract to sell, pledge, grant any option to purchase, lend or otherwise dispose of any shares of Common Stock, or any options or warrants to purchase any shares of Common Stock, or any securities convertible into, exchangeable for or that represent the right to receive shares of Common Stock (such options, warrants or other securities, collectively, “Derivative Instruments”), including without limitation any such shares or Derivative Instruments now owned or hereafter acquired by the undersigned,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would be expected to lead to or result in a sale, loan, pledge or other disposition (whether by the undersigned or someone other than the undersigned), or transfer of any of the economic consequences of ownership, in whole or in part, directly or indirectly, of any shares of Common Stock or Derivative Instruments, whether any such transaction or arrangement (or instrument provided for thereunder) would be settled by delivery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the undersigned may transfer or otherwise dispose of the undersigned’s shares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(i) as a </w:t>
      </w:r>
      <w:r>
        <w:rPr>
          <w:rFonts w:ascii="Times New Roman" w:hAnsi="Times New Roman"/>
          <w:i/>
          <w:sz w:val="20"/>
        </w:rPr>
        <w:t xml:space="preserve">bona fide </w:t>
      </w:r>
      <w:r>
        <w:rPr>
          <w:rFonts w:ascii="Times New Roman" w:hAnsi="Times New Roman"/>
          <w:sz w:val="20"/>
        </w:rPr>
        <w:t xml:space="preserve">gift or gifts; provided that the donee or donees thereof agree to be bound in writing by the restrictions set forth herein; and provided further that any such transfer shall not involve a disposition for value; and provided further that any filing under Section 16 of the Securities Exchange Act of 1934, as amended (the “Exchange Act”), reporting a reduction in beneficial ownership shall indicate in the footnotes thereto that the filing relates to the applicable circumstances described in this clause, and no other public announcement shall be required or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(ii) to any trust for the direct or indirect benefit of the undersigned or the immediate family (as defined below) of the undersigned; provided that the trustee of the trust agrees to be bound in writing by the restrictions set forth herein;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(iii) acquired in open market transactions after the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(iv)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of the undersigned, or to any investment fund or other entity controlled or managed by or under common control with the undersigned or affiliates of the undersigned, or (B) as part of a distribution, transfer or disposition without consideration by the undersigned to its stockholders, partners, members, beneficiaries or other equity holders; provided, however, that in the case of any transfer or disposition contemplated by clauses (A) or (B) above, it shall be a condition to the transfer or disposition that the transferee execute an agreement stating that the transferee is receiving and holding such securities subject to the restrictions on transfer set forth herein and there shall be no further transfer of such securities except in accordance with this Lock-Up Agreement; and provided further that any such transfer shall not involve a disposition for value; </w:t>
      </w:r>
    </w:p>
    <w:p>
      <w:pPr>
        <w:pStyle w:val="TextBody"/>
        <w:bidi w:val="0"/>
        <w:spacing w:before="240" w:after="0"/>
        <w:jc w:val="left"/>
        <w:rPr>
          <w:rFonts w:ascii="Times New Roman" w:hAnsi="Times New Roman"/>
          <w:sz w:val="20"/>
        </w:rPr>
      </w:pPr>
      <w:r>
        <w:rPr>
          <w:rFonts w:ascii="Times New Roman" w:hAnsi="Times New Roman"/>
          <w:sz w:val="20"/>
        </w:rPr>
        <w:t xml:space="preserve">(v) to the Company in connection with the exercise or settlement of options, warrants or other rights to acquire shares of Common Stock or any security convertible into or exercisable for shares of Common Stock in accordance with their terms pursuant to an employee benefit plan, option, warrant or other right disclosed in the final prospectus for the Public Offering; provided, that any such shares issued upon exercise of such option, warrant or other right shall be subject to the restrictions on transfer set forth herein; provided further that any filing under Section 16 of the Exchange Act reporting a reduction in beneficial ownership shall indicate in the footnotes thereto that the filing relates to the applicable circumstances described in this clause, and no other public announcement shall be required or made voluntarily in connection with such transfer; </w:t>
      </w:r>
    </w:p>
    <w:p>
      <w:pPr>
        <w:pStyle w:val="TextBody"/>
        <w:bidi w:val="0"/>
        <w:spacing w:before="240" w:after="0"/>
        <w:jc w:val="left"/>
        <w:rPr>
          <w:rFonts w:ascii="Times New Roman" w:hAnsi="Times New Roman"/>
          <w:sz w:val="20"/>
        </w:rPr>
      </w:pPr>
      <w:r>
        <w:rPr>
          <w:rFonts w:ascii="Times New Roman" w:hAnsi="Times New Roman"/>
          <w:sz w:val="20"/>
        </w:rPr>
        <w:t xml:space="preserve">(vi) by will or intestacy; provided that the legatee, heir or other transferee, as the case may be, agrees to be bound in writing by the restrictions on transfer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(vii) to any immediate family (as defined below) member; provided that such family member agrees to be bound by the restrictions on transfer set forth herein; and provided further that any such transfer shall not involve a disposition for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pursuant to a court order or a settlement agreement related to the distribution of assets in connection with the dissolution of a marriage or civil union; provided that such transferee agrees to be bound by the restrictions on transfer set forth herein; and provided further that any required filing under Section 16 of the Exchange Act shall indicate in the footnotes thereto that the filing relates to the circumstances described in this clause and no other public announcement shall be required or shall be made voluntarily in connection with such transfer or disposition; and </w:t>
      </w:r>
    </w:p>
    <w:p>
      <w:pPr>
        <w:pStyle w:val="TextBody"/>
        <w:bidi w:val="0"/>
        <w:spacing w:before="240" w:after="0"/>
        <w:jc w:val="left"/>
        <w:rPr>
          <w:rFonts w:ascii="Times New Roman" w:hAnsi="Times New Roman"/>
          <w:sz w:val="20"/>
        </w:rPr>
      </w:pPr>
      <w:r>
        <w:rPr>
          <w:rFonts w:ascii="Times New Roman" w:hAnsi="Times New Roman"/>
          <w:sz w:val="20"/>
        </w:rPr>
        <w:t xml:space="preserve">(ix) to the Company pursuant to agreements under which the Company has (A) the option to repurchase such shares or (B) a right of first refusal with respect to transfers of such shares upon termination of service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with respect to clauses (ii), (iii), (iv), (vii) and (ix) above, it shall be a condition to such transfer that no filing under the Exchange Act (including, without limitation, Section 16(a) thereof) nor any other public filing or disclosure of such transfer by or on behalf of the undersigned, reporting a reduction in beneficial ownership, shall be required or made until after the expiration of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“immediate family” shall mean any relationship by blood, marriage or adoption, not more remote than first cousin. </w:t>
      </w:r>
    </w:p>
    <w:p>
      <w:pPr>
        <w:pStyle w:val="TextBody"/>
        <w:bidi w:val="0"/>
        <w:spacing w:before="240" w:after="0"/>
        <w:jc w:val="left"/>
        <w:rPr>
          <w:rFonts w:ascii="Times New Roman" w:hAnsi="Times New Roman"/>
          <w:sz w:val="20"/>
        </w:rPr>
      </w:pPr>
      <w:r>
        <w:rPr>
          <w:rFonts w:ascii="Times New Roman" w:hAnsi="Times New Roman"/>
          <w:sz w:val="20"/>
        </w:rPr>
        <w:t xml:space="preserve">In addition, nothing herein shall prevent the undersigned from establishing a 10b5-1 trading plan that complies with Rule 10b5-1 under the Exchange Act for the transfer of the undersigned’s shares of Common Stock, provided that (i) such plan does not provide for any transfers of Common Stock during the Lock-Up Period, (ii) no public disclosure or filing shall be voluntarily made during the Lock-Up Period and (iii) to the extent a public announcement or filing under the Exchange Act, if any, is required by or on behalf of the undersigned or the Company regarding the establishment of such plan, such announcement or filing shall include a statement to the effect that no transfer of Common Stock may be made under such plan during the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Furthermore, this Lock-Up Agreement shall not restrict any sale, disposal or transfer of the undersigned’s shares of Common Stock to a </w:t>
      </w:r>
      <w:r>
        <w:rPr>
          <w:rFonts w:ascii="Times New Roman" w:hAnsi="Times New Roman"/>
          <w:i/>
          <w:sz w:val="20"/>
        </w:rPr>
        <w:t xml:space="preserve">bona fide </w:t>
      </w:r>
      <w:r>
        <w:rPr>
          <w:rFonts w:ascii="Times New Roman" w:hAnsi="Times New Roman"/>
          <w:sz w:val="20"/>
        </w:rPr>
        <w:t xml:space="preserve">third party pursuant to a tender offer for securities of the Company or any merger, consolidation or other business combination involving a Change of Control (as defined below) of the Company occurring after the settlement of the Public Offering, that, in each case, has been approved by the board of directors of the Company; provided that all of the undersigned’s shares of Common Stock subject to this Lock-Up Agreement that are not so transferred, sold, tendered or otherwise disposed of remain subject to this Lock-Up Agreement; and provided, further, that it shall be a condition of transfer, sale, tender or other disposition that if such tender offer or other transaction is not completed, any of the undersigned’s shares of Common Stock subject to this Lock-Up Agreement shall remain subject to the restrictions on transfer set forth herein. For the purposes of this paragraph, “Change of Control” means the consummation of any </w:t>
      </w:r>
      <w:r>
        <w:rPr>
          <w:rFonts w:ascii="Times New Roman" w:hAnsi="Times New Roman"/>
          <w:i/>
          <w:sz w:val="20"/>
        </w:rPr>
        <w:t xml:space="preserve">bona fide </w:t>
      </w:r>
      <w:r>
        <w:rPr>
          <w:rFonts w:ascii="Times New Roman" w:hAnsi="Times New Roman"/>
          <w:sz w:val="20"/>
        </w:rPr>
        <w:t xml:space="preserve">third party tender offer, merger, consolidation or other similar transaction, the result of which is that any “person” (as defined in Rule 13d-3 of the Exchange Act), or group of persons, other than the Company or its subsidiaries, becomes the beneficial owner (as defined in Rule 13d-3 and 13d-5 of the Exchange Act) of a majority of the total voting power of the voting share capital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now has, and, except as contemplated above, for the duration of this Lock-Up Agreement will have, good and marketable title to the undersigned’s shares of Common Stock, free and clear of all liens, encumbrances, and claims whatsoever. The undersigned also agrees and consents to the entry of stop transfer instructions with the Company’s transfer agent and registrar against the transfer of the undersigned’s shares of Common Stock except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compliance with the foregoing restrictions. During the Lock-Up Period, the undersigned hereby waives any and all notice requirements and rights with respect to the registration of securities pursuant to any agreement, understanding or anything otherwise setting forth the terms of any security of the Company held by the undersigned, including any registration rights agreement or investors’ rights agreement to which the undersigned and the Company may be party.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TD Cowen are relying upon this Lock-Up Agreement in proceeding toward consummation of the Public Offering. The undersigned further understands that this Lock-Up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acknowledges and agrees that TD Cowen has not provided any recommendation or investment advice nor has TD Cowen solicited any action from the undersigned with respect to the Public Offering and the undersigned has consulted their own legal, accounting, financial, regulatory and tax advisors to the extent deemed appropriate. The undersigned further acknowledges and agrees that, although TD Cowen may be required or choose to provide certain Regulation Best Interest and Form CRS disclosures to you in connection with the Public Offering, TD Cowen is not making a recommendation to you to enter into this Lock-Up Agreement and nothing set forth in such disclosures is intended to suggest that TD Cowen is making such a recommendation.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internal laws of the State of New York applicable to agreements made and to be performed in such state.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(and for the avoidance of doubt, the Lock-Up Period described herein) and related restrictions shall automatically terminate upon the earliest to occur, if any, of (i) the Company advising TD Cowen in writing prior to the execution of the Underwriting Agreement that it has determined not to proceed with the Public Offering, (ii) the termination of the Underwriting Agreement before the sale of any Securities to the Underwriters or (iii) September 30, 2026, in the event the closing of the Public Offering shall not have occurred on or before such date.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8"/>
        <w:gridCol w:w="106"/>
        <w:gridCol w:w="3979"/>
        <w:gridCol w:w="106"/>
        <w:gridCol w:w="379"/>
        <w:gridCol w:w="106"/>
        <w:gridCol w:w="719"/>
        <w:gridCol w:w="106"/>
        <w:gridCol w:w="3986"/>
      </w:tblGrid>
      <w:tr>
        <w:trPr/>
        <w:tc>
          <w:tcPr>
            <w:tcW w:w="718"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7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98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Pr>
          <w:p>
            <w:pPr>
              <w:pStyle w:val="TableContents"/>
              <w:bidi w:val="0"/>
              <w:spacing w:before="0" w:after="283"/>
              <w:jc w:val="left"/>
              <w:rPr>
                <w:b/>
              </w:rPr>
            </w:pPr>
            <w:r>
              <w:rPr>
                <w:b/>
              </w:rPr>
              <w:t>IF AN INDIVIDUAL:</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1" w:type="dxa"/>
            <w:gridSpan w:val="3"/>
            <w:tcBorders/>
          </w:tcPr>
          <w:p>
            <w:pPr>
              <w:pStyle w:val="TableContents"/>
              <w:bidi w:val="0"/>
              <w:spacing w:before="0" w:after="283"/>
              <w:jc w:val="left"/>
              <w:rPr>
                <w:b/>
              </w:rPr>
            </w:pPr>
            <w:r>
              <w:rPr>
                <w:b/>
              </w:rPr>
              <w:t>IF AN ENTITY:</w:t>
            </w:r>
          </w:p>
        </w:tc>
      </w:tr>
      <w:tr>
        <w:trPr>
          <w:trHeight w:val="240" w:hRule="atLeast"/>
        </w:trPr>
        <w:tc>
          <w:tcPr>
            <w:tcW w:w="718" w:type="dxa"/>
            <w:tcBorders/>
            <w:vAlign w:val="center"/>
          </w:tcPr>
          <w:p>
            <w:pPr>
              <w:pStyle w:val="TableContents"/>
              <w:bidi w:val="0"/>
              <w:spacing w:before="0" w:after="283"/>
              <w:jc w:val="left"/>
              <w:rPr>
                <w:sz w:val="4"/>
                <w:szCs w:val="4"/>
              </w:rPr>
            </w:pPr>
            <w:r>
              <w:rPr>
                <w:sz w:val="4"/>
                <w:szCs w:val="4"/>
              </w:rPr>
            </w:r>
          </w:p>
        </w:tc>
        <w:tc>
          <w:tcPr>
            <w:tcW w:w="4085"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4917" w:type="dxa"/>
            <w:gridSpan w:val="4"/>
            <w:tcBorders/>
            <w:vAlign w:val="center"/>
          </w:tcPr>
          <w:p>
            <w:pPr>
              <w:pStyle w:val="TableContents"/>
              <w:bidi w:val="0"/>
              <w:spacing w:before="0" w:after="283"/>
              <w:jc w:val="left"/>
              <w:rPr>
                <w:sz w:val="4"/>
                <w:szCs w:val="4"/>
              </w:rPr>
            </w:pPr>
            <w:r>
              <w:rPr>
                <w:sz w:val="4"/>
                <w:szCs w:val="4"/>
              </w:rPr>
            </w:r>
          </w:p>
        </w:tc>
      </w:tr>
      <w:tr>
        <w:trPr/>
        <w:tc>
          <w:tcPr>
            <w:tcW w:w="718" w:type="dxa"/>
            <w:tcBorders/>
          </w:tcPr>
          <w:p>
            <w:pPr>
              <w:pStyle w:val="TableContents"/>
              <w:bidi w:val="0"/>
              <w:spacing w:before="0" w:after="283"/>
              <w:jc w:val="left"/>
              <w:rPr/>
            </w:pPr>
            <w:r>
              <w:rPr/>
              <w:t> </w:t>
            </w:r>
            <w:r>
              <w:rPr/>
              <w:t>By:</w:t>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1" w:type="dxa"/>
            <w:gridSpan w:val="3"/>
            <w:tcBorders/>
          </w:tcPr>
          <w:p>
            <w:pPr>
              <w:pStyle w:val="TableContents"/>
              <w:pBdr>
                <w:bottom w:val="single" w:sz="2" w:space="1" w:color="000000"/>
              </w:pBdr>
              <w:bidi w:val="0"/>
              <w:spacing w:before="0" w:after="20"/>
              <w:jc w:val="left"/>
              <w:rPr/>
            </w:pPr>
            <w:r>
              <w:rPr/>
              <w:t> </w:t>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i/>
              </w:rPr>
            </w:pPr>
            <w:r>
              <w:rPr>
                <w:i/>
              </w:rPr>
              <w:t>(duly authorized signature)</w:t>
            </w:r>
          </w:p>
        </w:tc>
        <w:tc>
          <w:tcPr>
            <w:tcW w:w="106" w:type="dxa"/>
            <w:tcBorders/>
            <w:vAlign w:val="bottom"/>
          </w:tcPr>
          <w:p>
            <w:pPr>
              <w:pStyle w:val="TableContents"/>
              <w:bidi w:val="0"/>
              <w:spacing w:before="0" w:after="283"/>
              <w:jc w:val="left"/>
              <w:rPr/>
            </w:pPr>
            <w:r>
              <w:rPr/>
              <w:t> </w:t>
            </w:r>
          </w:p>
        </w:tc>
        <w:tc>
          <w:tcPr>
            <w:tcW w:w="3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811" w:type="dxa"/>
            <w:gridSpan w:val="3"/>
            <w:tcBorders/>
          </w:tcPr>
          <w:p>
            <w:pPr>
              <w:pStyle w:val="TableContents"/>
              <w:bidi w:val="0"/>
              <w:spacing w:before="0" w:after="283"/>
              <w:jc w:val="left"/>
              <w:rPr>
                <w:i/>
              </w:rPr>
            </w:pPr>
            <w:r>
              <w:rPr>
                <w:i/>
              </w:rPr>
              <w:t>(please print complete name of entity)</w:t>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bidi w:val="0"/>
              <w:spacing w:before="0" w:after="283"/>
              <w:jc w:val="left"/>
              <w:rPr>
                <w:sz w:val="4"/>
                <w:szCs w:val="4"/>
              </w:rPr>
            </w:pPr>
            <w:r>
              <w:rPr>
                <w:sz w:val="4"/>
                <w:szCs w:val="4"/>
              </w:rPr>
            </w:r>
          </w:p>
        </w:tc>
      </w:tr>
      <w:tr>
        <w:trPr/>
        <w:tc>
          <w:tcPr>
            <w:tcW w:w="718" w:type="dxa"/>
            <w:tcBorders/>
          </w:tcPr>
          <w:p>
            <w:pPr>
              <w:pStyle w:val="TableContents"/>
              <w:bidi w:val="0"/>
              <w:spacing w:before="0" w:after="283"/>
              <w:jc w:val="left"/>
              <w:rPr/>
            </w:pPr>
            <w:r>
              <w:rPr/>
              <w:t> </w:t>
            </w:r>
            <w:r>
              <w:rPr/>
              <w:t>Name:</w:t>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pBdr>
                <w:bottom w:val="single" w:sz="2" w:space="1" w:color="000000"/>
              </w:pBdr>
              <w:bidi w:val="0"/>
              <w:spacing w:before="0" w:after="20"/>
              <w:jc w:val="left"/>
              <w:rPr/>
            </w:pPr>
            <w:r>
              <w:rPr/>
              <w:t> </w:t>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pPr>
            <w:r>
              <w:rPr/>
              <w:t> </w:t>
            </w:r>
            <w:r>
              <w:rPr/>
              <w:t>By:</w:t>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pBdr>
                <w:bottom w:val="single" w:sz="2" w:space="1" w:color="000000"/>
              </w:pBdr>
              <w:bidi w:val="0"/>
              <w:spacing w:before="0" w:after="20"/>
              <w:jc w:val="left"/>
              <w:rPr/>
            </w:pPr>
            <w:r>
              <w:rPr/>
              <w:t> </w:t>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i/>
              </w:rPr>
            </w:pPr>
            <w:r>
              <w:rPr>
                <w:i/>
              </w:rPr>
              <w:t>(please print full name)</w:t>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bidi w:val="0"/>
              <w:spacing w:before="0" w:after="283"/>
              <w:jc w:val="left"/>
              <w:rPr>
                <w:i/>
              </w:rPr>
            </w:pPr>
            <w:r>
              <w:rPr>
                <w:i/>
              </w:rPr>
              <w:t>(duly authorized signature)</w:t>
            </w:r>
          </w:p>
        </w:tc>
      </w:tr>
      <w:tr>
        <w:trPr>
          <w:trHeight w:val="240" w:hRule="atLeast"/>
        </w:trPr>
        <w:tc>
          <w:tcPr>
            <w:tcW w:w="718" w:type="dxa"/>
            <w:tcBorders/>
            <w:vAlign w:val="center"/>
          </w:tcPr>
          <w:p>
            <w:pPr>
              <w:pStyle w:val="TableContents"/>
              <w:bidi w:val="0"/>
              <w:spacing w:before="0" w:after="283"/>
              <w:jc w:val="left"/>
              <w:rPr>
                <w:sz w:val="4"/>
                <w:szCs w:val="4"/>
              </w:rPr>
            </w:pPr>
            <w:r>
              <w:rPr>
                <w:sz w:val="4"/>
                <w:szCs w:val="4"/>
              </w:rPr>
            </w:r>
          </w:p>
        </w:tc>
        <w:tc>
          <w:tcPr>
            <w:tcW w:w="4085"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825" w:type="dxa"/>
            <w:gridSpan w:val="2"/>
            <w:tcBorders/>
            <w:vAlign w:val="center"/>
          </w:tcPr>
          <w:p>
            <w:pPr>
              <w:pStyle w:val="TableContents"/>
              <w:bidi w:val="0"/>
              <w:spacing w:before="0" w:after="283"/>
              <w:jc w:val="left"/>
              <w:rPr>
                <w:sz w:val="4"/>
                <w:szCs w:val="4"/>
              </w:rPr>
            </w:pPr>
            <w:r>
              <w:rPr>
                <w:sz w:val="4"/>
                <w:szCs w:val="4"/>
              </w:rPr>
            </w:r>
          </w:p>
        </w:tc>
        <w:tc>
          <w:tcPr>
            <w:tcW w:w="4092" w:type="dxa"/>
            <w:gridSpan w:val="2"/>
            <w:tcBorders/>
            <w:vAlign w:val="center"/>
          </w:tcPr>
          <w:p>
            <w:pPr>
              <w:pStyle w:val="TableContents"/>
              <w:bidi w:val="0"/>
              <w:spacing w:before="0" w:after="283"/>
              <w:jc w:val="left"/>
              <w:rPr>
                <w:sz w:val="4"/>
                <w:szCs w:val="4"/>
              </w:rPr>
            </w:pPr>
            <w:r>
              <w:rPr>
                <w:sz w:val="4"/>
                <w:szCs w:val="4"/>
              </w:rPr>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pPr>
            <w:r>
              <w:rPr/>
              <w:t> </w:t>
            </w:r>
            <w:r>
              <w:rPr/>
              <w:t>Name:</w:t>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pBdr>
                <w:bottom w:val="single" w:sz="2" w:space="1" w:color="000000"/>
              </w:pBdr>
              <w:bidi w:val="0"/>
              <w:spacing w:before="0" w:after="20"/>
              <w:jc w:val="left"/>
              <w:rPr/>
            </w:pPr>
            <w:r>
              <w:rPr/>
              <w:t> </w:t>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bidi w:val="0"/>
              <w:spacing w:before="0" w:after="283"/>
              <w:jc w:val="left"/>
              <w:rPr>
                <w:i/>
              </w:rPr>
            </w:pPr>
            <w:r>
              <w:rPr>
                <w:i/>
              </w:rPr>
              <w:t>(please print full name)</w:t>
            </w:r>
          </w:p>
        </w:tc>
      </w:tr>
      <w:tr>
        <w:trPr>
          <w:trHeight w:val="240" w:hRule="atLeast"/>
        </w:trPr>
        <w:tc>
          <w:tcPr>
            <w:tcW w:w="718" w:type="dxa"/>
            <w:tcBorders/>
            <w:vAlign w:val="center"/>
          </w:tcPr>
          <w:p>
            <w:pPr>
              <w:pStyle w:val="TableContents"/>
              <w:bidi w:val="0"/>
              <w:spacing w:before="0" w:after="283"/>
              <w:jc w:val="left"/>
              <w:rPr>
                <w:sz w:val="4"/>
                <w:szCs w:val="4"/>
              </w:rPr>
            </w:pPr>
            <w:r>
              <w:rPr>
                <w:sz w:val="4"/>
                <w:szCs w:val="4"/>
              </w:rPr>
            </w:r>
          </w:p>
        </w:tc>
        <w:tc>
          <w:tcPr>
            <w:tcW w:w="4085" w:type="dxa"/>
            <w:gridSpan w:val="2"/>
            <w:tcBorders/>
            <w:vAlign w:val="center"/>
          </w:tcPr>
          <w:p>
            <w:pPr>
              <w:pStyle w:val="TableContents"/>
              <w:bidi w:val="0"/>
              <w:spacing w:before="0" w:after="283"/>
              <w:jc w:val="left"/>
              <w:rPr>
                <w:sz w:val="4"/>
                <w:szCs w:val="4"/>
              </w:rPr>
            </w:pPr>
            <w:r>
              <w:rPr>
                <w:sz w:val="4"/>
                <w:szCs w:val="4"/>
              </w:rPr>
            </w:r>
          </w:p>
        </w:tc>
        <w:tc>
          <w:tcPr>
            <w:tcW w:w="485" w:type="dxa"/>
            <w:gridSpan w:val="2"/>
            <w:tcBorders/>
            <w:vAlign w:val="center"/>
          </w:tcPr>
          <w:p>
            <w:pPr>
              <w:pStyle w:val="TableContents"/>
              <w:bidi w:val="0"/>
              <w:spacing w:before="0" w:after="283"/>
              <w:jc w:val="left"/>
              <w:rPr>
                <w:sz w:val="4"/>
                <w:szCs w:val="4"/>
              </w:rPr>
            </w:pPr>
            <w:r>
              <w:rPr>
                <w:sz w:val="4"/>
                <w:szCs w:val="4"/>
              </w:rPr>
            </w:r>
          </w:p>
        </w:tc>
        <w:tc>
          <w:tcPr>
            <w:tcW w:w="825" w:type="dxa"/>
            <w:gridSpan w:val="2"/>
            <w:tcBorders/>
            <w:vAlign w:val="center"/>
          </w:tcPr>
          <w:p>
            <w:pPr>
              <w:pStyle w:val="TableContents"/>
              <w:bidi w:val="0"/>
              <w:spacing w:before="0" w:after="283"/>
              <w:jc w:val="left"/>
              <w:rPr>
                <w:sz w:val="4"/>
                <w:szCs w:val="4"/>
              </w:rPr>
            </w:pPr>
            <w:r>
              <w:rPr>
                <w:sz w:val="4"/>
                <w:szCs w:val="4"/>
              </w:rPr>
            </w:r>
          </w:p>
        </w:tc>
        <w:tc>
          <w:tcPr>
            <w:tcW w:w="4092" w:type="dxa"/>
            <w:gridSpan w:val="2"/>
            <w:tcBorders/>
            <w:vAlign w:val="center"/>
          </w:tcPr>
          <w:p>
            <w:pPr>
              <w:pStyle w:val="TableContents"/>
              <w:bidi w:val="0"/>
              <w:spacing w:before="0" w:after="283"/>
              <w:jc w:val="left"/>
              <w:rPr>
                <w:sz w:val="4"/>
                <w:szCs w:val="4"/>
              </w:rPr>
            </w:pPr>
            <w:r>
              <w:rPr>
                <w:sz w:val="4"/>
                <w:szCs w:val="4"/>
              </w:rPr>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pPr>
            <w:r>
              <w:rPr/>
              <w:t> </w:t>
            </w:r>
            <w:r>
              <w:rPr/>
              <w:t>Title:</w:t>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pBdr>
                <w:bottom w:val="single" w:sz="2" w:space="1" w:color="000000"/>
              </w:pBdr>
              <w:bidi w:val="0"/>
              <w:spacing w:before="0" w:after="20"/>
              <w:jc w:val="left"/>
              <w:rPr/>
            </w:pPr>
            <w:r>
              <w:rPr/>
              <w:t> </w:t>
            </w:r>
          </w:p>
        </w:tc>
      </w:tr>
      <w:tr>
        <w:trPr/>
        <w:tc>
          <w:tcPr>
            <w:tcW w:w="718"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7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719"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3986" w:type="dxa"/>
            <w:tcBorders/>
            <w:vAlign w:val="bottom"/>
          </w:tcPr>
          <w:p>
            <w:pPr>
              <w:pStyle w:val="TableContents"/>
              <w:bidi w:val="0"/>
              <w:spacing w:before="0" w:after="283"/>
              <w:jc w:val="left"/>
              <w:rPr>
                <w:i/>
              </w:rPr>
            </w:pPr>
            <w:r>
              <w:rPr>
                <w:i/>
              </w:rPr>
              <w:t>(please print full 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Lock-Up Agreement Signature Page</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13784dex41.htm"/>
      <w:bookmarkStart w:id="5" w:name="ksd113784dex41"/>
      <w:bookmarkEnd w:id="4"/>
      <w:bookmarkEnd w:id="5"/>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52"/>
        <w:gridCol w:w="120"/>
        <w:gridCol w:w="5333"/>
      </w:tblGrid>
      <w:tr>
        <w:trPr/>
        <w:tc>
          <w:tcPr>
            <w:tcW w:w="47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333" w:type="dxa"/>
            <w:tcBorders/>
            <w:vAlign w:val="center"/>
          </w:tcPr>
          <w:p>
            <w:pPr>
              <w:pStyle w:val="TableContents"/>
              <w:bidi w:val="0"/>
              <w:spacing w:before="0" w:after="283"/>
              <w:jc w:val="left"/>
              <w:rPr>
                <w:sz w:val="4"/>
                <w:szCs w:val="4"/>
              </w:rPr>
            </w:pPr>
            <w:r>
              <w:rPr>
                <w:sz w:val="4"/>
                <w:szCs w:val="4"/>
              </w:rPr>
            </w:r>
          </w:p>
        </w:tc>
      </w:tr>
      <w:tr>
        <w:trPr/>
        <w:tc>
          <w:tcPr>
            <w:tcW w:w="4752" w:type="dxa"/>
            <w:tcBorders/>
          </w:tcPr>
          <w:p>
            <w:pPr>
              <w:pStyle w:val="TableContents"/>
              <w:bidi w:val="0"/>
              <w:spacing w:before="0" w:after="0"/>
              <w:jc w:val="left"/>
              <w:rPr>
                <w:rFonts w:ascii="Times New Roman" w:hAnsi="Times New Roman"/>
                <w:sz w:val="20"/>
              </w:rPr>
            </w:pPr>
            <w:r>
              <w:rPr>
                <w:rFonts w:ascii="Times New Roman" w:hAnsi="Times New Roman"/>
                <w:sz w:val="20"/>
              </w:rPr>
              <w:t>Warrant No. [ ]</w:t>
            </w:r>
          </w:p>
        </w:tc>
        <w:tc>
          <w:tcPr>
            <w:tcW w:w="120" w:type="dxa"/>
            <w:tcBorders/>
            <w:vAlign w:val="bottom"/>
          </w:tcPr>
          <w:p>
            <w:pPr>
              <w:pStyle w:val="TableContents"/>
              <w:bidi w:val="0"/>
              <w:spacing w:before="0" w:after="283"/>
              <w:jc w:val="left"/>
              <w:rPr/>
            </w:pPr>
            <w:r>
              <w:rPr/>
              <w:t>  </w:t>
            </w:r>
          </w:p>
        </w:tc>
        <w:tc>
          <w:tcPr>
            <w:tcW w:w="5333" w:type="dxa"/>
            <w:tcBorders/>
            <w:vAlign w:val="bottom"/>
          </w:tcPr>
          <w:p>
            <w:pPr>
              <w:pStyle w:val="TableContents"/>
              <w:bidi w:val="0"/>
              <w:spacing w:before="0" w:after="283"/>
              <w:jc w:val="right"/>
              <w:rPr/>
            </w:pPr>
            <w:r>
              <w:rPr/>
              <w:t>Original Issue Date: September [ ], 2026</w:t>
            </w:r>
          </w:p>
        </w:tc>
      </w:tr>
    </w:tbl>
    <w:p>
      <w:pPr>
        <w:pStyle w:val="TextBody"/>
        <w:bidi w:val="0"/>
        <w:spacing w:before="240" w:after="0"/>
        <w:jc w:val="left"/>
        <w:rPr>
          <w:rFonts w:ascii="Times New Roman" w:hAnsi="Times New Roman"/>
          <w:sz w:val="20"/>
        </w:rPr>
      </w:pPr>
      <w:r>
        <w:rPr>
          <w:rFonts w:ascii="Times New Roman" w:hAnsi="Times New Roman"/>
          <w:sz w:val="20"/>
        </w:rPr>
        <w:t>PMV Pharmaceuticals,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$0.00001 (as adjusted from time to time as provided in </w:t>
      </w:r>
      <w:r>
        <w:rPr>
          <w:rFonts w:ascii="Times New Roman" w:hAnsi="Times New Roman"/>
          <w:sz w:val="20"/>
          <w:u w:val="single"/>
        </w:rPr>
        <w:t>Section</w:t>
      </w:r>
      <w:r>
        <w:rPr>
          <w:rFonts w:ascii="Times New Roman" w:hAnsi="Times New Roman"/>
          <w:sz w:val="20"/>
        </w:rPr>
        <w:t> 9 herein, the “</w:t>
      </w:r>
      <w:r>
        <w:rPr>
          <w:rFonts w:ascii="Times New Roman" w:hAnsi="Times New Roman"/>
          <w:i/>
          <w:sz w:val="20"/>
        </w:rPr>
        <w:t>Exercise Price</w:t>
      </w:r>
      <w:r>
        <w:rPr>
          <w:rFonts w:ascii="Times New Roman" w:hAnsi="Times New Roman"/>
          <w:sz w:val="20"/>
        </w:rPr>
        <w:t xml:space="preserve">”) upon exercise of this </w:t>
      </w:r>
      <w:r>
        <w:rPr>
          <w:rFonts w:ascii="Times New Roman" w:hAnsi="Times New Roman"/>
          <w:i/>
          <w:sz w:val="20"/>
        </w:rPr>
        <w:t>Pre-Funded Warrant to Purchase Common Stock</w:t>
      </w:r>
      <w:r>
        <w:rPr>
          <w:rFonts w:ascii="Times New Roman" w:hAnsi="Times New Roman"/>
          <w:sz w:val="20"/>
        </w:rPr>
        <w:t xml:space="preserve"> (including any </w:t>
      </w:r>
      <w:r>
        <w:rPr>
          <w:rFonts w:ascii="Times New Roman" w:hAnsi="Times New Roman"/>
          <w:i/>
          <w:sz w:val="20"/>
        </w:rPr>
        <w:t>Pre-Funded Warrants to Purchase Common Stock</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Registration Statement</w:t>
      </w:r>
      <w:r>
        <w:rPr>
          <w:rFonts w:ascii="Times New Roman" w:hAnsi="Times New Roman"/>
          <w:sz w:val="20"/>
        </w:rPr>
        <w:t xml:space="preserve">” means the Company’s Registration Statement on Form S-3 (File No. 333-283349, declared effective on November 27,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Transfer Agent</w:t>
      </w:r>
      <w:r>
        <w:rPr>
          <w:rFonts w:ascii="Times New Roman" w:hAnsi="Times New Roman"/>
          <w:sz w:val="20"/>
        </w:rPr>
        <w:t xml:space="preserve">” means Equiniti Trust Company, LLC,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such rights shall not expire until exercised in full. </w:t>
      </w:r>
    </w:p>
    <w:p>
      <w:pPr>
        <w:pStyle w:val="TextBody"/>
        <w:bidi w:val="0"/>
        <w:spacing w:before="12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number of Trading Days comprising the Standard Settlement Period following the date of exercise as aforesaid, the Holder shall deliver the aggregate Exercise Price for the number of Warrant Shares specified in the applicable Exercise Notice by wire transfer or cashier’s check drawn on a United States bank unless the cashless exercise procedure specified in </w:t>
      </w:r>
      <w:r>
        <w:rPr>
          <w:rFonts w:ascii="Times New Roman" w:hAnsi="Times New Roman"/>
          <w:sz w:val="20"/>
          <w:u w:val="single"/>
        </w:rPr>
        <w:t>Section 10</w:t>
      </w:r>
      <w:r>
        <w:rPr>
          <w:rFonts w:ascii="Times New Roman" w:hAnsi="Times New Roman"/>
          <w:sz w:val="20"/>
        </w:rPr>
        <w:t xml:space="preserve">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Exercise Notice within one (1) Trading Day of receipt of such notice. The aggregate exercise price of this Warrant, except for the Exercise Price, was pre-funded to the Company on or before the Original Issue Date, and consequently no additional consideration (other than the Exercise Price) shall be required to be paid by the Holder to effect any exercise of this Warrant. The Holder shall not be entitled to the return or refund of all or any portion of such pre-funded exercise price under any circumstance or for any reason whatsoever. </w:t>
      </w:r>
      <w:r>
        <w:rPr>
          <w:rFonts w:ascii="Times New Roman" w:hAnsi="Times New Roman"/>
          <w:b/>
          <w:sz w:val="20"/>
        </w:rPr>
        <w:t>The Holder and any assignee, by acceptance of this Warrant, acknowledge and agree that, by reason of the provisions of this paragraph, following the purchase</w:t>
      </w:r>
      <w:r>
        <w:rPr>
          <w:rFonts w:ascii="Times New Roman" w:hAnsi="Times New Roman"/>
          <w:sz w:val="20"/>
        </w:rPr>
        <w:t> </w:t>
      </w:r>
      <w:r>
        <w:rPr>
          <w:rFonts w:ascii="Times New Roman" w:hAnsi="Times New Roman"/>
          <w:b/>
          <w:sz w:val="20"/>
        </w:rPr>
        <w:t>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Upon exercise of this Warrant, the Company shall or will cause its Transfer Agent to, promptly (but in no event later than the number of Trading Days comprising the Standard Settlement Period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within such Standard Settlement Period, and if after such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two (2)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or to cause the Transfer Agent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w:t>
      </w:r>
    </w:p>
    <w:p>
      <w:pPr>
        <w:pStyle w:val="TextBody"/>
        <w:bidi w:val="0"/>
        <w:spacing w:before="240" w:after="0"/>
        <w:jc w:val="left"/>
        <w:rPr>
          <w:rFonts w:ascii="Times New Roman" w:hAnsi="Times New Roman"/>
          <w:sz w:val="20"/>
        </w:rPr>
      </w:pPr>
      <w:r>
        <w:rPr>
          <w:rFonts w:ascii="Times New Roman" w:hAnsi="Times New Roman"/>
          <w:sz w:val="20"/>
        </w:rPr>
        <w:t>The Company shall cause, to the extent the Fundamental Transaction is within the Company’s control, any successor entity in a Fundamental Transaction in which the Company is not the survivor (the “</w:t>
      </w:r>
      <w:r>
        <w:rPr>
          <w:rFonts w:ascii="Times New Roman" w:hAnsi="Times New Roman"/>
          <w:i/>
          <w:sz w:val="20"/>
        </w:rPr>
        <w:t>Successor Entity</w:t>
      </w:r>
      <w:r>
        <w:rPr>
          <w:rFonts w:ascii="Times New Roman" w:hAnsi="Times New Roman"/>
          <w:sz w:val="20"/>
        </w:rPr>
        <w:t xml:space="preserve">”)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 in Limited Circumstances</w:t>
      </w:r>
      <w:r>
        <w:rPr>
          <w:rFonts w:ascii="Times New Roman" w:hAnsi="Times New Roman"/>
          <w:sz w:val="20"/>
        </w:rPr>
        <w:t xml:space="preserve">. This Warrant may only be exercised for cash, provided, however, if at the time of exercise hereof there is no effective registration statement registering, or the prospectus contained therein is not available for the issuance of, the Warrant Shares to the holders, then this Warrant may also be exercised, in whole or in part, by means of a “cashless exercise,” in which event the Company shall issue to the Holder the number of Warrant Shares in an exchange of securities effected pursuant to Section 3(a)(9) of the Securities Act, as determined as follows: </w:t>
      </w:r>
    </w:p>
    <w:p>
      <w:pPr>
        <w:pStyle w:val="TextBody"/>
        <w:bidi w:val="0"/>
        <w:spacing w:before="0" w:after="0"/>
        <w:jc w:val="left"/>
        <w:rPr/>
      </w:pPr>
      <w:r>
        <w:rPr/>
        <w:t> </w:t>
      </w:r>
    </w:p>
    <w:p>
      <w:pPr>
        <w:pStyle w:val="TextBody"/>
        <w:bidi w:val="0"/>
        <w:spacing w:before="0" w:after="0"/>
        <w:jc w:val="center"/>
        <w:rPr/>
      </w:pPr>
      <w:r>
        <w:rPr/>
        <w:drawing>
          <wp:inline distT="0" distB="0" distL="0" distR="0">
            <wp:extent cx="971550"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71550" cy="219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per Warrant Share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the Warrants being exercised (provided that the Commission continues to take the position that such treatment is proper at the time of such exercise). 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Persons who are members of a Section 13(d) group with such Holder or its Affiliates to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 are members of a Section 13(d) group with such Holder or its Affiliates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and any other Persons who are members of a Section 13(d) group with such Holder or its Affiliates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110"/>
        <w:gridCol w:w="210"/>
        <w:gridCol w:w="1762"/>
      </w:tblGrid>
      <w:tr>
        <w:trPr/>
        <w:tc>
          <w:tcPr>
            <w:tcW w:w="2110"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PMV PHARMACEUTICALS, INC.</w:t>
            </w:r>
          </w:p>
        </w:tc>
      </w:tr>
      <w:tr>
        <w:trPr>
          <w:trHeight w:val="240" w:hRule="atLeast"/>
        </w:trPr>
        <w:tc>
          <w:tcPr>
            <w:tcW w:w="2110" w:type="dxa"/>
            <w:tcBorders/>
            <w:vAlign w:val="center"/>
          </w:tcPr>
          <w:p>
            <w:pPr>
              <w:pStyle w:val="TableContents"/>
              <w:bidi w:val="0"/>
              <w:spacing w:before="0" w:after="283"/>
              <w:jc w:val="left"/>
              <w:rPr>
                <w:sz w:val="4"/>
                <w:szCs w:val="4"/>
              </w:rPr>
            </w:pPr>
            <w:r>
              <w:rPr>
                <w:sz w:val="4"/>
                <w:szCs w:val="4"/>
              </w:rPr>
            </w:r>
          </w:p>
        </w:tc>
        <w:tc>
          <w:tcPr>
            <w:tcW w:w="1972" w:type="dxa"/>
            <w:gridSpan w:val="2"/>
            <w:tcBorders/>
            <w:vAlign w:val="center"/>
          </w:tcPr>
          <w:p>
            <w:pPr>
              <w:pStyle w:val="TableContents"/>
              <w:bidi w:val="0"/>
              <w:spacing w:before="0" w:after="283"/>
              <w:jc w:val="left"/>
              <w:rPr>
                <w:sz w:val="4"/>
                <w:szCs w:val="4"/>
              </w:rPr>
            </w:pPr>
            <w:r>
              <w:rPr>
                <w:sz w:val="4"/>
                <w:szCs w:val="4"/>
              </w:rPr>
            </w:r>
          </w:p>
        </w:tc>
      </w:tr>
      <w:tr>
        <w:trPr/>
        <w:tc>
          <w:tcPr>
            <w:tcW w:w="2110" w:type="dxa"/>
            <w:tcBorders/>
          </w:tcPr>
          <w:p>
            <w:pPr>
              <w:pStyle w:val="TableContents"/>
              <w:bidi w:val="0"/>
              <w:spacing w:before="0" w:after="283"/>
              <w:jc w:val="left"/>
              <w:rPr/>
            </w:pPr>
            <w:r>
              <w:rPr/>
              <w:t>By:</w:t>
            </w:r>
          </w:p>
        </w:tc>
        <w:tc>
          <w:tcPr>
            <w:tcW w:w="210" w:type="dxa"/>
            <w:tcBorders/>
            <w:vAlign w:val="bottom"/>
          </w:tcPr>
          <w:p>
            <w:pPr>
              <w:pStyle w:val="TableContents"/>
              <w:bidi w:val="0"/>
              <w:spacing w:before="0" w:after="283"/>
              <w:jc w:val="left"/>
              <w:rPr/>
            </w:pPr>
            <w:r>
              <w:rPr/>
              <w:t> </w:t>
            </w:r>
          </w:p>
        </w:tc>
        <w:tc>
          <w:tcPr>
            <w:tcW w:w="1762" w:type="dxa"/>
            <w:tcBorders/>
          </w:tcPr>
          <w:p>
            <w:pPr>
              <w:pStyle w:val="TableContents"/>
              <w:pBdr>
                <w:bottom w:val="single" w:sz="2" w:space="1" w:color="000000"/>
              </w:pBdr>
              <w:bidi w:val="0"/>
              <w:spacing w:before="0" w:after="20"/>
              <w:jc w:val="left"/>
              <w:rPr/>
            </w:pPr>
            <w:r>
              <w:rPr/>
              <w:t> </w:t>
            </w:r>
          </w:p>
        </w:tc>
      </w:tr>
      <w:tr>
        <w:trPr/>
        <w:tc>
          <w:tcPr>
            <w:tcW w:w="2110" w:type="dxa"/>
            <w:tcBorders/>
          </w:tcPr>
          <w:p>
            <w:pPr>
              <w:pStyle w:val="TableContents"/>
              <w:bidi w:val="0"/>
              <w:spacing w:before="0" w:after="283"/>
              <w:jc w:val="left"/>
              <w:rPr/>
            </w:pPr>
            <w:r>
              <w:rPr/>
              <w:t>Name:</w:t>
            </w:r>
          </w:p>
        </w:tc>
        <w:tc>
          <w:tcPr>
            <w:tcW w:w="210" w:type="dxa"/>
            <w:tcBorders/>
            <w:vAlign w:val="bottom"/>
          </w:tcPr>
          <w:p>
            <w:pPr>
              <w:pStyle w:val="TableContents"/>
              <w:bidi w:val="0"/>
              <w:spacing w:before="0" w:after="283"/>
              <w:jc w:val="left"/>
              <w:rPr/>
            </w:pPr>
            <w:r>
              <w:rPr/>
              <w:t> </w:t>
            </w:r>
          </w:p>
        </w:tc>
        <w:tc>
          <w:tcPr>
            <w:tcW w:w="1762" w:type="dxa"/>
            <w:tcBorders/>
          </w:tcPr>
          <w:p>
            <w:pPr>
              <w:pStyle w:val="TableContents"/>
              <w:bidi w:val="0"/>
              <w:spacing w:before="0" w:after="283"/>
              <w:jc w:val="left"/>
              <w:rPr>
                <w:sz w:val="4"/>
                <w:szCs w:val="4"/>
              </w:rPr>
            </w:pPr>
            <w:r>
              <w:rPr>
                <w:sz w:val="4"/>
                <w:szCs w:val="4"/>
              </w:rPr>
            </w:r>
          </w:p>
        </w:tc>
      </w:tr>
      <w:tr>
        <w:trPr/>
        <w:tc>
          <w:tcPr>
            <w:tcW w:w="2110" w:type="dxa"/>
            <w:tcBorders/>
          </w:tcPr>
          <w:p>
            <w:pPr>
              <w:pStyle w:val="TableContents"/>
              <w:bidi w:val="0"/>
              <w:spacing w:before="0" w:after="283"/>
              <w:jc w:val="left"/>
              <w:rPr/>
            </w:pPr>
            <w:r>
              <w:rPr/>
              <w:t>Title:</w:t>
            </w:r>
          </w:p>
        </w:tc>
        <w:tc>
          <w:tcPr>
            <w:tcW w:w="210" w:type="dxa"/>
            <w:tcBorders/>
            <w:vAlign w:val="bottom"/>
          </w:tcPr>
          <w:p>
            <w:pPr>
              <w:pStyle w:val="TableContents"/>
              <w:bidi w:val="0"/>
              <w:spacing w:before="0" w:after="283"/>
              <w:jc w:val="left"/>
              <w:rPr/>
            </w:pPr>
            <w:r>
              <w:rPr/>
              <w:t> </w:t>
            </w:r>
          </w:p>
        </w:tc>
        <w:tc>
          <w:tcPr>
            <w:tcW w:w="176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PMV Pharmaceuticals,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t xml:space="preserve">☐ </w:t>
            </w:r>
            <w:r>
              <w:rPr>
                <w:rFonts w:ascii="Times New Roman" w:hAnsi="Times New Roman"/>
                <w:sz w:val="20"/>
              </w:rPr>
              <w:t>Cash Exercise</w:t>
            </w:r>
          </w:p>
        </w:tc>
      </w:tr>
      <w:tr>
        <w:trPr/>
        <w:tc>
          <w:tcPr>
            <w:tcW w:w="10205" w:type="dxa"/>
            <w:tcBorders/>
          </w:tcPr>
          <w:p>
            <w:pPr>
              <w:pStyle w:val="TableContents"/>
              <w:bidi w:val="0"/>
              <w:spacing w:before="0" w:after="0"/>
              <w:jc w:val="left"/>
              <w:rPr/>
            </w:pPr>
            <w:r>
              <w:rPr/>
              <w:t xml:space="preserve">☐ </w:t>
            </w:r>
            <w:r>
              <w:rPr>
                <w:rFonts w:ascii="Times New Roman" w:hAnsi="Times New Roman"/>
                <w:sz w:val="20"/>
              </w:rPr>
              <w:t>if permitted in accordance with Section 10 of the Warrant, “Cashless Exercise in Limited Circumstances.”</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Name of Holder: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c>
          <w:tcPr>
            <w:tcW w:w="735"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right"/>
        <w:rPr>
          <w:rFonts w:ascii="Times New Roman" w:hAnsi="Times New Roman"/>
          <w:b/>
          <w:sz w:val="20"/>
        </w:rPr>
      </w:pPr>
      <w:bookmarkStart w:id="6" w:name="d113784dex42.htm"/>
      <w:bookmarkStart w:id="7" w:name="ksd113784dex42"/>
      <w:bookmarkEnd w:id="6"/>
      <w:bookmarkEnd w:id="7"/>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PMV PHARMACEUTICALS,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WARRANT TO PURCHASE COMMON STOCK OR PRE-FUNDED WARRANTS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3"/>
        <w:gridCol w:w="126"/>
        <w:gridCol w:w="4936"/>
      </w:tblGrid>
      <w:tr>
        <w:trPr/>
        <w:tc>
          <w:tcPr>
            <w:tcW w:w="514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936" w:type="dxa"/>
            <w:tcBorders/>
            <w:vAlign w:val="center"/>
          </w:tcPr>
          <w:p>
            <w:pPr>
              <w:pStyle w:val="TableContents"/>
              <w:bidi w:val="0"/>
              <w:spacing w:before="0" w:after="283"/>
              <w:jc w:val="left"/>
              <w:rPr>
                <w:sz w:val="4"/>
                <w:szCs w:val="4"/>
              </w:rPr>
            </w:pPr>
            <w:r>
              <w:rPr>
                <w:sz w:val="4"/>
                <w:szCs w:val="4"/>
              </w:rPr>
            </w:r>
          </w:p>
        </w:tc>
      </w:tr>
      <w:tr>
        <w:trPr/>
        <w:tc>
          <w:tcPr>
            <w:tcW w:w="5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Warrant No. [ ]</w:t>
            </w:r>
          </w:p>
        </w:tc>
        <w:tc>
          <w:tcPr>
            <w:tcW w:w="126" w:type="dxa"/>
            <w:tcBorders/>
            <w:vAlign w:val="bottom"/>
          </w:tcPr>
          <w:p>
            <w:pPr>
              <w:pStyle w:val="TableContents"/>
              <w:bidi w:val="0"/>
              <w:spacing w:before="0" w:after="283"/>
              <w:jc w:val="left"/>
              <w:rPr/>
            </w:pPr>
            <w:r>
              <w:rPr/>
              <w:t>  </w:t>
            </w:r>
          </w:p>
        </w:tc>
        <w:tc>
          <w:tcPr>
            <w:tcW w:w="4936" w:type="dxa"/>
            <w:tcBorders/>
            <w:vAlign w:val="bottom"/>
          </w:tcPr>
          <w:p>
            <w:pPr>
              <w:pStyle w:val="TableContents"/>
              <w:bidi w:val="0"/>
              <w:spacing w:before="0" w:after="283"/>
              <w:jc w:val="right"/>
              <w:rPr/>
            </w:pPr>
            <w:r>
              <w:rPr/>
              <w:t>Original Issue Date: September [ ], 2026</w:t>
            </w:r>
          </w:p>
        </w:tc>
      </w:tr>
    </w:tbl>
    <w:p>
      <w:pPr>
        <w:pStyle w:val="TextBody"/>
        <w:bidi w:val="0"/>
        <w:spacing w:before="240" w:after="0"/>
        <w:jc w:val="left"/>
        <w:rPr>
          <w:rFonts w:ascii="Times New Roman" w:hAnsi="Times New Roman"/>
          <w:sz w:val="20"/>
        </w:rPr>
      </w:pPr>
      <w:r>
        <w:rPr>
          <w:rFonts w:ascii="Times New Roman" w:hAnsi="Times New Roman"/>
          <w:sz w:val="20"/>
        </w:rPr>
        <w:t>PMV Pharmaceuticals,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or in lieu thereof, Pre-Funded Warrants (as defined below) to purchase the same number of Warrant Shares (as subject to adjustment hereunder, including as set forth in </w:t>
      </w:r>
      <w:r>
        <w:rPr>
          <w:rFonts w:ascii="Times New Roman" w:hAnsi="Times New Roman"/>
          <w:sz w:val="20"/>
          <w:u w:val="single"/>
        </w:rPr>
        <w:t>Section 4(b)</w:t>
      </w:r>
      <w:r>
        <w:rPr>
          <w:rFonts w:ascii="Times New Roman" w:hAnsi="Times New Roman"/>
          <w:sz w:val="20"/>
        </w:rPr>
        <w:t xml:space="preserve">), at a purchase price per share equal to the Exercise Price, as defined in </w:t>
      </w:r>
      <w:r>
        <w:rPr>
          <w:rFonts w:ascii="Times New Roman" w:hAnsi="Times New Roman"/>
          <w:sz w:val="20"/>
          <w:u w:val="single"/>
        </w:rPr>
        <w:t>Section 4(c)</w:t>
      </w:r>
      <w:r>
        <w:rPr>
          <w:rFonts w:ascii="Times New Roman" w:hAnsi="Times New Roman"/>
          <w:sz w:val="20"/>
        </w:rPr>
        <w:t xml:space="preserve">, upon exercise of this </w:t>
      </w:r>
      <w:r>
        <w:rPr>
          <w:rFonts w:ascii="Times New Roman" w:hAnsi="Times New Roman"/>
          <w:i/>
          <w:sz w:val="20"/>
        </w:rPr>
        <w:t>Warrant to Purchase Common Stock or Pre-Funded Warrants</w:t>
      </w:r>
      <w:r>
        <w:rPr>
          <w:rFonts w:ascii="Times New Roman" w:hAnsi="Times New Roman"/>
          <w:sz w:val="20"/>
        </w:rPr>
        <w:t xml:space="preserve"> (including any </w:t>
      </w:r>
      <w:r>
        <w:rPr>
          <w:rFonts w:ascii="Times New Roman" w:hAnsi="Times New Roman"/>
          <w:i/>
          <w:sz w:val="20"/>
        </w:rPr>
        <w:t>Warrants to Purchase Common Stock or Pre-Funded Warrants</w:t>
      </w:r>
      <w:r>
        <w:rPr>
          <w:rFonts w:ascii="Times New Roman" w:hAnsi="Times New Roman"/>
          <w:sz w:val="20"/>
        </w:rPr>
        <w:t xml:space="preserve"> issued in exchange, transfer or replacement hereof, the “</w:t>
      </w:r>
      <w:r>
        <w:rPr>
          <w:rFonts w:ascii="Times New Roman" w:hAnsi="Times New Roman"/>
          <w:i/>
          <w:sz w:val="20"/>
        </w:rPr>
        <w:t>Warrant</w:t>
      </w:r>
      <w:r>
        <w:rPr>
          <w:rFonts w:ascii="Times New Roman" w:hAnsi="Times New Roman"/>
          <w:sz w:val="20"/>
        </w:rPr>
        <w:t>”) at any time and from time to time on or after the date hereof (the “</w:t>
      </w:r>
      <w:r>
        <w:rPr>
          <w:rFonts w:ascii="Times New Roman" w:hAnsi="Times New Roman"/>
          <w:i/>
          <w:sz w:val="20"/>
        </w:rPr>
        <w:t>Original Issue Date</w:t>
      </w:r>
      <w:r>
        <w:rPr>
          <w:rFonts w:ascii="Times New Roman" w:hAnsi="Times New Roman"/>
          <w:sz w:val="20"/>
        </w:rPr>
        <w:t>”) and on or prior to 5:00 P.M., New York City Time on the five year anniversary of the Original Issue Date (the “</w:t>
      </w:r>
      <w:r>
        <w:rPr>
          <w:rFonts w:ascii="Times New Roman" w:hAnsi="Times New Roman"/>
          <w:i/>
          <w:sz w:val="20"/>
        </w:rPr>
        <w:t>Termination Date</w:t>
      </w:r>
      <w:r>
        <w:rPr>
          <w:rFonts w:ascii="Times New Roman" w:hAnsi="Times New Roman"/>
          <w:sz w:val="20"/>
        </w:rPr>
        <w:t xml:space="preserve">”), but not thereafter, subject to the following terms and conditions: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Closing Sale Price</w:t>
      </w:r>
      <w:r>
        <w:rPr>
          <w:rFonts w:ascii="Times New Roman" w:hAnsi="Times New Roman"/>
          <w:sz w:val="20"/>
        </w:rPr>
        <w:t xml:space="preserve">”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“pink sheets” by Pink Sheets LLC.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Pre-Funded Warrants</w:t>
      </w:r>
      <w:r>
        <w:rPr>
          <w:rFonts w:ascii="Times New Roman" w:hAnsi="Times New Roman"/>
          <w:sz w:val="20"/>
        </w:rPr>
        <w:t xml:space="preserve">” means the pre-funded warrants to purchase a number of shares of Common Stock equal to the number of Warrant Shares as to which this Warrant is being exercised in the form of a Pre-Funded Warrant attached as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i/>
          <w:sz w:val="20"/>
        </w:rPr>
        <w:t>Pre-Funded Warrant Exercise Price</w:t>
      </w:r>
      <w:r>
        <w:rPr>
          <w:rFonts w:ascii="Times New Roman" w:hAnsi="Times New Roman"/>
          <w:sz w:val="20"/>
        </w:rPr>
        <w:t xml:space="preserve">” equals $0.00001 per share of Common Stock, subject to adjustment for reverse and forward share splits, share dividends, share combinations, ratio changes and other similar transactions of the shares of Common Stock that occur after the Original Issue Date; provided, that in no event shall the Pre-Funded Warrant Exercise Price be adjusted to an amount below the par value of the shares.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Global Select Market.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i/>
          <w:sz w:val="20"/>
        </w:rPr>
        <w:t>Registration Statement</w:t>
      </w:r>
      <w:r>
        <w:rPr>
          <w:rFonts w:ascii="Times New Roman" w:hAnsi="Times New Roman"/>
          <w:sz w:val="20"/>
        </w:rPr>
        <w:t xml:space="preserve">” means the Company’s Registration Statement on Form S-3 (File No. 333-283349, declared effective on November 27, 2024.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i/>
          <w:sz w:val="20"/>
        </w:rPr>
        <w:t>Standard Settlement Period</w:t>
      </w:r>
      <w:r>
        <w:rPr>
          <w:rFonts w:ascii="Times New Roman" w:hAnsi="Times New Roman"/>
          <w:sz w:val="20"/>
        </w:rPr>
        <w:t xml:space="preserve">” means the standard settlement period, expressed in a number of Trading Days, on the Company’s Principal Trading Market with respect to the Common Stock as in effect on the date of delivery of the Exercise Notice.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i/>
          <w:sz w:val="20"/>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i/>
          <w:sz w:val="20"/>
        </w:rPr>
        <w:t>Transfer Agent</w:t>
      </w:r>
      <w:r>
        <w:rPr>
          <w:rFonts w:ascii="Times New Roman" w:hAnsi="Times New Roman"/>
          <w:sz w:val="20"/>
        </w:rPr>
        <w:t xml:space="preserve">” means Equiniti Trust Company, LLC, the Company’s transfer agent and registrar for the Common Stock, and any successor appointed in such capacity.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i/>
          <w:sz w:val="20"/>
        </w:rPr>
        <w:t>VWAP</w:t>
      </w:r>
      <w:r>
        <w:rPr>
          <w:rFonts w:ascii="Times New Roman" w:hAnsi="Times New Roman"/>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hAnsi="Times New Roman"/>
          <w:i/>
          <w:sz w:val="20"/>
        </w:rPr>
        <w:t>OTCQB</w:t>
      </w:r>
      <w:r>
        <w:rPr>
          <w:rFonts w:ascii="Times New Roman" w:hAnsi="Times New Roman"/>
          <w:sz w:val="20"/>
        </w:rPr>
        <w:t>”) or the OTCQX Best Market (“</w:t>
      </w:r>
      <w:r>
        <w:rPr>
          <w:rFonts w:ascii="Times New Roman" w:hAnsi="Times New Roman"/>
          <w:i/>
          <w:sz w:val="20"/>
        </w:rPr>
        <w:t>OTCQX</w:t>
      </w:r>
      <w:r>
        <w:rPr>
          <w:rFonts w:ascii="Times New Roman" w:hAnsi="Times New Roman"/>
          <w:sz w:val="20"/>
        </w:rPr>
        <w:t xml:space="preserve">”)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sheets” by Pink Sheets LLC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of Securities; Registration of Warrants</w:t>
      </w:r>
      <w:r>
        <w:rPr>
          <w:rFonts w:ascii="Times New Roman" w:hAnsi="Times New Roman"/>
          <w:sz w:val="20"/>
        </w:rPr>
        <w:t>. The Warrant, as initially issued by the Company, is offered and sold pursuant to the Registration Statement. As of the Original Issue Date, the Warrant Shares and Pre-Funded Warrants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or Pre-Funded Warrants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and on or before the Termination Date. </w:t>
      </w:r>
    </w:p>
    <w:p>
      <w:pPr>
        <w:pStyle w:val="TextBody"/>
        <w:bidi w:val="0"/>
        <w:spacing w:before="120" w:after="0"/>
        <w:jc w:val="left"/>
        <w:rPr>
          <w:rFonts w:ascii="Times New Roman" w:hAnsi="Times New Roman"/>
          <w:sz w:val="20"/>
        </w:rPr>
      </w:pPr>
      <w:r>
        <w:rPr>
          <w:rFonts w:ascii="Times New Roman" w:hAnsi="Times New Roman"/>
          <w:sz w:val="20"/>
        </w:rPr>
        <w:t xml:space="preserve">(b) Exercise of the purchase rights represented by this Warrant may be made, in whole or in part, at any time or times on or after the Original Issue Date and on or before the Termination Date by delivery to the Company of a duly executed facsimile copy or PDF copy submitted by e-mail (or e-mail attachment) of the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and the date of receipt of such Exercise Notice, the “</w:t>
      </w:r>
      <w:r>
        <w:rPr>
          <w:rFonts w:ascii="Times New Roman" w:hAnsi="Times New Roman"/>
          <w:i/>
          <w:sz w:val="20"/>
        </w:rPr>
        <w:t>Exercise Date</w:t>
      </w:r>
      <w:r>
        <w:rPr>
          <w:rFonts w:ascii="Times New Roman" w:hAnsi="Times New Roman"/>
          <w:sz w:val="20"/>
        </w:rPr>
        <w:t xml:space="preserve">”). Within the number of Trading Days comprising the Standard Settlement Period following the date of exercise as aforesaid, the Holder shall deliver (A) the aggregate Exercise Price for the number of Warrant Shares specified in the applicable Exercise Notice, if this Warrant is being exercised for Warrant Shares, or (B) the aggregate Exercise Price minus the aggregate Pre-Funded Warrant Exercise Price for the number of Pre-Funded Warrants specified in the applicable Exercise Notice, if this Warrant is being exercised for Pre-Funded Warrants, in each case by wire transfer or cashier’s check drawn on a United States bank unless the cashless exercise procedure specified in </w:t>
      </w:r>
      <w:r>
        <w:rPr>
          <w:rFonts w:ascii="Times New Roman" w:hAnsi="Times New Roman"/>
          <w:sz w:val="20"/>
          <w:u w:val="single"/>
        </w:rPr>
        <w:t>Section 10</w:t>
      </w:r>
      <w:r>
        <w:rPr>
          <w:rFonts w:ascii="Times New Roman" w:hAnsi="Times New Roman"/>
          <w:sz w:val="20"/>
        </w:rPr>
        <w:t xml:space="preserve"> is specified in the applicable Exercise Notice. No ink-original Exercise Notice shall be required, nor shall any medallion guarantee (or other type of guarantee or notarization) of any Exercise Notice be required. Notwithstanding anything herein to the contrary, the Holder shall not be required to physically surrender this Warrant to the Company until the Holder has purchased all of the Warrant Shares or Pre-Funded Warrants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or Pre-Funded Warrants available hereunder shall have the effect of lowering the outstanding number of Warrant Shares or Pre-Funded Warrants purchasable hereunder in an amount equal to the applicable number of Warrant Shares or Pre-Funded Warrants purchased. The Holder and the Company shall maintain records showing the number of Warrant Shares or Pre-Funded Warrants purchased and the date of such purchases. The Company shall deliver any objection to any Exercise Notice within one (1) Trading Day of receipt of such notice. </w:t>
      </w:r>
      <w:r>
        <w:rPr>
          <w:rFonts w:ascii="Times New Roman" w:hAnsi="Times New Roman"/>
          <w:b/>
          <w:sz w:val="20"/>
        </w:rPr>
        <w:t>The Holder and any assignee, by acceptance of this Warrant, acknowledge and agree that, by reason of the provisions of this paragraph, following the purchase</w:t>
      </w:r>
      <w:r>
        <w:rPr>
          <w:rFonts w:ascii="Times New Roman" w:hAnsi="Times New Roman"/>
          <w:sz w:val="20"/>
        </w:rPr>
        <w:t> </w:t>
      </w:r>
      <w:r>
        <w:rPr>
          <w:rFonts w:ascii="Times New Roman" w:hAnsi="Times New Roman"/>
          <w:b/>
          <w:sz w:val="20"/>
        </w:rPr>
        <w:t>of a portion of the Warrant Shares or Pre-Funded Warrants hereunder, the number of Warrant Shares or Pre-Funded Warrants available for purchase hereunder at any given time may be less than the amount stated on the face 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exercise price per share of Common Stock under this Warrant shall be $   , subject to adjustment hereunder (the “</w:t>
      </w:r>
      <w:r>
        <w:rPr>
          <w:rFonts w:ascii="Times New Roman" w:hAnsi="Times New Roman"/>
          <w:i/>
          <w:sz w:val="20"/>
        </w:rPr>
        <w:t>Exercise Price</w:t>
      </w:r>
      <w:r>
        <w:rPr>
          <w:rFonts w:ascii="Times New Roman" w:hAnsi="Times New Roman"/>
          <w:sz w:val="20"/>
        </w:rPr>
        <w:t>”). In addition, beginning on the date of the Company’s initial public announcement of the decision by the U.S. Food and Drug Administration (“</w:t>
      </w:r>
      <w:r>
        <w:rPr>
          <w:rFonts w:ascii="Times New Roman" w:hAnsi="Times New Roman"/>
          <w:i/>
          <w:sz w:val="20"/>
        </w:rPr>
        <w:t>FDA</w:t>
      </w:r>
      <w:r>
        <w:rPr>
          <w:rFonts w:ascii="Times New Roman" w:hAnsi="Times New Roman"/>
          <w:sz w:val="20"/>
        </w:rPr>
        <w:t>”) regarding the acceptance for review of the Company’s New Drug Application (“</w:t>
      </w:r>
      <w:r>
        <w:rPr>
          <w:rFonts w:ascii="Times New Roman" w:hAnsi="Times New Roman"/>
          <w:i/>
          <w:sz w:val="20"/>
        </w:rPr>
        <w:t>NDA</w:t>
      </w:r>
      <w:r>
        <w:rPr>
          <w:rFonts w:ascii="Times New Roman" w:hAnsi="Times New Roman"/>
          <w:sz w:val="20"/>
        </w:rPr>
        <w:t>”) for Rezatapopt for the treatment of patients with platinum-resistant/refractory ovarian cancer harboring a TP53 Y220C mutation (the “</w:t>
      </w:r>
      <w:r>
        <w:rPr>
          <w:rFonts w:ascii="Times New Roman" w:hAnsi="Times New Roman"/>
          <w:i/>
          <w:sz w:val="20"/>
        </w:rPr>
        <w:t>NDA Acceptance Announcement</w:t>
      </w:r>
      <w:r>
        <w:rPr>
          <w:rFonts w:ascii="Times New Roman" w:hAnsi="Times New Roman"/>
          <w:sz w:val="20"/>
        </w:rPr>
        <w:t xml:space="preserve">”), the Exercise Price shall be reduced, and only reduced, to the greater of (i) $    and (ii) the lesser of (a) the then Exercise Price and (b) the VWAP of the five (5) Trading Day period beginning the Trading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following the date of the NDA Acceptance Announcement (the “</w:t>
      </w:r>
      <w:r>
        <w:rPr>
          <w:rFonts w:ascii="Times New Roman" w:hAnsi="Times New Roman"/>
          <w:i/>
          <w:sz w:val="20"/>
        </w:rPr>
        <w:t>Reset Exercise Price</w:t>
      </w:r>
      <w:r>
        <w:rPr>
          <w:rFonts w:ascii="Times New Roman" w:hAnsi="Times New Roman"/>
          <w:sz w:val="20"/>
        </w:rPr>
        <w:t>”, which shall thereafter be the new Exercise Price, subject to further adjustment hereunder, and such five (5) Trading Day period shall be referred to herein as the “</w:t>
      </w:r>
      <w:r>
        <w:rPr>
          <w:rFonts w:ascii="Times New Roman" w:hAnsi="Times New Roman"/>
          <w:i/>
          <w:sz w:val="20"/>
        </w:rPr>
        <w:t>Measurement Period</w:t>
      </w:r>
      <w:r>
        <w:rPr>
          <w:rFonts w:ascii="Times New Roman" w:hAnsi="Times New Roman"/>
          <w:sz w:val="20"/>
        </w:rPr>
        <w:t>”), and the number of Warrant Shares or Pre-Funded Warrants issuable hereunder shall be increased such that the aggregate Exercise Price payable hereunder, after taking into account the decrease in the Exercise Price to the Reset Exercise Price, shall be equal to the aggregate Exercise Price prior to the date of the NDA Acceptance Announcement. The Company shall notify the Holder of the applicable adjustment to the Exercise Price as well as the adjusted number of Warrant Shares or Pre-Funded Warrants issuable hereunder following the Measurement Period (the “</w:t>
      </w:r>
      <w:r>
        <w:rPr>
          <w:rFonts w:ascii="Times New Roman" w:hAnsi="Times New Roman"/>
          <w:i/>
          <w:sz w:val="20"/>
        </w:rPr>
        <w:t>Exercise Price Adjustment Notice</w:t>
      </w:r>
      <w:r>
        <w:rPr>
          <w:rFonts w:ascii="Times New Roman" w:hAnsi="Times New Roman"/>
          <w:sz w:val="20"/>
        </w:rPr>
        <w:t xml:space="preserve">”). For purposes of clarification, whether or not the Company provides the Exercise Price Adjustment Notice pursuant to this Section 4(c), the Holder shall only be required to pay the Reset Exercise Price with respect to any exercise of this Warrant on or after the first Trading Day during the Measurement Period, regardless of whether the Holder accurately refers to such price in any Notice of Exercise. If the aggregate Exercise Price paid by the Holder in connection with the exercise of this Warrant on or after the first Trading Day during the Measurement Period exceeds the amount that should have been paid based on the Reset Exercise Price, the Company shall promptly return any excess aggregate Exercise Price to the Holder. Any adjustment to the Exercise Price pursuant to this Section 4(c) shall be effective retroactively to the first Trading Day during the Measurement Period. </w:t>
      </w:r>
    </w:p>
    <w:p>
      <w:pPr>
        <w:pStyle w:val="TextBody"/>
        <w:bidi w:val="0"/>
        <w:spacing w:before="120" w:after="0"/>
        <w:jc w:val="left"/>
        <w:rPr>
          <w:rFonts w:ascii="Times New Roman" w:hAnsi="Times New Roman"/>
          <w:sz w:val="20"/>
        </w:rPr>
      </w:pPr>
      <w:r>
        <w:rPr>
          <w:rFonts w:ascii="Times New Roman" w:hAnsi="Times New Roman"/>
          <w:sz w:val="20"/>
        </w:rPr>
        <w:t>(d) Solely to the extent that the NDA Acceptance Announcement relates to a positive decision, i.e., the FDA has accepted the NDA for review, then during the period beginning on the 30th calendar day following the date of the NDA Acceptance Announcement and ending on the 60th calendar day following the date of the NDA Acceptance Announcement, the Holder may be required, at the option of the Company, to exercise up to 50% of the Warrant for cash, in which case the Holder shall pay the Reset Exercise Price to the Company in accordance with the terms of this Warrant (the “</w:t>
      </w:r>
      <w:r>
        <w:rPr>
          <w:rFonts w:ascii="Times New Roman" w:hAnsi="Times New Roman"/>
          <w:i/>
          <w:sz w:val="20"/>
        </w:rPr>
        <w:t>Mandatory Exercise</w:t>
      </w:r>
      <w:r>
        <w:rPr>
          <w:rFonts w:ascii="Times New Roman" w:hAnsi="Times New Roman"/>
          <w:sz w:val="20"/>
        </w:rPr>
        <w:t xml:space="preserve">”); provided, that the Company shall only be permitted to elect a Mandatory Exercise if a registration statement covering the resale of the Warrant Shares issuable upon exercise of this Warrant is effective as of the Mandatory Exercise Date (as defined below). </w:t>
      </w:r>
    </w:p>
    <w:p>
      <w:pPr>
        <w:pStyle w:val="TextBody"/>
        <w:bidi w:val="0"/>
        <w:spacing w:before="120" w:after="0"/>
        <w:jc w:val="left"/>
        <w:rPr>
          <w:rFonts w:ascii="Times New Roman" w:hAnsi="Times New Roman"/>
          <w:sz w:val="20"/>
        </w:rPr>
      </w:pPr>
      <w:r>
        <w:rPr>
          <w:rFonts w:ascii="Times New Roman" w:hAnsi="Times New Roman"/>
          <w:sz w:val="20"/>
        </w:rPr>
        <w:t>(e) In the event the Company shall elect a Mandatory Exercise, the Company shall fix a date for the Mandatory Exercise (the “</w:t>
      </w:r>
      <w:r>
        <w:rPr>
          <w:rFonts w:ascii="Times New Roman" w:hAnsi="Times New Roman"/>
          <w:i/>
          <w:sz w:val="20"/>
        </w:rPr>
        <w:t>Mandatory Exercise Date</w:t>
      </w:r>
      <w:r>
        <w:rPr>
          <w:rFonts w:ascii="Times New Roman" w:hAnsi="Times New Roman"/>
          <w:sz w:val="20"/>
        </w:rPr>
        <w:t>”) and provide a notice of mandatory exercise not less than fifteen (15) Trading Days prior to the proposed date of the Mandatory Exercise (or such lesser period until the Termination Date) to the Holder (the “</w:t>
      </w:r>
      <w:r>
        <w:rPr>
          <w:rFonts w:ascii="Times New Roman" w:hAnsi="Times New Roman"/>
          <w:i/>
          <w:sz w:val="20"/>
        </w:rPr>
        <w:t>Mandatory Exercise Notice</w:t>
      </w:r>
      <w:r>
        <w:rPr>
          <w:rFonts w:ascii="Times New Roman" w:hAnsi="Times New Roman"/>
          <w:sz w:val="20"/>
        </w:rPr>
        <w:t xml:space="preserve">”). At least five (5) Trading Days prior to the Mandatory Exercise Date, the Holder shall deliver to the Company an Exercise Notice specifying the number of Warrants and, if subject to the Maximum Percentage, the number of Warrants subject to a Pre-Funded Warrant, to be purchased based on the amount required in the notice of Mandatory Exercise. Within one (1) Trading Day following the receipt by the Company of the Exercise Notice, the Holder shall deliver to the Company: (A) the aggregate Exercise Price for the number of Warrant Shares specified in the applicable Exercise Notice, if this Warrant is being exercised for Warrant Shares, or (B) the aggregate Exercise Price minus the aggregate Pre-Funded Warrant Exercise Price for the number of Pre-Funded Warrants specified in the applicable Exercise Notice, if this Warrant is being exercised for Pre-Funded Warrants, if applicable, thereby purchased and specified in the applicable notice in each case by wire transfer or cashier’s check drawn on a United States bank. Any Warrant which has not been exercised on or prior to the Mandatory Exercise Date for shares of Common Stock, and if subject to the Maximum Percentage, Pre-Funded Warrants, shall become null and void and the rights of the Holder to exercise such Warrant shall lapse, which the Company may suspend or waive in its sole discretion. The Company and Holder shall otherwise follow the procedures in this </w:t>
      </w:r>
      <w:r>
        <w:rPr>
          <w:rFonts w:ascii="Times New Roman" w:hAnsi="Times New Roman"/>
          <w:sz w:val="20"/>
          <w:u w:val="single"/>
        </w:rPr>
        <w:t>Section 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Any Mandatory Exercise Notice provided for in the manner set forth in </w:t>
      </w:r>
      <w:r>
        <w:rPr>
          <w:rFonts w:ascii="Times New Roman" w:hAnsi="Times New Roman"/>
          <w:sz w:val="20"/>
          <w:u w:val="single"/>
        </w:rPr>
        <w:t>Section 4(e)</w:t>
      </w:r>
      <w:r>
        <w:rPr>
          <w:rFonts w:ascii="Times New Roman" w:hAnsi="Times New Roman"/>
          <w:sz w:val="20"/>
        </w:rPr>
        <w:t xml:space="preserve"> shall be conclusively presumed to have been duly given whether or not the Holder received such notice. </w:t>
      </w:r>
    </w:p>
    <w:p>
      <w:pPr>
        <w:pStyle w:val="TextBody"/>
        <w:bidi w:val="0"/>
        <w:spacing w:before="120" w:after="0"/>
        <w:jc w:val="left"/>
        <w:rPr>
          <w:rFonts w:ascii="Times New Roman" w:hAnsi="Times New Roman"/>
          <w:sz w:val="20"/>
        </w:rPr>
      </w:pPr>
      <w:r>
        <w:rPr>
          <w:rFonts w:ascii="Times New Roman" w:hAnsi="Times New Roman"/>
          <w:sz w:val="20"/>
        </w:rPr>
        <w:t xml:space="preserve">(g) If this Warrant shall have been exercised in part, or adjusted to the Reset Exercise Price, the Company shall, at the request of a Holder and upon surrender of this Warrant certificate, and if exercised in part at the time of delivery of the Warrant Shares or Pre-Funded Warrants, deliver to the Holder a new Warrant evidencing the rights of the Holder to purchase the unpurchased Warrant Shares or Pre-Funded Warrants called for by this Warrant, which new Warrant shall in all other respects be identical with this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 or Pre-Funded Warrants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this Warrant is being exercised for Warrant Shares, upon exercise of this Warrant, the Company shall or will cause its Transfer Agent to, promptly (but in no event later than the number of Trading Days comprising the Standard Settlement Period after the Exercise Date, provided the Company has received the Exercise Price related to such exercise by such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Holder is entitled pursuant to such exercise. The Holder, DTC (or its nominee) or any natural person or legal entity (each, a “Person”)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In addition, solely for purposes of Regulation SHO, the Holder will be deemed to be the holder of record of Warrant Shares upon delivery of the Exercise Notice relating thereto. </w:t>
      </w:r>
    </w:p>
    <w:p>
      <w:pPr>
        <w:pStyle w:val="TextBody"/>
        <w:bidi w:val="0"/>
        <w:spacing w:before="120" w:after="0"/>
        <w:jc w:val="left"/>
        <w:rPr>
          <w:rFonts w:ascii="Times New Roman" w:hAnsi="Times New Roman"/>
          <w:sz w:val="20"/>
        </w:rPr>
      </w:pPr>
      <w:r>
        <w:rPr>
          <w:rFonts w:ascii="Times New Roman" w:hAnsi="Times New Roman"/>
          <w:sz w:val="20"/>
        </w:rPr>
        <w:t xml:space="preserve">(b) If this Warrant is being exercised for Pre-Funded Warrants, the Company shall promptly issue and dispatch, as specified in the Exercise Notice, Pre-Funded Warrants to purchase a number of shares of Common Stock with respect to which this Warrant is being exercised. </w:t>
      </w:r>
    </w:p>
    <w:p>
      <w:pPr>
        <w:pStyle w:val="TextBody"/>
        <w:bidi w:val="0"/>
        <w:spacing w:before="120" w:after="0"/>
        <w:jc w:val="left"/>
        <w:rPr>
          <w:rFonts w:ascii="Times New Roman" w:hAnsi="Times New Roman"/>
          <w:sz w:val="20"/>
        </w:rPr>
      </w:pPr>
      <w:r>
        <w:rPr>
          <w:rFonts w:ascii="Times New Roman" w:hAnsi="Times New Roman"/>
          <w:sz w:val="20"/>
        </w:rPr>
        <w:t xml:space="preserve">(c) If this Warrant is being exercised for Warrant Shares, if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or cause the Transfer Agent to credit the Holder’s balance account with DTC for such number of Warrant Shares to which the Holder is entitled within such Standard Settlement Period, and if after such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two (2) Trading Days after the Holder’s request and in the Holder’s sole discretion, either (i) pay in cash to the Holder an amount equal to the Holder’s total purchase price (including brokerage commissions, if any) for the shares of Common Stock so purchased, at which point the Company’s obligation to deliver such certificate (and to issue such Warrant Shares) or to cause the Holder’s DTC account to be credited for such Warrant Shares shall terminate or (ii) promptly honor its obligation to deliver to the Holder a certificate or certificates representing such Warrant Shares or credit the Holder’s or its designee’s balance account with DTC for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120" w:after="0"/>
        <w:jc w:val="left"/>
        <w:rPr>
          <w:rFonts w:ascii="Times New Roman" w:hAnsi="Times New Roman"/>
          <w:sz w:val="20"/>
        </w:rPr>
      </w:pPr>
      <w:r>
        <w:rPr>
          <w:rFonts w:ascii="Times New Roman" w:hAnsi="Times New Roman"/>
          <w:sz w:val="20"/>
        </w:rPr>
        <w:t xml:space="preserve">(d) To the extent permitted by law and subject to </w:t>
      </w:r>
      <w:r>
        <w:rPr>
          <w:rFonts w:ascii="Times New Roman" w:hAnsi="Times New Roman"/>
          <w:sz w:val="20"/>
          <w:u w:val="single"/>
        </w:rPr>
        <w:t>Section 5(c)</w:t>
      </w:r>
      <w:r>
        <w:rPr>
          <w:rFonts w:ascii="Times New Roman" w:hAnsi="Times New Roman"/>
          <w:sz w:val="20"/>
        </w:rPr>
        <w:t xml:space="preserve">, the Company’s obligations to or to cause the Transfer Agent to issue and deliver Warrant Shares and Pre-Funded Warrants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and Pre-Funded Warrants. Subject to </w:t>
      </w:r>
      <w:r>
        <w:rPr>
          <w:rFonts w:ascii="Times New Roman" w:hAnsi="Times New Roman"/>
          <w:sz w:val="20"/>
          <w:u w:val="single"/>
        </w:rPr>
        <w:t>Section 5(c)</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or Pre-Funded Warrants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Pre-Funded Warrants or the Warrants in a name other than that of the Holder or an Affiliate thereof. The Holder shall be responsible for all other tax liability that may arise as a result of holding or transferring this Warrant or receiving Warrant Shares or Pre-Funded Warrants upon exercise hereof.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not the posting of any surety or similar bond).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or Pre-Funded Warrants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i/>
          <w:sz w:val="20"/>
        </w:rPr>
        <w:t>Distribution</w:t>
      </w:r>
      <w:r>
        <w:rPr>
          <w:rFonts w:ascii="Times New Roman" w:hAnsi="Times New Roman"/>
          <w:sz w:val="20"/>
        </w:rPr>
        <w:t xml:space="preserve">”), at any time after the issuance of this Warrant, then, in each such case, the Holder shall be entitled to participate in such Distribution to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directly or indirectly,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xml:space="preserve">”),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w:t>
      </w:r>
    </w:p>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cash payment right shall not apply. “</w:t>
      </w:r>
      <w:r>
        <w:rPr>
          <w:rFonts w:ascii="Times New Roman" w:hAnsi="Times New Roman"/>
          <w:i/>
          <w:sz w:val="20"/>
        </w:rPr>
        <w:t>Black Scholes Value</w:t>
      </w:r>
      <w:r>
        <w:rPr>
          <w:rFonts w:ascii="Times New Roman" w:hAnsi="Times New Roman"/>
          <w:sz w:val="20"/>
        </w:rPr>
        <w:t>” means the value of this Warrant based on the Black-Scholes Option Pricing Model obtained from the “OV” function on Bloomberg, L.P. (“</w:t>
      </w:r>
      <w:r>
        <w:rPr>
          <w:rFonts w:ascii="Times New Roman" w:hAnsi="Times New Roman"/>
          <w:i/>
          <w:sz w:val="20"/>
        </w:rPr>
        <w:t>Bloomberg</w:t>
      </w:r>
      <w:r>
        <w:rPr>
          <w:rFonts w:ascii="Times New Roman" w:hAnsi="Times New Roman"/>
          <w:sz w:val="20"/>
        </w:rPr>
        <w:t xml:space="preserve">”)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lesser of 150% and the 200 day volatility obtained from the HVT function on Bloomberg (determined utilizing a 365 day annualization factor) as of the Trading Day immediately following the public announcement of the applicable contemplated Fundamental Transaction, (C) the underlying price per share used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calculation shall be the greater of (i) the sum of the price per share being offered in cash, if any, plus the value of any non-cash consideration, if any, being offered in such Fundamental Transaction and (ii) the highest single-day VWAP during the five (5) Trading Days immediately prior to such Fundamental Transaction,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to the extent the Fundamental Transaction is within the Company’s control, any successor entity in a Fundamental Transaction in which the Company is not the survivor (the “</w:t>
      </w:r>
      <w:r>
        <w:rPr>
          <w:rFonts w:ascii="Times New Roman" w:hAnsi="Times New Roman"/>
          <w:i/>
          <w:sz w:val="20"/>
        </w:rPr>
        <w:t>Successor Entity</w:t>
      </w:r>
      <w:r>
        <w:rPr>
          <w:rFonts w:ascii="Times New Roman" w:hAnsi="Times New Roman"/>
          <w:sz w:val="20"/>
        </w:rPr>
        <w:t xml:space="preserve">”) to assume in writing all of the obligations of the Company under this Warrant in accordance with the provisions of this Section 9(c)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 or Pre-Funded Warrants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(including any adjustment to the Exercise Price that would have been effected but for the final sentence in this paragraph (d)) the number of Warrant Shares or Pre-Funded Warrants that may be purchased upon exercise of this Warrant shall be increased or decreased proportionately, so that after such adjustment the aggregate Exercise Price payable hereunder for the increased or decreased number of Warrant Shares or Pre-Funded Warrants shall be the same as the aggregate Exercise Price in effect immediately prior to such adjustment. Notwithstanding the foregoing, in no event may the Exercise Price be adjusted below the par value of the Common Stock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one-hundredth of one cent or the nearest share, as applicable.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Pre-Funded Warrants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hAnsi="Times New Roman"/>
          <w:sz w:val="20"/>
          <w:u w:val="single"/>
        </w:rPr>
        <w:t>Section 9(c)</w:t>
      </w:r>
      <w:r>
        <w:rPr>
          <w:rFonts w:ascii="Times New Roman" w:hAnsi="Times New Roman"/>
          <w:sz w:val="20"/>
        </w:rPr>
        <w:t xml:space="preserve">, other than a Fundamental Transaction under clause (iii) of Section 9(c), then, except if such notice and the contents thereof shall be deemed to constitute material non-public information, the Company shall deliver to the Holder a notice of such Fundamental Transaction at least thirty (30) days prior to the date such Fundamental Transaction is consummated. Holder agrees to maintain any information disclosed pursuant to this Section 9(g) in confidence until such information is publicly available, and shall comply with applicable law with respect to trading in the Company’s securities following receipt any such information.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 xml:space="preserve">Voluntary Adjustment By Company. </w:t>
      </w:r>
      <w:r>
        <w:rPr>
          <w:rFonts w:ascii="Times New Roman" w:hAnsi="Times New Roman"/>
          <w:sz w:val="20"/>
        </w:rPr>
        <w:t xml:space="preserve">Subject to the rules and regulations of the Principal Trading Market, the Company may at any time during the term of this Warrant, reduce the then-current Exercise Price to any amount and for any period of time deemed appropriate by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Cashless Exercise in Limited Circumstances</w:t>
      </w:r>
      <w:r>
        <w:rPr>
          <w:rFonts w:ascii="Times New Roman" w:hAnsi="Times New Roman"/>
          <w:sz w:val="20"/>
        </w:rPr>
        <w:t xml:space="preserve">. This Warrant may only be exercised for cash, provided, however, if at the time of exercise hereof there is no effective registration statement registering, or the prospectus contained therein is not available for the issuance of, the Warrant Shares to the holders, then this Warrant may also be exercised, in whole or in part, by means of a “cashless exercise,” in which event the Company shall issue to the Holder the number of Warrant Shares or Pre-Funded Warrants in an exchange of securities effected pursuant to Section 3(a)(9) of the Securities Act, as determined as follows: </w:t>
      </w:r>
    </w:p>
    <w:p>
      <w:pPr>
        <w:pStyle w:val="TextBody"/>
        <w:bidi w:val="0"/>
        <w:spacing w:before="0" w:after="0"/>
        <w:jc w:val="left"/>
        <w:rPr/>
      </w:pPr>
      <w:r>
        <w:rPr/>
        <w:t> </w:t>
      </w:r>
    </w:p>
    <w:p>
      <w:pPr>
        <w:pStyle w:val="TextBody"/>
        <w:bidi w:val="0"/>
        <w:spacing w:before="0" w:after="0"/>
        <w:jc w:val="center"/>
        <w:rPr/>
      </w:pPr>
      <w:r>
        <w:rPr/>
        <w:drawing>
          <wp:inline distT="0" distB="0" distL="0" distR="0">
            <wp:extent cx="971550" cy="219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71550" cy="2190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X” equals the number of Warrant Shares or Pre-Funded Warrants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or Pre-Funded Warrants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 per share of Common Stock (as reported by Bloomberg Financial Markets) as of the Trading Day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per Warrant Share or Pre-Funded Warrant then in effect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If Warrant Shares or Pre-Funded Warrants are issued in such a cashless exercise, the parties acknowledge and agree that in accordance with Section 3(a)(9) of the Securities Act, the Warrant Shares or Pre-Funded Warrants shall take on the registered characteristics of the Warrants being exercised (provided that the Commission continues to take the position that such treatment is proper at the time of such exercise). For purposes of Rule 144 promulgated under the Securities Act, it is intended, understood and acknowledged that the Warrant Shares or Pre-Funded Warrants issued in a “cashless exercise” transaction shall be deemed to have been acquired by the Holder, and the holding period for the Warrant Shares or Pre-Funded Warrants shall be deemed to have commenced, on the date this Warrant was originally issued (provided that the Commission continues to take the position that such treatment is proper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contained herein, the Company shall not effect any exercise of this Warrant (other than to acquire Pre-Funded Warrants with the same (or lower) Maximum Percentage limitation on exercise), and the Holder shall not be entitled to exercise this Warrant (other than to acquire Pre-Funded Warrants with the same (or lower) Maximum Percentage limitation on exercise) for a number of Warrant Shares in excess of that number of Warrant Shares which, upon giving effect or immediately prior to such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would cause (i) the aggregate number of shares of Common Stock beneficially owned by the Holder, its Affiliates and any other Persons acting as a group together with such Holder and any of such Holder’s Affiliates, and any other persons whose beneficial ownership of the Comon Stock would or would be aggregated with such Holder’s for the purpose of Section 13(d) of the Exchange Act (such Persons, “</w:t>
      </w:r>
      <w:r>
        <w:rPr>
          <w:rFonts w:ascii="Times New Roman" w:hAnsi="Times New Roman"/>
          <w:i/>
          <w:sz w:val="20"/>
        </w:rPr>
        <w:t>Attribution Parties</w:t>
      </w:r>
      <w:r>
        <w:rPr>
          <w:rFonts w:ascii="Times New Roman" w:hAnsi="Times New Roman"/>
          <w:sz w:val="20"/>
        </w:rPr>
        <w:t>”) exceed 4.99% (or at the election of the Holder prior to the issuance of this Warrant, 9.99%) (the “</w:t>
      </w:r>
      <w:r>
        <w:rPr>
          <w:rFonts w:ascii="Times New Roman" w:hAnsi="Times New Roman"/>
          <w:i/>
          <w:sz w:val="20"/>
        </w:rPr>
        <w:t>Maximum Percentage</w:t>
      </w:r>
      <w:r>
        <w:rPr>
          <w:rFonts w:ascii="Times New Roman" w:hAnsi="Times New Roman"/>
          <w:sz w:val="20"/>
        </w:rPr>
        <w:t>”) of the total number of issued and outstanding shares of Common Stock of the Company following such exercise, or (ii) the combined voting power of the securities of the Company beneficially owned by the Holder, its Affiliates Attribution Parties to exceed the Maximum Percentage of the combined voting power of all of the securities of the Company then outstanding following such exercise. For purposes of this paragraph, beneficial ownership and whether a holder is a member of a Section 13(d) group shall be calculated and determined in accordance with Section 13(d) of the Exchange Act and the rules promulgated thereunder. For purposes of this Warrant, in determining the number of outstanding shares of Common Stock, the Holder may rely on the number of outstanding shares of Common Stock as reflected in (x) the Company’s most recent Quarterly Report on Form 10-Q or Annual Report on Form 10-K, as the case may be, (y) a more recent public announcement by the Company or (z) any other written notice by the Company or the Transfer Agent setting forth the number of shares of Common Stock outstanding. Upon the written request of the Holder, the Company shall within two (2)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specified in such notice, but not in excess of 19.99% (or at the election of the Holder prior to the issuance of this Warrant, 9.99%) specified in such notice; provided that any such increase will not be effective until the sixty-first (61st) day after such notice is delivered to the Company. For purposes of this Section 11(a), the aggregate number of shares of Common Stock or voting securities beneficially owned by the Holder, its Affiliates and Attribution Parties shall include the shares of Common Stock issuable upon (x) the exercise of this Warrant with respect to which such determination is being made, but shall exclude the number of shares of Common Stock which would be issuable upon exercise of the remaining unexercised and non-cancelled portion of this Warrant by the Holder and (y) the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but excluding such shares underlying such instrument which is subject to a limitation on conversion or exercise analogous to the limitation contained herein. In the event that the issuance of Common Stock to such Holder upon the exercise of the Warrant results in such Holder, together with its Attribution Parties, collectively being deemed to beneficially own, in the aggregate, more than the Maximum Percentage, the number of Common Stock so issued by which the aggregate Maximum Percentage of such Holder and its Attribution Parties exceeds such limitation (the “</w:t>
      </w:r>
      <w:r>
        <w:rPr>
          <w:rFonts w:ascii="Times New Roman" w:hAnsi="Times New Roman"/>
          <w:i/>
          <w:sz w:val="20"/>
        </w:rPr>
        <w:t>Excess Shares</w:t>
      </w:r>
      <w:r>
        <w:rPr>
          <w:rFonts w:ascii="Times New Roman" w:hAnsi="Times New Roman"/>
          <w:sz w:val="20"/>
        </w:rPr>
        <w:t xml:space="preserve">”) shall be deemed null and void and shall be cancelled ab initio, and such Holder and/or Attribution Parties shall not have the power to vote or to transfer the Excess Shares. As soon as reasonably practicable after the issuance of the Excess Shares have been deemed null and void, the Company shall return to such Holder the exercise price paid by such Holder for the Excess Shares and such Holder shall return the Excess Shares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 or Pre-Funded Warrants</w:t>
      </w:r>
      <w:r>
        <w:rPr>
          <w:rFonts w:ascii="Times New Roman" w:hAnsi="Times New Roman"/>
          <w:sz w:val="20"/>
        </w:rPr>
        <w:t xml:space="preserve">. No fractional Warrant Shares or fractional Pre-Funded Warrants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and all notices or other communications or deliveries hereunder (including, without limitation, any Exercise Notice) shall be in writing and shall be deemed given and effective on the earliest of (i) the time of transmission, if such notice or communication is delivered via facsimile or e-mail prior to 5:30 P.M., New York City time, on a Trading Day so long as the sender of an e-mail has not received an automated notice of delivery failure from the proposed recipient’s computer server, (ii) the next Trading Day after the date of transmission, if such notice or communication is delivered via facsimile or e-mail on a day that is not a Trading Day or later than 5:30 P.M., New York City time, on any Trading Day so long as the sender of an e-mail has not received an automated notice of delivery failure from the proposed recipient’s computer server, (iii) the Trading Day following the date of mailing, if sent by nationally recognized overnight courier service specifying next business day delivery, or (iv) upon actual receipt by the Person to whom such notice is required to be given, if by hand delivery. The addresses, facsimile numbers and e-mail addresses for such communications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400 Alexander Park Drive, Suite 301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240" w:after="0"/>
        <w:jc w:val="left"/>
        <w:rPr>
          <w:rFonts w:ascii="Times New Roman" w:hAnsi="Times New Roman"/>
          <w:sz w:val="20"/>
        </w:rPr>
      </w:pPr>
      <w:r>
        <w:rPr>
          <w:rFonts w:ascii="Times New Roman" w:hAnsi="Times New Roman"/>
          <w:sz w:val="20"/>
        </w:rPr>
        <w:t xml:space="preserve">If to the Holder, to its address, facsimile number or e-mail address set forth herein or on the books and records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Or, in each of the above instances, to such other address, facsimile number or e-mail address as the recipient party has specified by written notice given to each other party at least five (5) days prior to the effectiveness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(ii) Before taking any action which would result in an adjustment in the number of Warrant Shares or Pre-Funded Warrants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the restrictions on transfer set forth in this Warrant and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this Warrant may be amended and the Company may take any action herein prohibited, or omit to perform any act herein required to be performed by it, only if the Company has obtained the written consent of the Holder.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STATE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Pre-Funded Warrants in lieu of Common Stock</w:t>
      </w:r>
      <w:r>
        <w:rPr>
          <w:rFonts w:ascii="Times New Roman" w:hAnsi="Times New Roman"/>
          <w:sz w:val="20"/>
        </w:rPr>
        <w:t xml:space="preserve">. Notwithstanding anything to the contrary in this Warrant, to the extent the beneficial ownership limitations set forth in </w:t>
      </w:r>
      <w:r>
        <w:rPr>
          <w:rFonts w:ascii="Times New Roman" w:hAnsi="Times New Roman"/>
          <w:sz w:val="20"/>
          <w:u w:val="single"/>
        </w:rPr>
        <w:t>Section 11</w:t>
      </w:r>
      <w:r>
        <w:rPr>
          <w:rFonts w:ascii="Times New Roman" w:hAnsi="Times New Roman"/>
          <w:sz w:val="20"/>
        </w:rPr>
        <w:t xml:space="preserve"> restrict the exercise of this Warrant for Warrant Shares, the Holder may choose, in lieu of receiving Warrant Shares upon exercise of this Warrant, to receive a Pre-Funded Warrant in the form attached hereto as </w:t>
      </w:r>
      <w:r>
        <w:rPr>
          <w:rFonts w:ascii="Times New Roman" w:hAnsi="Times New Roman"/>
          <w:sz w:val="20"/>
          <w:u w:val="single"/>
        </w:rPr>
        <w:t>Exhibit A</w:t>
      </w:r>
      <w:r>
        <w:rPr>
          <w:rFonts w:ascii="Times New Roman" w:hAnsi="Times New Roman"/>
          <w:sz w:val="20"/>
        </w:rPr>
        <w:t xml:space="preserve"> to purchase an identical number of shares of Common Stock it would have received upon the exercise of this Warrant for shares of Common Stock, provided, however that the Exercise Price shall instead be the Exercise Price less $0.00001 per share, and the resulting issued Pre-Funded Warrant shall have an exercise price of $0.00001 per share. In such instance, the Pre-Funded Warrant issued upon exercise shall have the equivalent (or lower) Maximum Percentage limitation on exercise as set forth in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074"/>
        <w:gridCol w:w="210"/>
        <w:gridCol w:w="1798"/>
      </w:tblGrid>
      <w:tr>
        <w:trPr/>
        <w:tc>
          <w:tcPr>
            <w:tcW w:w="207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PMV PHARMACEUTICALS, INC.</w:t>
            </w:r>
          </w:p>
        </w:tc>
      </w:tr>
      <w:tr>
        <w:trPr>
          <w:trHeight w:val="240" w:hRule="atLeast"/>
        </w:trPr>
        <w:tc>
          <w:tcPr>
            <w:tcW w:w="2074" w:type="dxa"/>
            <w:tcBorders/>
            <w:vAlign w:val="center"/>
          </w:tcPr>
          <w:p>
            <w:pPr>
              <w:pStyle w:val="TableContents"/>
              <w:bidi w:val="0"/>
              <w:spacing w:before="0" w:after="283"/>
              <w:jc w:val="left"/>
              <w:rPr>
                <w:sz w:val="4"/>
                <w:szCs w:val="4"/>
              </w:rPr>
            </w:pPr>
            <w:r>
              <w:rPr>
                <w:sz w:val="4"/>
                <w:szCs w:val="4"/>
              </w:rPr>
            </w:r>
          </w:p>
        </w:tc>
        <w:tc>
          <w:tcPr>
            <w:tcW w:w="2008" w:type="dxa"/>
            <w:gridSpan w:val="2"/>
            <w:tcBorders/>
            <w:vAlign w:val="center"/>
          </w:tcPr>
          <w:p>
            <w:pPr>
              <w:pStyle w:val="TableContents"/>
              <w:bidi w:val="0"/>
              <w:spacing w:before="0" w:after="283"/>
              <w:jc w:val="left"/>
              <w:rPr>
                <w:sz w:val="4"/>
                <w:szCs w:val="4"/>
              </w:rPr>
            </w:pPr>
            <w:r>
              <w:rPr>
                <w:sz w:val="4"/>
                <w:szCs w:val="4"/>
              </w:rPr>
            </w:r>
          </w:p>
        </w:tc>
      </w:tr>
      <w:tr>
        <w:trPr/>
        <w:tc>
          <w:tcPr>
            <w:tcW w:w="2074" w:type="dxa"/>
            <w:tcBorders/>
          </w:tcPr>
          <w:p>
            <w:pPr>
              <w:pStyle w:val="TableContents"/>
              <w:bidi w:val="0"/>
              <w:spacing w:before="0" w:after="283"/>
              <w:jc w:val="left"/>
              <w:rPr/>
            </w:pPr>
            <w:r>
              <w:rPr/>
              <w:t>By:</w:t>
            </w:r>
          </w:p>
        </w:tc>
        <w:tc>
          <w:tcPr>
            <w:tcW w:w="210" w:type="dxa"/>
            <w:tcBorders/>
            <w:vAlign w:val="bottom"/>
          </w:tcPr>
          <w:p>
            <w:pPr>
              <w:pStyle w:val="TableContents"/>
              <w:bidi w:val="0"/>
              <w:spacing w:before="0" w:after="283"/>
              <w:jc w:val="left"/>
              <w:rPr/>
            </w:pPr>
            <w:r>
              <w:rPr/>
              <w:t> </w:t>
            </w:r>
          </w:p>
        </w:tc>
        <w:tc>
          <w:tcPr>
            <w:tcW w:w="1798" w:type="dxa"/>
            <w:tcBorders/>
          </w:tcPr>
          <w:p>
            <w:pPr>
              <w:pStyle w:val="TableContents"/>
              <w:pBdr>
                <w:bottom w:val="single" w:sz="2" w:space="1" w:color="000000"/>
              </w:pBdr>
              <w:bidi w:val="0"/>
              <w:spacing w:before="0" w:after="20"/>
              <w:jc w:val="left"/>
              <w:rPr/>
            </w:pPr>
            <w:r>
              <w:rPr/>
              <w:t> </w:t>
            </w:r>
          </w:p>
        </w:tc>
      </w:tr>
      <w:tr>
        <w:trPr/>
        <w:tc>
          <w:tcPr>
            <w:tcW w:w="2074" w:type="dxa"/>
            <w:tcBorders/>
          </w:tcPr>
          <w:p>
            <w:pPr>
              <w:pStyle w:val="TableContents"/>
              <w:bidi w:val="0"/>
              <w:spacing w:before="0" w:after="283"/>
              <w:jc w:val="left"/>
              <w:rPr/>
            </w:pPr>
            <w:r>
              <w:rPr/>
              <w:t>Name:</w:t>
            </w:r>
          </w:p>
        </w:tc>
        <w:tc>
          <w:tcPr>
            <w:tcW w:w="210" w:type="dxa"/>
            <w:tcBorders/>
            <w:vAlign w:val="bottom"/>
          </w:tcPr>
          <w:p>
            <w:pPr>
              <w:pStyle w:val="TableContents"/>
              <w:bidi w:val="0"/>
              <w:spacing w:before="0" w:after="283"/>
              <w:jc w:val="left"/>
              <w:rPr/>
            </w:pPr>
            <w:r>
              <w:rPr/>
              <w:t> </w:t>
            </w:r>
          </w:p>
        </w:tc>
        <w:tc>
          <w:tcPr>
            <w:tcW w:w="1798" w:type="dxa"/>
            <w:tcBorders/>
          </w:tcPr>
          <w:p>
            <w:pPr>
              <w:pStyle w:val="TableContents"/>
              <w:bidi w:val="0"/>
              <w:spacing w:before="0" w:after="283"/>
              <w:jc w:val="left"/>
              <w:rPr>
                <w:sz w:val="4"/>
                <w:szCs w:val="4"/>
              </w:rPr>
            </w:pPr>
            <w:r>
              <w:rPr>
                <w:sz w:val="4"/>
                <w:szCs w:val="4"/>
              </w:rPr>
            </w:r>
          </w:p>
        </w:tc>
      </w:tr>
      <w:tr>
        <w:trPr/>
        <w:tc>
          <w:tcPr>
            <w:tcW w:w="2074" w:type="dxa"/>
            <w:tcBorders/>
          </w:tcPr>
          <w:p>
            <w:pPr>
              <w:pStyle w:val="TableContents"/>
              <w:bidi w:val="0"/>
              <w:spacing w:before="0" w:after="283"/>
              <w:jc w:val="left"/>
              <w:rPr/>
            </w:pPr>
            <w:r>
              <w:rPr/>
              <w:t>Title:</w:t>
            </w:r>
          </w:p>
        </w:tc>
        <w:tc>
          <w:tcPr>
            <w:tcW w:w="210" w:type="dxa"/>
            <w:tcBorders/>
            <w:vAlign w:val="bottom"/>
          </w:tcPr>
          <w:p>
            <w:pPr>
              <w:pStyle w:val="TableContents"/>
              <w:bidi w:val="0"/>
              <w:spacing w:before="0" w:after="283"/>
              <w:jc w:val="left"/>
              <w:rPr/>
            </w:pPr>
            <w:r>
              <w:rPr/>
              <w:t> </w:t>
            </w:r>
          </w:p>
        </w:tc>
        <w:tc>
          <w:tcPr>
            <w:tcW w:w="179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1. The undersigned is the Holder of Warrant No. __ (the “</w:t>
      </w:r>
      <w:r>
        <w:rPr>
          <w:rFonts w:ascii="Times New Roman" w:hAnsi="Times New Roman"/>
          <w:i/>
          <w:sz w:val="20"/>
        </w:rPr>
        <w:t>Warrant</w:t>
      </w:r>
      <w:r>
        <w:rPr>
          <w:rFonts w:ascii="Times New Roman" w:hAnsi="Times New Roman"/>
          <w:sz w:val="20"/>
        </w:rPr>
        <w:t>”) issued by PMV Pharmaceuticals,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120" w:after="0"/>
        <w:jc w:val="left"/>
        <w:rPr>
          <w:rFonts w:ascii="Times New Roman" w:hAnsi="Times New Roman"/>
          <w:sz w:val="20"/>
        </w:rPr>
      </w:pPr>
      <w:r>
        <w:rPr>
          <w:rFonts w:ascii="Times New Roman" w:hAnsi="Times New Roman"/>
          <w:sz w:val="20"/>
        </w:rPr>
        <w:t>2. The undersigned hereby exercises its right to purchase __________ Warrant Shares (the “</w:t>
      </w:r>
      <w:r>
        <w:rPr>
          <w:rFonts w:ascii="Times New Roman" w:hAnsi="Times New Roman"/>
          <w:i/>
          <w:sz w:val="20"/>
        </w:rPr>
        <w:t>Exercised Warrant Shares</w:t>
      </w:r>
      <w:r>
        <w:rPr>
          <w:rFonts w:ascii="Times New Roman" w:hAnsi="Times New Roman"/>
          <w:sz w:val="20"/>
        </w:rPr>
        <w:t xml:space="preserve">”) pursuant to the Warrant. </w:t>
      </w:r>
    </w:p>
    <w:p>
      <w:pPr>
        <w:pStyle w:val="TextBody"/>
        <w:bidi w:val="0"/>
        <w:spacing w:before="12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t xml:space="preserve">☐ </w:t>
            </w:r>
            <w:r>
              <w:rPr>
                <w:rFonts w:ascii="Times New Roman" w:hAnsi="Times New Roman"/>
                <w:sz w:val="20"/>
              </w:rPr>
              <w:t>Cash Exercise</w:t>
            </w:r>
          </w:p>
        </w:tc>
      </w:tr>
      <w:tr>
        <w:trPr/>
        <w:tc>
          <w:tcPr>
            <w:tcW w:w="10205" w:type="dxa"/>
            <w:tcBorders/>
          </w:tcPr>
          <w:p>
            <w:pPr>
              <w:pStyle w:val="TableContents"/>
              <w:bidi w:val="0"/>
              <w:spacing w:before="0" w:after="0"/>
              <w:jc w:val="left"/>
              <w:rPr/>
            </w:pPr>
            <w:r>
              <w:rPr/>
              <w:t xml:space="preserve">☐ </w:t>
            </w:r>
            <w:r>
              <w:rPr>
                <w:rFonts w:ascii="Times New Roman" w:hAnsi="Times New Roman"/>
                <w:sz w:val="20"/>
              </w:rPr>
              <w:t>if permitted in accordance with Section 10 of the Warrant, “Cashless Exercise in Limited Circumstances.”</w:t>
            </w:r>
          </w:p>
        </w:tc>
      </w:tr>
    </w:tbl>
    <w:p>
      <w:pPr>
        <w:pStyle w:val="TextBody"/>
        <w:bidi w:val="0"/>
        <w:spacing w:before="120" w:after="0"/>
        <w:jc w:val="left"/>
        <w:rPr>
          <w:rFonts w:ascii="Times New Roman" w:hAnsi="Times New Roman"/>
          <w:sz w:val="20"/>
        </w:rPr>
      </w:pPr>
      <w:r>
        <w:rPr>
          <w:rFonts w:ascii="Times New Roman" w:hAnsi="Times New Roman"/>
          <w:sz w:val="20"/>
        </w:rPr>
        <w:t xml:space="preserve">4. If the Holder has elected a Cash Exercise, the Holder shall pay the sum of $ __________ in immediately available funds to the Company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5. Pursuant to this Exercise Notice, the Company shall deliver to the Holder the Exercised Warrant Shares determined in accordance with the terms of the Warrant. </w:t>
      </w:r>
    </w:p>
    <w:p>
      <w:pPr>
        <w:pStyle w:val="TextBody"/>
        <w:bidi w:val="0"/>
        <w:spacing w:before="12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Name of Holder: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35"/>
        <w:gridCol w:w="62"/>
        <w:gridCol w:w="3285"/>
      </w:tblGrid>
      <w:tr>
        <w:trPr/>
        <w:tc>
          <w:tcPr>
            <w:tcW w:w="73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pBdr>
                <w:bottom w:val="single" w:sz="2" w:space="1" w:color="000000"/>
              </w:pBdr>
              <w:bidi w:val="0"/>
              <w:spacing w:before="0" w:after="20"/>
              <w:jc w:val="left"/>
              <w:rPr/>
            </w:pPr>
            <w:r>
              <w:rPr/>
              <w:t> </w:t>
            </w:r>
          </w:p>
        </w:tc>
      </w:tr>
      <w:tr>
        <w:trPr/>
        <w:tc>
          <w:tcPr>
            <w:tcW w:w="735"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283"/>
              <w:jc w:val="left"/>
              <w:rPr>
                <w:sz w:val="4"/>
                <w:szCs w:val="4"/>
              </w:rPr>
            </w:pPr>
            <w:r>
              <w:rPr>
                <w:sz w:val="4"/>
                <w:szCs w:val="4"/>
              </w:rPr>
            </w:r>
          </w:p>
        </w:tc>
      </w:tr>
      <w:tr>
        <w:trPr/>
        <w:tc>
          <w:tcPr>
            <w:tcW w:w="735"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PRE-FUNDED WARRANT </w:t>
      </w:r>
    </w:p>
    <w:p>
      <w:pPr>
        <w:pStyle w:val="TextBody"/>
        <w:bidi w:val="0"/>
        <w:spacing w:before="0" w:after="0"/>
        <w:jc w:val="right"/>
        <w:rPr>
          <w:rFonts w:ascii="Times New Roman" w:hAnsi="Times New Roman"/>
          <w:b/>
          <w:sz w:val="20"/>
        </w:rPr>
      </w:pPr>
      <w:bookmarkStart w:id="8" w:name="d113784dex51.htm"/>
      <w:bookmarkStart w:id="9" w:name="ksd113784dex51"/>
      <w:bookmarkEnd w:id="8"/>
      <w:bookmarkEnd w:id="9"/>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7"/>
        <w:gridCol w:w="120"/>
        <w:gridCol w:w="3382"/>
        <w:gridCol w:w="120"/>
        <w:gridCol w:w="2596"/>
      </w:tblGrid>
      <w:tr>
        <w:trPr/>
        <w:tc>
          <w:tcPr>
            <w:tcW w:w="398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38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3987" w:type="dxa"/>
            <w:tcBorders/>
          </w:tcPr>
          <w:p>
            <w:pPr>
              <w:pStyle w:val="TableContents"/>
              <w:bidi w:val="0"/>
              <w:spacing w:before="0" w:after="283"/>
              <w:jc w:val="left"/>
              <w:rPr/>
            </w:pPr>
            <w:r>
              <w:rPr/>
              <w:drawing>
                <wp:inline distT="0" distB="0" distL="0" distR="0">
                  <wp:extent cx="1219200"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 cy="4572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38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96" w:type="dxa"/>
            <w:tcBorders/>
          </w:tcPr>
          <w:p>
            <w:pPr>
              <w:pStyle w:val="TableContents"/>
              <w:bidi w:val="0"/>
              <w:spacing w:before="0" w:after="0"/>
              <w:jc w:val="left"/>
              <w:rPr>
                <w:rFonts w:ascii="Times New Roman" w:hAnsi="Times New Roman"/>
                <w:sz w:val="20"/>
              </w:rPr>
            </w:pPr>
            <w:r>
              <w:rPr>
                <w:rFonts w:ascii="Times New Roman" w:hAnsi="Times New Roman"/>
                <w:sz w:val="20"/>
              </w:rPr>
              <w:t>Wilson Sonsini Goodrich &amp; Rosati Professional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31 West 52nd Street, Fifth Floor New York, NY 10019-6118</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 (212) 999-5800</w:t>
            </w:r>
          </w:p>
          <w:p>
            <w:pPr>
              <w:pStyle w:val="TableContents"/>
              <w:bidi w:val="0"/>
              <w:spacing w:before="0" w:after="20"/>
              <w:jc w:val="left"/>
              <w:rPr>
                <w:rFonts w:ascii="Times New Roman" w:hAnsi="Times New Roman"/>
                <w:sz w:val="20"/>
              </w:rPr>
            </w:pPr>
            <w:r>
              <w:rPr>
                <w:rFonts w:ascii="Times New Roman" w:hAnsi="Times New Roman"/>
                <w:sz w:val="20"/>
              </w:rPr>
              <w:t>f: (866) 974-7329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September 1, 2026 </w:t>
      </w:r>
    </w:p>
    <w:p>
      <w:pPr>
        <w:pStyle w:val="TextBody"/>
        <w:bidi w:val="0"/>
        <w:spacing w:before="24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400 Alexander Park Drive </w:t>
      </w:r>
    </w:p>
    <w:p>
      <w:pPr>
        <w:pStyle w:val="TextBody"/>
        <w:bidi w:val="0"/>
        <w:spacing w:before="0" w:after="0"/>
        <w:jc w:val="left"/>
        <w:rPr>
          <w:rFonts w:ascii="Times New Roman" w:hAnsi="Times New Roman"/>
          <w:sz w:val="20"/>
        </w:rPr>
      </w:pPr>
      <w:r>
        <w:rPr>
          <w:rFonts w:ascii="Times New Roman" w:hAnsi="Times New Roman"/>
          <w:sz w:val="20"/>
        </w:rPr>
        <w:t xml:space="preserve">Suite 301 </w:t>
      </w:r>
    </w:p>
    <w:p>
      <w:pPr>
        <w:pStyle w:val="TextBody"/>
        <w:bidi w:val="0"/>
        <w:spacing w:before="0" w:after="0"/>
        <w:jc w:val="left"/>
        <w:rPr>
          <w:rFonts w:ascii="Times New Roman" w:hAnsi="Times New Roman"/>
          <w:sz w:val="20"/>
        </w:rPr>
      </w:pPr>
      <w:r>
        <w:rPr>
          <w:rFonts w:ascii="Times New Roman" w:hAnsi="Times New Roman"/>
          <w:sz w:val="20"/>
        </w:rPr>
        <w:t xml:space="preserve">Princeton, NJ 08540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Follow-On Public Offering of PMV Pharmaceuticals, Inc.</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PMV Pharmaceuticals, Inc., a Delaware corporation (the “</w:t>
      </w:r>
      <w:r>
        <w:rPr>
          <w:rFonts w:ascii="Times New Roman" w:hAnsi="Times New Roman"/>
          <w:b/>
          <w:sz w:val="20"/>
        </w:rPr>
        <w:t>Company</w:t>
      </w:r>
      <w:r>
        <w:rPr>
          <w:rFonts w:ascii="Times New Roman" w:hAnsi="Times New Roman"/>
          <w:sz w:val="20"/>
        </w:rPr>
        <w:t>”), in connection with the filing by the Company with the Securities and Exchange Commission (the “</w:t>
      </w:r>
      <w:r>
        <w:rPr>
          <w:rFonts w:ascii="Times New Roman" w:hAnsi="Times New Roman"/>
          <w:b/>
          <w:sz w:val="20"/>
        </w:rPr>
        <w:t>Commission</w:t>
      </w:r>
      <w:r>
        <w:rPr>
          <w:rFonts w:ascii="Times New Roman" w:hAnsi="Times New Roman"/>
          <w:sz w:val="20"/>
        </w:rPr>
        <w:t>”) on November 20, 2024 of a Registration Statement on Form S-3 (File No. 333-283349), under the Securities Act of 1933, as amended, and declared effective on November 27, 2024 (the “</w:t>
      </w:r>
      <w:r>
        <w:rPr>
          <w:rFonts w:ascii="Times New Roman" w:hAnsi="Times New Roman"/>
          <w:b/>
          <w:sz w:val="20"/>
        </w:rPr>
        <w:t>Registration Statement</w:t>
      </w:r>
      <w:r>
        <w:rPr>
          <w:rFonts w:ascii="Times New Roman" w:hAnsi="Times New Roman"/>
          <w:sz w:val="20"/>
        </w:rPr>
        <w:t>”), the prospectus contained within the Registration Statement (the “</w:t>
      </w:r>
      <w:r>
        <w:rPr>
          <w:rFonts w:ascii="Times New Roman" w:hAnsi="Times New Roman"/>
          <w:b/>
          <w:sz w:val="20"/>
        </w:rPr>
        <w:t>Base Prospectus</w:t>
      </w:r>
      <w:r>
        <w:rPr>
          <w:rFonts w:ascii="Times New Roman" w:hAnsi="Times New Roman"/>
          <w:sz w:val="20"/>
        </w:rPr>
        <w:t>”), and the prospectus supplement to the Registration Statement dated August 31, 2026 (the “</w:t>
      </w:r>
      <w:r>
        <w:rPr>
          <w:rFonts w:ascii="Times New Roman" w:hAnsi="Times New Roman"/>
          <w:b/>
          <w:sz w:val="20"/>
        </w:rPr>
        <w:t>Prospectus Supplement</w:t>
      </w:r>
      <w:r>
        <w:rPr>
          <w:rFonts w:ascii="Times New Roman" w:hAnsi="Times New Roman"/>
          <w:sz w:val="20"/>
        </w:rPr>
        <w:t>” and together with the Base Prospectus, the “</w:t>
      </w:r>
      <w:r>
        <w:rPr>
          <w:rFonts w:ascii="Times New Roman" w:hAnsi="Times New Roman"/>
          <w:b/>
          <w:sz w:val="20"/>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Prospectus Supplement relates to the offering by the Company of an aggregate (i) (a) 22,055,000 shares (the “</w:t>
      </w:r>
      <w:r>
        <w:rPr>
          <w:rFonts w:ascii="Times New Roman" w:hAnsi="Times New Roman"/>
          <w:b/>
          <w:sz w:val="20"/>
        </w:rPr>
        <w:t>Shares</w:t>
      </w:r>
      <w:r>
        <w:rPr>
          <w:rFonts w:ascii="Times New Roman" w:hAnsi="Times New Roman"/>
          <w:sz w:val="20"/>
        </w:rPr>
        <w:t>”) of the Company’s common stock, par value $0.00001 per share (“</w:t>
      </w:r>
      <w:r>
        <w:rPr>
          <w:rFonts w:ascii="Times New Roman" w:hAnsi="Times New Roman"/>
          <w:b/>
          <w:sz w:val="20"/>
        </w:rPr>
        <w:t>Common Stock</w:t>
      </w:r>
      <w:r>
        <w:rPr>
          <w:rFonts w:ascii="Times New Roman" w:hAnsi="Times New Roman"/>
          <w:sz w:val="20"/>
        </w:rPr>
        <w:t>”) and, in lieu thereof to certain investors, (b) pre-funded warrants (the “</w:t>
      </w:r>
      <w:r>
        <w:rPr>
          <w:rFonts w:ascii="Times New Roman" w:hAnsi="Times New Roman"/>
          <w:b/>
          <w:sz w:val="20"/>
        </w:rPr>
        <w:t>Pre-Funded Warrants</w:t>
      </w:r>
      <w:r>
        <w:rPr>
          <w:rFonts w:ascii="Times New Roman" w:hAnsi="Times New Roman"/>
          <w:sz w:val="20"/>
        </w:rPr>
        <w:t>”) to purchase an aggregate of 19,900,000 shares of Common Stock (the “</w:t>
      </w:r>
      <w:r>
        <w:rPr>
          <w:rFonts w:ascii="Times New Roman" w:hAnsi="Times New Roman"/>
          <w:b/>
          <w:sz w:val="20"/>
        </w:rPr>
        <w:t>Pre-Funded Warrant Shares</w:t>
      </w:r>
      <w:r>
        <w:rPr>
          <w:rFonts w:ascii="Times New Roman" w:hAnsi="Times New Roman"/>
          <w:sz w:val="20"/>
        </w:rPr>
        <w:t>”), and (ii) accompanying warrants (the “</w:t>
      </w:r>
      <w:r>
        <w:rPr>
          <w:rFonts w:ascii="Times New Roman" w:hAnsi="Times New Roman"/>
          <w:b/>
          <w:sz w:val="20"/>
        </w:rPr>
        <w:t>Common Warrants</w:t>
      </w:r>
      <w:r>
        <w:rPr>
          <w:rFonts w:ascii="Times New Roman" w:hAnsi="Times New Roman"/>
          <w:sz w:val="20"/>
        </w:rPr>
        <w:t>” and, collectively with the Pre-Funded Warrants, the “</w:t>
      </w:r>
      <w:r>
        <w:rPr>
          <w:rFonts w:ascii="Times New Roman" w:hAnsi="Times New Roman"/>
          <w:b/>
          <w:sz w:val="20"/>
        </w:rPr>
        <w:t>Warrants</w:t>
      </w:r>
      <w:r>
        <w:rPr>
          <w:rFonts w:ascii="Times New Roman" w:hAnsi="Times New Roman"/>
          <w:sz w:val="20"/>
        </w:rPr>
        <w:t>”) to purchase an aggregate of 41,955,000 shares of Common Stock (the “</w:t>
      </w:r>
      <w:r>
        <w:rPr>
          <w:rFonts w:ascii="Times New Roman" w:hAnsi="Times New Roman"/>
          <w:b/>
          <w:sz w:val="20"/>
        </w:rPr>
        <w:t>Common Warrant Shares</w:t>
      </w:r>
      <w:r>
        <w:rPr>
          <w:rFonts w:ascii="Times New Roman" w:hAnsi="Times New Roman"/>
          <w:sz w:val="20"/>
        </w:rPr>
        <w:t>”) or Pre-Funded Warrants (together, the Shares, Pre-Funded Warrants, the Pre-Funded Warrant Shares, the Common Warrants and the Common Warrant Shares, the “</w:t>
      </w:r>
      <w:r>
        <w:rPr>
          <w:rFonts w:ascii="Times New Roman" w:hAnsi="Times New Roman"/>
          <w:b/>
          <w:sz w:val="20"/>
        </w:rPr>
        <w:t>Securities</w:t>
      </w:r>
      <w:r>
        <w:rPr>
          <w:rFonts w:ascii="Times New Roman" w:hAnsi="Times New Roman"/>
          <w:sz w:val="20"/>
        </w:rPr>
        <w:t>”). The offering of the Securities is being made pursuant to that certain underwriting agreement, dated August 31, 2026, by and among the Company and TD Securities (USA) LLC, as representative of the several underwriters named therein (the “</w:t>
      </w:r>
      <w:r>
        <w:rPr>
          <w:rFonts w:ascii="Times New Roman" w:hAnsi="Times New Roman"/>
          <w:b/>
          <w:sz w:val="20"/>
        </w:rPr>
        <w:t>Underwriting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copies of the Registration Statement, together with the documents incorporated by reference therein, and the Prospectus. In addition, we have examined originals or copies, certified or otherwise identified to our satisfaction, of such other instruments, documents, certificates and records which we have deemed relevant and necessary for the basis of our opinion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records, documents, instruments and certificates we have reviewed; (iv) that the Underwriting Agreement has been duly authorized and validly executed and delivered by the parties thereto (other than the Company); (v) that the Shares, the Warrants, and the Warrant Shares will be issued and sold in compliance with applicable U.S. federal and state securities laws and in the manner stated in the Registration Statement and the Prospectus; and (vi) the legal capacity of all natural persons. </w:t>
      </w:r>
    </w:p>
    <w:p>
      <w:pPr>
        <w:pStyle w:val="TextBody"/>
        <w:bidi w:val="0"/>
        <w:spacing w:before="240" w:after="0"/>
        <w:jc w:val="center"/>
        <w:rPr>
          <w:rFonts w:ascii="Times New Roman" w:hAnsi="Times New Roman"/>
          <w:sz w:val="20"/>
        </w:rPr>
      </w:pPr>
      <w:r>
        <w:rPr>
          <w:rFonts w:ascii="Times New Roman" w:hAnsi="Times New Roman"/>
          <w:sz w:val="20"/>
        </w:rPr>
        <w:t xml:space="preserve">AUSTIN  BOSTON  BOULDER  BRUSSELS  CENTURY CITY  HONG KONG  LONDON   </w:t>
      </w:r>
    </w:p>
    <w:p>
      <w:pPr>
        <w:pStyle w:val="TextBody"/>
        <w:bidi w:val="0"/>
        <w:spacing w:before="0" w:after="0"/>
        <w:jc w:val="center"/>
        <w:rPr>
          <w:rFonts w:ascii="Times New Roman" w:hAnsi="Times New Roman"/>
          <w:sz w:val="20"/>
        </w:rPr>
      </w:pPr>
      <w:r>
        <w:rPr>
          <w:rFonts w:ascii="Times New Roman" w:hAnsi="Times New Roman"/>
          <w:sz w:val="20"/>
        </w:rPr>
        <w:t xml:space="preserve">LOS ANGELES  NEW YORK  PALO ALTO SALT LAKE CITY  SAN DIEGO   </w:t>
      </w:r>
    </w:p>
    <w:p>
      <w:pPr>
        <w:pStyle w:val="TextBody"/>
        <w:bidi w:val="0"/>
        <w:spacing w:before="0" w:after="0"/>
        <w:jc w:val="center"/>
        <w:rPr>
          <w:rFonts w:ascii="Times New Roman" w:hAnsi="Times New Roman"/>
          <w:sz w:val="20"/>
        </w:rPr>
      </w:pPr>
      <w:r>
        <w:rPr>
          <w:rFonts w:ascii="Times New Roman" w:hAnsi="Times New Roman"/>
          <w:sz w:val="20"/>
        </w:rPr>
        <w:t xml:space="preserve">SAN FRANCISCO  SEATTLE  SHANGHAI  WASHINGTON, DC  WILMINGTON, DE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09600" cy="228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09600" cy="228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PMV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September 1,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on and subject to the foregoing, we are of the opinion that (i) the Shares have been duly authorized and, when issued and delivered by the Company against payment therefor in accordance with the terms of the Underwriting Agreement, will be validly issued, fully paid and nonassessable; (ii) the Warrants have been duly authorized and, when executed and delivered by the Company against payment therefor in accordance with the terms of the Underwriting Agreement, will constitute valid and binding obligations of the Company, enforceable against the Company in accordance with their terms; and (iii) the Warrant Shares have been duly authorized and, when issued and delivered by the Company upon exercise of the Warrants in accordance with the terms of the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as to (i) the effect of any bankruptcy, insolvency, reorganization, arrangement, fraudulent conveyance, moratorium or other similar laws relating to or affecting the rights of creditors generally, (ii) rights to indemnification and contribution which may be limited by applicable law or equitable principles, or (iii) the effect of general principles of equity, including, without limitation, concepts of materiality, reasonableness, good faith and fair dealing, the effect of judicial discretion and the possible unavailability of specific performance, injunctive relief or other equitable relief, and the limitations on rights of acceleration,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filed on or about the date hereof for incorporation by reference into the Registration Statement and to the use of our name wherever it appears in the Registration Statement, the Prospectus and in any amendment or supplement thereto. In giving such consent, we do not believe that we are “experts” within the meaning of such term as used in the Securities Act of 1933, as amended, or the rules and regulations of the Commission issued thereunder with respect to any part of the Registration Statement, including this opinion as an exhibit or otherwise.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Wilson Sonsini Goodrich &amp; Rosati, P.C.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WILSON SONSINI GOODRICH &amp; ROSATI</w:t>
            </w:r>
          </w:p>
        </w:tc>
      </w:tr>
      <w:tr>
        <w:trPr/>
        <w:tc>
          <w:tcPr>
            <w:tcW w:w="4082" w:type="dxa"/>
            <w:tcBorders/>
          </w:tcPr>
          <w:p>
            <w:pPr>
              <w:pStyle w:val="TableContents"/>
              <w:bidi w:val="0"/>
              <w:spacing w:before="0" w:after="283"/>
              <w:jc w:val="left"/>
              <w:rPr/>
            </w:pPr>
            <w:r>
              <w:rPr/>
              <w:t>Professional Corporation</w:t>
            </w:r>
          </w:p>
        </w:tc>
      </w:tr>
    </w:tbl>
    <w:p>
      <w:pPr>
        <w:pStyle w:val="TextBody"/>
        <w:bidi w:val="0"/>
        <w:spacing w:before="0" w:after="0"/>
        <w:jc w:val="right"/>
        <w:rPr>
          <w:rFonts w:ascii="Times New Roman" w:hAnsi="Times New Roman"/>
          <w:b/>
          <w:sz w:val="20"/>
        </w:rPr>
      </w:pPr>
      <w:bookmarkStart w:id="10" w:name="d113784dex991.htm"/>
      <w:bookmarkStart w:id="11" w:name="ksd113784dex991"/>
      <w:bookmarkEnd w:id="10"/>
      <w:bookmarkEnd w:id="11"/>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3181350" cy="609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181350" cy="6096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PMV Pharma Announces Pricing of Oversubscribed $50Million Public Offering of Securities </w:t>
      </w:r>
    </w:p>
    <w:p>
      <w:pPr>
        <w:pStyle w:val="TextBody"/>
        <w:bidi w:val="0"/>
        <w:spacing w:before="240" w:after="0"/>
        <w:jc w:val="left"/>
        <w:rPr>
          <w:rFonts w:ascii="Times New Roman" w:hAnsi="Times New Roman"/>
          <w:sz w:val="20"/>
        </w:rPr>
      </w:pPr>
      <w:r>
        <w:rPr>
          <w:rFonts w:ascii="Times New Roman" w:hAnsi="Times New Roman"/>
          <w:b/>
          <w:sz w:val="20"/>
        </w:rPr>
        <w:t>PRINCETON, N.J.</w:t>
      </w:r>
      <w:r>
        <w:rPr>
          <w:rFonts w:ascii="Times New Roman" w:hAnsi="Times New Roman"/>
          <w:sz w:val="20"/>
        </w:rPr>
        <w:t xml:space="preserve">, August 31, 2026 (GLOBE NEWSWIRE) — PMV Pharmaceuticals, Inc. (“PMV Pharma” or the “Company”; Nasdaq: PMVP), a precision oncology company pioneering the discovery and development of small molecule therapies targeting p53, announced today the pricing of an underwritten public offering consisting of (i) 22,055,000 shares of its common stock and, in lieu of common stock to certain investors, pre-funded warrants to purchase an aggregate of up to 19,900,000 shares of its common stock, and (ii) accompanying warrants to purchase an aggregate of 41,955,000 shares of common stock. The common stock and pre-funded warrants are being sold in combination with an accompanying warrant to purchase one share of common stock for each share of common stock or pre-funded warrant sold. The accompanying warrants have an initial exercise price of $1.21 per share, subject to adjustment following a specified regulatory milestone, are immediately exercisable from the date of issuance and will expire five years from the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The combined public offering price of each share of common stock and accompanying warrant is $1.21. The combined public offering price of each pre-funded warrant and accompanying warrant is $1.20999, representing the purchase price less an exercise price of $0.00001 per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All of the securities being sold in the offering are being sold by PMV Pharma. The gross proceeds from the offering, before deducting underwriting discounts and commissions and offering expenses, and any exercise of the warrants, are expected to be approximately $50.8 million. </w:t>
      </w:r>
    </w:p>
    <w:p>
      <w:pPr>
        <w:pStyle w:val="TextBody"/>
        <w:bidi w:val="0"/>
        <w:spacing w:before="240" w:after="0"/>
        <w:jc w:val="left"/>
        <w:rPr>
          <w:rFonts w:ascii="Times New Roman" w:hAnsi="Times New Roman"/>
          <w:sz w:val="20"/>
        </w:rPr>
      </w:pPr>
      <w:r>
        <w:rPr>
          <w:rFonts w:ascii="Times New Roman" w:hAnsi="Times New Roman"/>
          <w:sz w:val="20"/>
        </w:rPr>
        <w:t xml:space="preserve">TD Cowen is acting as the sole book-running manager for the offering. The offering is expected to close on or about September 2, 2026, subject to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being offered by PMV Pharma pursuant to a shelf registration statement on Form S-3 (Registration No. 333-283349), as filed with the U.S. Securities and Exchange Commission (“SEC”) on November 20, 2024 and declared effective by the SEC on November 27, 2024. A preliminary prospectus supplement relating to and describing the terms of the offering was filed with the SEC on August 31, 2026. The final prospectus supplement and accompanying prospectus relating to and describing the terms of the offering will be filed with the SEC and may also be obtained, when available, from: TD Securities (USA) LLC, by mail at c/o Broadridge Financial Solutions, 1155 Long Island Avenue, Edgewood, NY 11717 or by email at </w:t>
      </w:r>
      <w:r>
        <w:rPr>
          <w:rFonts w:ascii="Times New Roman" w:hAnsi="Times New Roman"/>
          <w:sz w:val="20"/>
          <w:u w:val="single"/>
        </w:rPr>
        <w:t>TDManualrequest@broadridge.com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PMV Pharma </w:t>
      </w:r>
    </w:p>
    <w:p>
      <w:pPr>
        <w:pStyle w:val="TextBody"/>
        <w:bidi w:val="0"/>
        <w:spacing w:before="120" w:after="0"/>
        <w:jc w:val="left"/>
        <w:rPr>
          <w:rFonts w:ascii="Times New Roman" w:hAnsi="Times New Roman"/>
          <w:sz w:val="20"/>
        </w:rPr>
      </w:pPr>
      <w:r>
        <w:rPr>
          <w:rFonts w:ascii="Times New Roman" w:hAnsi="Times New Roman"/>
          <w:sz w:val="20"/>
        </w:rPr>
        <w:t xml:space="preserve">PMV Pharma is a precision oncology company pioneering the discovery and development of small molecule therapies targeting p53. TP53 mutations are found in approximately half of all cancers. PMV Pharma is headquartered in Princeton, New Jersey. For more information, please visit </w:t>
      </w:r>
      <w:r>
        <w:rPr>
          <w:rFonts w:ascii="Times New Roman" w:hAnsi="Times New Roman"/>
          <w:sz w:val="20"/>
          <w:u w:val="single"/>
        </w:rPr>
        <w:t>www.pmvpharma.com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Certain statements in this press release may constitute “forward-looking statements” within the meaning of the federal securities laws, including, but not limited to those related to the completion of the proposed public offering.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While PMV Pharma believes these forward-looking statements are reasonable, undue reliance should not be placed on any such forward-looking statements. These forward-looking statements are based upon current information available to the Company as well as certain estimates and assumptions and are subject to various risks and uncertainties, including, without limitation, those set forth in PMV Pharma’s filings with the SEC, many of which are beyond the Company’s control and subject to change. Actual results could be materially different from those indicated by such forward-looking statements as a result of many factors, including but not limited to: whether or not the Company will be able to raise capital through the sale of securities or consummate the offering; the final terms of the offering; the satisfaction of customary closing conditions; prevailing market conditions; general economic and market conditions as well as geopolitical developments; and other risks and uncertainties which may be found in the section entitled “Risk Factors” in documents that the Company files from time to time with the SEC, including PMV Pharma’s Annual Report on Form 10-K for the year ended December 31, 2025 and PMV Pharma’s Quarterly Report on Form 10-Q for the quarter ended June 30, 2026 and the registration statement and the preliminary prospectus supplement relating to the proposed public offering. New risks and uncertainties may emerge from time to time, and it is not possible to predict all risks and uncertainties. PMV Pharma claims the protection of the Safe Harbor contained in the Private Securities Litigation Reform Act of 1995 for forward-looking statements. PMV Pharma expressly disclaims any obligation to update or alter any statements whether as a result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Contact: </w:t>
      </w:r>
    </w:p>
    <w:p>
      <w:pPr>
        <w:pStyle w:val="TextBody"/>
        <w:bidi w:val="0"/>
        <w:spacing w:before="0" w:after="0"/>
        <w:jc w:val="left"/>
        <w:rPr>
          <w:rFonts w:ascii="Times New Roman" w:hAnsi="Times New Roman"/>
          <w:sz w:val="20"/>
        </w:rPr>
      </w:pPr>
      <w:r>
        <w:rPr>
          <w:rFonts w:ascii="Times New Roman" w:hAnsi="Times New Roman"/>
          <w:sz w:val="20"/>
        </w:rPr>
        <w:t xml:space="preserve">Tim Smith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Head of Corporate Development and Investor Relations </w:t>
      </w:r>
    </w:p>
    <w:p>
      <w:pPr>
        <w:pStyle w:val="TextBody"/>
        <w:bidi w:val="0"/>
        <w:spacing w:before="0" w:after="0"/>
        <w:jc w:val="left"/>
        <w:rPr>
          <w:rFonts w:ascii="Times New Roman" w:hAnsi="Times New Roman"/>
          <w:sz w:val="20"/>
        </w:rPr>
      </w:pPr>
      <w:r>
        <w:rPr>
          <w:rFonts w:ascii="Times New Roman" w:hAnsi="Times New Roman"/>
          <w:sz w:val="20"/>
          <w:u w:val="single"/>
        </w:rPr>
        <w:t>investors@pmvpharma.com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Kathy Vincent </w:t>
      </w:r>
    </w:p>
    <w:p>
      <w:pPr>
        <w:pStyle w:val="TextBody"/>
        <w:bidi w:val="0"/>
        <w:spacing w:before="0" w:after="0"/>
        <w:jc w:val="left"/>
        <w:rPr>
          <w:rFonts w:ascii="Times New Roman" w:hAnsi="Times New Roman"/>
          <w:sz w:val="20"/>
        </w:rPr>
      </w:pPr>
      <w:r>
        <w:rPr>
          <w:rFonts w:ascii="Times New Roman" w:hAnsi="Times New Roman"/>
          <w:sz w:val="20"/>
        </w:rPr>
        <w:t xml:space="preserve">Greig Communications </w:t>
      </w:r>
    </w:p>
    <w:p>
      <w:pPr>
        <w:pStyle w:val="TextBody"/>
        <w:bidi w:val="0"/>
        <w:spacing w:before="0" w:after="0"/>
        <w:jc w:val="left"/>
        <w:rPr>
          <w:rFonts w:ascii="Times New Roman" w:hAnsi="Times New Roman"/>
          <w:sz w:val="20"/>
        </w:rPr>
      </w:pPr>
      <w:r>
        <w:rPr>
          <w:rFonts w:ascii="Times New Roman" w:hAnsi="Times New Roman"/>
          <w:sz w:val="20"/>
          <w:u w:val="single"/>
        </w:rPr>
        <w:t>kathy@greigcommunications.com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104</Pages>
  <Words>60534</Words>
  <Characters>315312</Characters>
  <CharactersWithSpaces>376051</CharactersWithSpaces>
  <Paragraphs>1187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