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 2023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46-3218129</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 Research Way</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Princeton, New Jersey 08536</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(609) 642-6670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David H. Mack, Ph.D.</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 Research Way</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Princeton, New Jersey 08536</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(609) 642-6670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tbl>
      <w:tblPr>
        <w:tblLayout w:type="fixed"/>
        <w:tblInd w:w="1680" w:type="dxa"/>
        <w:tblCellMar>
          <w:top w:w="0" w:type="dxa"/>
          <w:left w:w="0" w:type="dxa"/>
          <w:bottom w:w="0" w:type="dxa"/>
          <w:right w:w="0" w:type="dxa"/>
        </w:tblCellMar>
      </w:tblPr>
      <w:tr>
        <w:trPr>
          <w:trHeight w:val="214"/>
        </w:trPr>
        <w:tc>
          <w:tcPr>
            <w:tcW w:w="3020" w:type="dxa"/>
            <w:vAlign w:val="bottom"/>
          </w:tcPr>
          <w:p>
            <w:pPr>
              <w:spacing w:after="0"/>
              <w:rPr>
                <w:sz w:val="18"/>
                <w:szCs w:val="18"/>
                <w:color w:val="auto"/>
              </w:rPr>
            </w:pPr>
          </w:p>
        </w:tc>
        <w:tc>
          <w:tcPr>
            <w:tcW w:w="47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60"/>
        </w:trPr>
        <w:tc>
          <w:tcPr>
            <w:tcW w:w="302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Kenneth A. Clark</w:t>
            </w:r>
          </w:p>
        </w:tc>
        <w:tc>
          <w:tcPr>
            <w:tcW w:w="476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w w:val="99"/>
              </w:rPr>
              <w:t>Winston Kung</w:t>
            </w:r>
          </w:p>
        </w:tc>
      </w:tr>
      <w:tr>
        <w:trPr>
          <w:trHeight w:val="203"/>
        </w:trPr>
        <w:tc>
          <w:tcPr>
            <w:tcW w:w="302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w w:val="99"/>
              </w:rPr>
              <w:t>Tony Jeffries</w:t>
            </w:r>
          </w:p>
        </w:tc>
        <w:tc>
          <w:tcPr>
            <w:tcW w:w="476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Chief Operating Officer and</w:t>
            </w:r>
          </w:p>
        </w:tc>
      </w:tr>
      <w:tr>
        <w:trPr>
          <w:trHeight w:val="203"/>
        </w:trPr>
        <w:tc>
          <w:tcPr>
            <w:tcW w:w="302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Megan J. Baier</w:t>
            </w:r>
          </w:p>
        </w:tc>
        <w:tc>
          <w:tcPr>
            <w:tcW w:w="476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Chief Financial Officer</w:t>
            </w:r>
          </w:p>
        </w:tc>
      </w:tr>
      <w:tr>
        <w:trPr>
          <w:trHeight w:val="203"/>
        </w:trPr>
        <w:tc>
          <w:tcPr>
            <w:tcW w:w="3020" w:type="dxa"/>
            <w:vAlign w:val="bottom"/>
          </w:tcPr>
          <w:p>
            <w:pPr>
              <w:jc w:val="center"/>
              <w:ind w:right="519"/>
              <w:spacing w:after="0"/>
              <w:rPr>
                <w:sz w:val="20"/>
                <w:szCs w:val="20"/>
                <w:color w:val="auto"/>
              </w:rPr>
            </w:pPr>
            <w:r>
              <w:rPr>
                <w:rFonts w:ascii="Times New Roman" w:cs="Times New Roman" w:eastAsia="Times New Roman" w:hAnsi="Times New Roman"/>
                <w:sz w:val="16"/>
                <w:szCs w:val="16"/>
                <w:b w:val="1"/>
                <w:bCs w:val="1"/>
                <w:color w:val="auto"/>
              </w:rPr>
              <w:t>Wilson Sonsini Goodrich &amp; Rosati,</w:t>
            </w:r>
          </w:p>
        </w:tc>
        <w:tc>
          <w:tcPr>
            <w:tcW w:w="476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PMV Pharmaceuticals, Inc.</w:t>
            </w:r>
          </w:p>
        </w:tc>
      </w:tr>
      <w:tr>
        <w:trPr>
          <w:trHeight w:val="203"/>
        </w:trPr>
        <w:tc>
          <w:tcPr>
            <w:tcW w:w="302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Professional Corporation</w:t>
            </w:r>
          </w:p>
        </w:tc>
        <w:tc>
          <w:tcPr>
            <w:tcW w:w="476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1 Research Way</w:t>
            </w:r>
          </w:p>
        </w:tc>
      </w:tr>
      <w:tr>
        <w:trPr>
          <w:trHeight w:val="203"/>
        </w:trPr>
        <w:tc>
          <w:tcPr>
            <w:tcW w:w="302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650 Page Mill Road</w:t>
            </w:r>
          </w:p>
        </w:tc>
        <w:tc>
          <w:tcPr>
            <w:tcW w:w="476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rPr>
              <w:t>Princeton, New Jersey 08536</w:t>
            </w:r>
          </w:p>
        </w:tc>
      </w:tr>
      <w:tr>
        <w:trPr>
          <w:trHeight w:val="203"/>
        </w:trPr>
        <w:tc>
          <w:tcPr>
            <w:tcW w:w="302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Palo Alto, California 94304</w:t>
            </w:r>
          </w:p>
        </w:tc>
        <w:tc>
          <w:tcPr>
            <w:tcW w:w="4760" w:type="dxa"/>
            <w:vAlign w:val="bottom"/>
          </w:tcPr>
          <w:p>
            <w:pPr>
              <w:jc w:val="center"/>
              <w:ind w:left="2679"/>
              <w:spacing w:after="0"/>
              <w:rPr>
                <w:sz w:val="20"/>
                <w:szCs w:val="20"/>
                <w:color w:val="auto"/>
              </w:rPr>
            </w:pPr>
            <w:r>
              <w:rPr>
                <w:rFonts w:ascii="Times New Roman" w:cs="Times New Roman" w:eastAsia="Times New Roman" w:hAnsi="Times New Roman"/>
                <w:sz w:val="16"/>
                <w:szCs w:val="16"/>
                <w:b w:val="1"/>
                <w:bCs w:val="1"/>
                <w:color w:val="auto"/>
                <w:w w:val="99"/>
              </w:rPr>
              <w:t>(609) 642-6670</w:t>
            </w:r>
          </w:p>
        </w:tc>
      </w:tr>
      <w:tr>
        <w:trPr>
          <w:trHeight w:val="212"/>
        </w:trPr>
        <w:tc>
          <w:tcPr>
            <w:tcW w:w="302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9"/>
              </w:rPr>
              <w:t>(650) 493-9300</w:t>
            </w:r>
          </w:p>
        </w:tc>
        <w:tc>
          <w:tcPr>
            <w:tcW w:w="47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49"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9" w:lineRule="exact"/>
        <w:rPr>
          <w:sz w:val="24"/>
          <w:szCs w:val="24"/>
          <w:color w:val="auto"/>
        </w:rPr>
      </w:pPr>
    </w:p>
    <w:p>
      <w:pPr>
        <w:ind w:left="120" w:right="10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6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60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Securities and Exchange Commission, or the Commission, pursuant to Rule 462(e) under the Securities Act,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12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left="120"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3"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6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 w:lineRule="exact"/>
        <w:rPr>
          <w:sz w:val="24"/>
          <w:szCs w:val="24"/>
          <w:color w:val="auto"/>
        </w:rPr>
      </w:pPr>
    </w:p>
    <w:p>
      <w:pPr>
        <w:ind w:left="120" w:right="3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52705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66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This Post-Effective Amendment No. 1 to the Registration Statement on Form S-3ASR (File No. 333-260012), or Post-Effective Amendment No. 1, of PMV Pharmaceuticals, Inc., or the Company, is being filed because the Company expects that it will no longer be a “well-known seasoned issuer” (as such term is defined in Rule 405 of the Securities Act of 1933, as amended) when it files its Annual Report on Form 10-K for the fiscal year ended December 31, 2022. Accordingly, the Company is filing this Post-Effective Amendment No. 1 for the purpose of including disclosure required for a registrant other than a well-known seasoned issuer, identifying the securities being registered, registering a specific amount of securities and paying the associated filing fee.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Post-Effective Amendment No. 1 contains:</w:t>
      </w:r>
    </w:p>
    <w:p>
      <w:pPr>
        <w:spacing w:after="0" w:line="131" w:lineRule="exact"/>
        <w:rPr>
          <w:sz w:val="20"/>
          <w:szCs w:val="20"/>
          <w:color w:val="auto"/>
        </w:rPr>
      </w:pPr>
    </w:p>
    <w:p>
      <w:pPr>
        <w:ind w:left="1080" w:right="3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sale and issuance by us of up to $200 million of our common stock, preferred stock, debt securities, warrants, subscription rights, purchase contracts and units;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24"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sales agreement prospectus supplement covering the offering, issuance and sale by us of up to a maximum aggregate offering price of $150.0 million of our common stock that may be issued and sold from time to time under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or Jefferies.</w:t>
      </w:r>
    </w:p>
    <w:p>
      <w:pPr>
        <w:spacing w:after="0" w:line="199" w:lineRule="exact"/>
        <w:rPr>
          <w:sz w:val="20"/>
          <w:szCs w:val="20"/>
          <w:color w:val="auto"/>
        </w:rPr>
      </w:pPr>
    </w:p>
    <w:p>
      <w:pPr>
        <w:ind w:left="120"/>
        <w:spacing w:after="0" w:line="21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sales agreement prospectus supplement immediately follows the base prospectus. Upon termination of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any amounts included in the sales agreement prospectus supplement that remain unsold will be available for sale in other offerings pursuant to the base prospectus, and if no shares are sold under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the full amount of this registration statement may be sold in other offerings pursuant to the base prospectus and a corresponding prospectus supplement.</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173990</wp:posOffset>
            </wp:positionV>
            <wp:extent cx="340296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securities covered by this prospectus may be sold by PMV Pharmaceuticals, Inc. from time to time. This prospectus provides you with a general description of the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from time to time in one or more offerings, in amounts, at prices and on terms determined at the time of offering, of up to $200,000,000 in the aggregate.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or Nasdaq, under the symbol “PMVP.” On February 24, 2023, the last reported sale price of our common stock was $7.16 per share. Each prospectus supplement will indicate whether the securities offered thereby will be listed on any securities exchange.</w:t>
      </w:r>
    </w:p>
    <w:p>
      <w:pPr>
        <w:spacing w:after="0" w:line="163" w:lineRule="exact"/>
        <w:rPr>
          <w:sz w:val="20"/>
          <w:szCs w:val="20"/>
          <w:color w:val="auto"/>
        </w:rPr>
      </w:pPr>
    </w:p>
    <w:p>
      <w:pPr>
        <w:ind w:left="120" w:right="40" w:firstLine="440"/>
        <w:spacing w:after="0" w:line="237"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PLEASE CAREFULLY READ THE INFORMATION UNDER THE HEADINGS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4 OF THIS PROSPECTUS AND ANY SIMILAR SECTION CONTAINED IN THE APPLICABLE PROSPECTUS SUPPLEMENT AND “ITEM 1A – RISK FACTORS” OF OUR MOST RECENT REPORT ON FORM 10-K OR 10-Q THAT IS INCORPORATED BY REFERENCE IN THIS PROSPECTUS BEFORE YOU INVEST IN OUR SECURITIES.</w:t>
      </w:r>
    </w:p>
    <w:p>
      <w:pPr>
        <w:spacing w:after="0" w:line="1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 2023.</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620" w:type="dxa"/>
            <w:vAlign w:val="bottom"/>
            <w:gridSpan w:val="8"/>
            <w:vMerge w:val="restart"/>
          </w:tcPr>
          <w:p>
            <w:pPr>
              <w:spacing w:after="0"/>
              <w:rPr>
                <w:sz w:val="24"/>
                <w:szCs w:val="24"/>
                <w:color w:val="auto"/>
              </w:rPr>
            </w:pPr>
          </w:p>
        </w:tc>
        <w:tc>
          <w:tcPr>
            <w:tcW w:w="64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620" w:type="dxa"/>
            <w:vAlign w:val="bottom"/>
            <w:gridSpan w:val="8"/>
            <w:vMerge w:val="continue"/>
          </w:tcPr>
          <w:p>
            <w:pPr>
              <w:spacing w:after="0"/>
              <w:rPr>
                <w:sz w:val="14"/>
                <w:szCs w:val="14"/>
                <w:color w:val="auto"/>
              </w:rPr>
            </w:pPr>
          </w:p>
        </w:tc>
        <w:tc>
          <w:tcPr>
            <w:tcW w:w="64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gridSpan w:val="9"/>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20" w:type="dxa"/>
            <w:vAlign w:val="bottom"/>
            <w:gridSpan w:val="5"/>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700" w:type="dxa"/>
            <w:vAlign w:val="bottom"/>
            <w:gridSpan w:val="3"/>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740" w:type="dxa"/>
            <w:vAlign w:val="bottom"/>
            <w:gridSpan w:val="4"/>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gridSpan w:val="10"/>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11"/>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13"/>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4"/>
          </w:tcPr>
          <w:p>
            <w:pPr>
              <w:spacing w:after="0"/>
              <w:rPr>
                <w:sz w:val="17"/>
                <w:szCs w:val="17"/>
                <w:color w:val="auto"/>
              </w:rPr>
            </w:pPr>
          </w:p>
        </w:tc>
        <w:tc>
          <w:tcPr>
            <w:tcW w:w="1340" w:type="dxa"/>
            <w:vAlign w:val="bottom"/>
            <w:gridSpan w:val="2"/>
          </w:tcPr>
          <w:p>
            <w:pPr>
              <w:spacing w:after="0"/>
              <w:rPr>
                <w:sz w:val="17"/>
                <w:szCs w:val="17"/>
                <w:color w:val="auto"/>
              </w:rPr>
            </w:pPr>
          </w:p>
        </w:tc>
        <w:tc>
          <w:tcPr>
            <w:tcW w:w="67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under the Securities Act of 1933, as amended, or the Securities Act, using a “shelf” registration process. By using a shelf registration statement, we may sell securities from time to time and in one or more offerings as described in this prospectus for an aggregate offering amount of up to $200,000,000.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this prospectus, the applicable prospectus supplement and any related free writing prospectus,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or to make any representations other than those contained or incorporated by reference in this prospectus, the applicable prospectus supplement or in any related free writing prospectus prepared by or on behalf of us to which we have referred you. We take no responsibility for, and can provide no assurance as to the reliability of, any other information that others may give you.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materially since those dates. This prospectus and the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“PMV Pharmaceuticals, Inc.,” “we,” “our” and “us” refer, collectively, to PMV Pharmaceuticals,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continue to utilize our platform to target other p53-related cancers.</w:t>
      </w:r>
    </w:p>
    <w:p>
      <w:pPr>
        <w:spacing w:after="0" w:line="188" w:lineRule="exact"/>
        <w:rPr>
          <w:sz w:val="20"/>
          <w:szCs w:val="20"/>
          <w:color w:val="auto"/>
        </w:rPr>
      </w:pPr>
    </w:p>
    <w:p>
      <w:pPr>
        <w:ind w:left="300" w:firstLine="426"/>
        <w:spacing w:after="0" w:line="243" w:lineRule="auto"/>
        <w:rPr>
          <w:sz w:val="20"/>
          <w:szCs w:val="20"/>
          <w:color w:val="auto"/>
        </w:rPr>
      </w:pPr>
      <w:r>
        <w:rPr>
          <w:rFonts w:ascii="Times New Roman" w:cs="Times New Roman" w:eastAsia="Times New Roman" w:hAnsi="Times New Roman"/>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FDA, Fast Track designation of PC14586 for the treatment of patients with locally advanced or metastatic solid tumors that have a p53 Y220C mutation. We presented our preliminary Phase 1 clinical data in June 2022 and we continue to enroll patients in this trial. In December 2022, we opened a separate arm within the existing Phase 1/2 clinical trial combining PC14586 with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collaboration with Merck and Co. In addition, we are leveraging our precision oncology platform to develop a pipeline of oral small molecule product candidates that structurally correct other p53 hotspot mutations to restore their wild-type function and product candidates that target other p53-related cancers.</w:t>
      </w:r>
    </w:p>
    <w:p>
      <w:pPr>
        <w:spacing w:after="0" w:line="200"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w:t>
      </w: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27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82" w:lineRule="auto"/>
        <w:rPr>
          <w:sz w:val="20"/>
          <w:szCs w:val="20"/>
          <w:color w:val="auto"/>
        </w:rPr>
      </w:pPr>
      <w:r>
        <w:rPr>
          <w:rFonts w:ascii="Times New Roman" w:cs="Times New Roman" w:eastAsia="Times New Roman" w:hAnsi="Times New Roman"/>
          <w:sz w:val="18"/>
          <w:szCs w:val="18"/>
          <w:color w:val="auto"/>
        </w:rPr>
        <w:t>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innovation engine consists of three complementary drivers:</w:t>
      </w:r>
    </w:p>
    <w:p>
      <w:pPr>
        <w:spacing w:after="0" w:line="131" w:lineRule="exact"/>
        <w:rPr>
          <w:sz w:val="20"/>
          <w:szCs w:val="20"/>
          <w:color w:val="auto"/>
        </w:rPr>
      </w:pPr>
    </w:p>
    <w:p>
      <w:pPr>
        <w:ind w:left="1240" w:right="5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understanding of, and leadership in, p53 biology that enable unique insights into drugging individual mutations as well as targeting other p53-related cancers;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on a structural basis selective, oral small molecule product candidates; and</w:t>
      </w:r>
    </w:p>
    <w:p>
      <w:pPr>
        <w:spacing w:after="0" w:line="130"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assays, screens, preclinical model systems and biomarkers that enable us to assess and optimize orally available selective small molecule drug product candidates for specific p53 mutants, and for inhibitors of wild-type p53 function.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March 2013 under the name “PJ Pharmaceuticals, Inc.” In July 2013, we changed our name to “PMV Pharmaceuticals, Inc.” Our principal executive offices are located at 1 Research Way, Princeton, New Jersey 08536.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debt securities, warrants, subscription rights, purchase contracts and units in one or more offerings and in any combination for an aggregate offering amount of up to $200,000,000.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common stock, par value $0.00001 per share, either alone or underlying other registered securities convertible into our common stock. Holders of our common stock are entitled to receive dividends, if any, as may be declared from time to time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jc w:val="both"/>
        <w:ind w:left="300" w:right="26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or debt securities.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240" w:firstLine="426"/>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Exchange Act. We may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To the extent that we take advantage of these reduced burdens, the information that we provide stockholders may be different than you might obtain from other public companies in which you hold equity interests.</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together with all of the other information contained or incorporated by reference in the prospectus supplement or appearing or incorporated by reference in this prospectus. You should also consider the risks, uncertainties and assumptions discussed under “</w:t>
      </w:r>
      <w:r>
        <w:rPr>
          <w:rFonts w:ascii="Times New Roman" w:cs="Times New Roman" w:eastAsia="Times New Roman" w:hAnsi="Times New Roman"/>
          <w:sz w:val="18"/>
          <w:szCs w:val="18"/>
          <w:i w:val="1"/>
          <w:iCs w:val="1"/>
          <w:color w:val="auto"/>
        </w:rPr>
        <w:t>Part I—Item 1A—Risk Factors</w:t>
      </w:r>
      <w:r>
        <w:rPr>
          <w:rFonts w:ascii="Times New Roman" w:cs="Times New Roman" w:eastAsia="Times New Roman" w:hAnsi="Times New Roman"/>
          <w:sz w:val="18"/>
          <w:szCs w:val="18"/>
          <w:color w:val="auto"/>
        </w:rPr>
        <w:t>” of our most recent Annual Report on Form 10-K and in “</w:t>
      </w:r>
      <w:r>
        <w:rPr>
          <w:rFonts w:ascii="Times New Roman" w:cs="Times New Roman" w:eastAsia="Times New Roman" w:hAnsi="Times New Roman"/>
          <w:sz w:val="18"/>
          <w:szCs w:val="18"/>
          <w:i w:val="1"/>
          <w:iCs w:val="1"/>
          <w:color w:val="auto"/>
        </w:rPr>
        <w:t>Part II—Item 1A—Risk Factors</w:t>
      </w:r>
      <w:r>
        <w:rPr>
          <w:rFonts w:ascii="Times New Roman" w:cs="Times New Roman" w:eastAsia="Times New Roman" w:hAnsi="Times New Roman"/>
          <w:sz w:val="18"/>
          <w:szCs w:val="18"/>
          <w:color w:val="auto"/>
        </w:rPr>
        <w:t>” in our most recent Quarterly Report on Form 10-Q filed subsequent to such Form 10-K or Current Reports on Form 8-K we file after the date of this prospectus,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contain certain statements that constitute “forward-looking statements” within the meaning of Section 27A of the Securities Act and Section 21E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Exchange Act of 1934, as amended, or the Exchange Act. The words “believe,” “may,” “will,” “estimate,” “continue,” “anticipate,” “intend,”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 “could,” “would,” “project,” “plan,” “potentially,” “likely,” and similar expressions and variations thereof are intended to identify forward-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looking statements, but are not the exclusive means of identifying such statements. Those statements appear in this prospectus, any accompanying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prospectus supplement and the documents incorporated herein and therein by reference, particularly in the sections captioned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and include statements regarding the intent, belief or current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expectations of our management that are subject to known and unknown risks, uncertainties and assumptions. You are cautioned that any such forward-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looking statements are not guarantees of future performance and involve risks and uncertainties, and that actual results may differ materially from those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projected in the forward-looking statements as a result of various factors.</w:t>
      </w:r>
    </w:p>
    <w:p>
      <w:pPr>
        <w:spacing w:after="0" w:line="2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our intended use for the net proceeds received from the sale of any securities. We will retain broad discretion over the use of the net proceeds to us from the sale of our securities under this prospectus. Pending our use of the net proceeds from the sale of our securities, we intend to invest the net proceeds in bank deposits, money market funds, treasury obligations, and investment-grade securities.</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1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Copies of these documents have been filed with the SEC as exhibits to our registration statement, of which this prospectus forms a part.</w:t>
      </w:r>
    </w:p>
    <w:p>
      <w:pPr>
        <w:spacing w:after="0" w:line="15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$0.00001 per share, and 5,000,000 shares of preferred stock, par value $0.00001 per share. The number of beneficial stockholders is substantially greater than the number of stockholders of record as a large portion of our common stock is held through brokerage firms.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stockholders do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Our board of directors has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preferred stock we may issue will be fully paid and nonassessable upon issuance.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registration rights pursuant to our investors’ rights agreement, as amended. Holders of such shares of our common stock have the right to require us to register the offer and sale of their shares or to include their shares in any registration statement we file, in each case as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Certain holders of shares of our common stock are entitled to certain demand registration rights. At any time beginning after 180 days following the date of our initial public offering,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holders of shares of our common stock are entitled to certain Form S-3 registration rights.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Certain holders of shares of our common stock are entitled to certain “piggyback” registration rights. If we propose to register the offer and sale of shares of our common stock under the Securities Act, all holders of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pay all expenses relating to any demand registrations, Form S-3 registrations and piggyback registrations, subject to specified exceptions.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registration rights terminate upon the earliest of (i) September 29, 2025, (ii) immediately prior to the completion of certain liquidation events and (iii) as to a given holder of registration rights, the date after the closing of our initial public offering when such holder of registration rights can sell all of such holder’s registrable securities during any 90-day period pursuant to Rule 144 promulgated under the Securities Act.</w:t>
      </w:r>
    </w:p>
    <w:p>
      <w:pPr>
        <w:spacing w:after="0" w:line="28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Amended and Restated Certificate of Incorporation and Our Amended and Restated Bylaws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or DGCL, and certain provisions of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divided into three classes, designated Class I, Class II and Class III. Each class contains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shares present in person or by proxy at a meeting of stockholders and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except as otherwise required by law or subject to the terms of any series of preferred stock,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must be delivered to and received at our principal executive offices before notice of the meeting is issued by the secretary of the company, with such notice being served not less than 90 nor more than 120 days before the meeting. Although our amended and restated bylaws do not give the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Amending our Certificate of Incorporation and Bylaws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may be amended or altered in any manner provided by the DGCL, except that amendment of certain provisions would require the approval of two-thirds of our then outstanding common stock.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“PMVP.”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 and registrar’s address is 6201 15th Avenue, Brooklyn, New York 11219. The transfer agent and registrar’s phone number is 800-937-5449.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any applicable prospectus supplement or in the indenture with respect to the debt securities and any change in the acceleration provisions described in this prospectus, any applicable prospectus supplement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any applicable prospectus supplement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320" w:firstLine="96"/>
        <w:spacing w:after="0" w:line="578" w:lineRule="auto"/>
        <w:tabs>
          <w:tab w:leader="none" w:pos="109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applicable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b w:val="1"/>
          <w:bCs w:val="1"/>
          <w:i w:val="1"/>
          <w:iCs w:val="1"/>
          <w:color w:val="auto"/>
        </w:rPr>
        <w:t>Legal Defeasance</w:t>
      </w: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131" w:lineRule="exact"/>
        <w:rPr>
          <w:sz w:val="20"/>
          <w:szCs w:val="20"/>
          <w:color w:val="auto"/>
        </w:rPr>
      </w:pPr>
    </w:p>
    <w:p>
      <w:pPr>
        <w:ind w:left="1080" w:right="1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sell our securities from time to time in one or more transactions. We may sell securities to or through underwriters, dealers, agents, remarketing firms or other third parties to directly to one or more purchasers or through a combination of any of these methods. We may issue the securities as a dividend or distribution or in a subscription rights offering to our existing securityholders, if legally permitted. In some cases, we or dealers acting with us or on behalf of us may also purchase our securities and reoffer them to the public. We may also offer and sell, or agree to deliver, our securities pursuant to, or in connection with, any option agreement or other contractual arrangement.</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of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If a dealer is utilized in the sale of the securities in respect of which the prospectus supplement is delivered, we will sell such securities to the dealer, as principal. The dealer may then resell such securities to the public at varying prices to be determined by such dealer at the time of resale.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hereby on behalf of PMV Pharmaceuticals, Inc. will be passed upon for us by Wilson Sonsini Goodrich &amp; Rosati, Professional Corporation, Palo Alto, California. Certain members of, and investment partnerships comprised of members of, and persons associated with, Wilson Sonsini Goodrich &amp; Rosati, Professional Corporation own less than one percent of our common stock. Additional legal matters may be passed on for us, or any underwriters, dealers or agents by counsel we will name in the applicable prospectus supplement.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financial statements of PMV Pharmaceuticals, Inc. appearing in PMV Pharmaceuticals, Inc.’s Annual Report (Form 10-K) for the year ended December 31, 2021, and the effectiveness of PMV Pharmaceuticals,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and the inclusion of our website address in this prospectus is an inactive textual reference only.</w:t>
      </w:r>
    </w:p>
    <w:p>
      <w:pPr>
        <w:spacing w:after="0" w:line="180"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other than those documents or the portions of those documents furnished, rather than filed, including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8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53">
        <w:r>
          <w:rPr>
            <w:rFonts w:ascii="Times New Roman" w:cs="Times New Roman" w:eastAsia="Times New Roman" w:hAnsi="Times New Roman"/>
            <w:sz w:val="18"/>
            <w:szCs w:val="18"/>
            <w:u w:val="single" w:color="auto"/>
            <w:color w:val="0000EE"/>
          </w:rPr>
          <w:t>March 1,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filed with the SEC on </w:t>
      </w:r>
      <w:hyperlink r:id="rId54">
        <w:r>
          <w:rPr>
            <w:rFonts w:ascii="Times New Roman" w:cs="Times New Roman" w:eastAsia="Times New Roman" w:hAnsi="Times New Roman"/>
            <w:sz w:val="18"/>
            <w:szCs w:val="18"/>
            <w:u w:val="single" w:color="auto"/>
            <w:color w:val="0000EE"/>
          </w:rPr>
          <w:t>May 10, 2022</w:t>
        </w:r>
      </w:hyperlink>
      <w:r>
        <w:rPr>
          <w:rFonts w:ascii="Times New Roman" w:cs="Times New Roman" w:eastAsia="Times New Roman" w:hAnsi="Times New Roman"/>
          <w:sz w:val="18"/>
          <w:szCs w:val="18"/>
          <w:color w:val="auto"/>
        </w:rPr>
        <w:t xml:space="preserve">, June 30, 2022, filed with the SEC on </w:t>
      </w:r>
      <w:hyperlink r:id="rId55">
        <w:r>
          <w:rPr>
            <w:rFonts w:ascii="Times New Roman" w:cs="Times New Roman" w:eastAsia="Times New Roman" w:hAnsi="Times New Roman"/>
            <w:sz w:val="18"/>
            <w:szCs w:val="18"/>
            <w:u w:val="single" w:color="auto"/>
            <w:color w:val="0000EE"/>
          </w:rPr>
          <w:t>August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September 30, 2022, filed with the SEC on </w:t>
      </w:r>
      <w:hyperlink r:id="rId56">
        <w:r>
          <w:rPr>
            <w:rFonts w:ascii="Times New Roman" w:cs="Times New Roman" w:eastAsia="Times New Roman" w:hAnsi="Times New Roman"/>
            <w:sz w:val="18"/>
            <w:szCs w:val="18"/>
            <w:u w:val="single" w:color="auto"/>
            <w:color w:val="0000EE"/>
          </w:rPr>
          <w:t>November 8,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(other than information furnished rather than filed) that are incorporated by reference into our Annual Report on Form 10-K for the year ended December 31, 2021, filed with the SEC on </w:t>
      </w:r>
      <w:hyperlink r:id="rId57">
        <w:r>
          <w:rPr>
            <w:rFonts w:ascii="Times New Roman" w:cs="Times New Roman" w:eastAsia="Times New Roman" w:hAnsi="Times New Roman"/>
            <w:sz w:val="18"/>
            <w:szCs w:val="18"/>
            <w:u w:val="single" w:color="auto"/>
            <w:color w:val="0000EE"/>
          </w:rPr>
          <w:t>April 22,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8">
        <w:r>
          <w:rPr>
            <w:rFonts w:ascii="Times New Roman" w:cs="Times New Roman" w:eastAsia="Times New Roman" w:hAnsi="Times New Roman"/>
            <w:sz w:val="18"/>
            <w:szCs w:val="18"/>
            <w:u w:val="single" w:color="auto"/>
            <w:color w:val="0000EE"/>
          </w:rPr>
          <w:t>January 6, 2022</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June 6, 2022</w:t>
        </w:r>
      </w:hyperlink>
      <w:r>
        <w:rPr>
          <w:rFonts w:ascii="Times New Roman" w:cs="Times New Roman" w:eastAsia="Times New Roman" w:hAnsi="Times New Roman"/>
          <w:sz w:val="18"/>
          <w:szCs w:val="18"/>
          <w:color w:val="auto"/>
        </w:rPr>
        <w:t xml:space="preserve">, and </w:t>
      </w:r>
      <w:hyperlink r:id="rId60">
        <w:r>
          <w:rPr>
            <w:rFonts w:ascii="Times New Roman" w:cs="Times New Roman" w:eastAsia="Times New Roman" w:hAnsi="Times New Roman"/>
            <w:sz w:val="18"/>
            <w:szCs w:val="18"/>
            <w:u w:val="single" w:color="auto"/>
            <w:color w:val="0000EE"/>
          </w:rPr>
          <w:t>November 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relating thereto, filed on </w:t>
      </w:r>
      <w:hyperlink r:id="rId61">
        <w:r>
          <w:rPr>
            <w:rFonts w:ascii="Times New Roman" w:cs="Times New Roman" w:eastAsia="Times New Roman" w:hAnsi="Times New Roman"/>
            <w:sz w:val="18"/>
            <w:szCs w:val="18"/>
            <w:u w:val="single" w:color="auto"/>
            <w:color w:val="0000EE"/>
          </w:rPr>
          <w:t>September 21, 2020</w:t>
        </w:r>
      </w:hyperlink>
      <w:r>
        <w:rPr>
          <w:rFonts w:ascii="Times New Roman" w:cs="Times New Roman" w:eastAsia="Times New Roman" w:hAnsi="Times New Roman"/>
          <w:sz w:val="18"/>
          <w:szCs w:val="18"/>
          <w:color w:val="auto"/>
        </w:rPr>
        <w:t xml:space="preserve">, as updated by the description of our common stock contained in Exhibit 4.1 to our Annual Report on Form 10-K for the fiscal year ended December 31, 2020, filed with the SEC on </w:t>
      </w:r>
      <w:hyperlink r:id="rId62">
        <w:r>
          <w:rPr>
            <w:rFonts w:ascii="Times New Roman" w:cs="Times New Roman" w:eastAsia="Times New Roman" w:hAnsi="Times New Roman"/>
            <w:sz w:val="18"/>
            <w:szCs w:val="18"/>
            <w:u w:val="single" w:color="auto"/>
            <w:color w:val="0000EE"/>
          </w:rPr>
          <w:t>March 3,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 Research Way</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Princeton, New Jersey 08536</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642-6670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643890</wp:posOffset>
            </wp:positionV>
            <wp:extent cx="3402965" cy="685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200" w:lineRule="exact"/>
        <w:rPr>
          <w:sz w:val="20"/>
          <w:szCs w:val="20"/>
          <w:color w:val="auto"/>
        </w:rPr>
      </w:pPr>
    </w:p>
    <w:p>
      <w:pPr>
        <w:spacing w:after="0" w:line="2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Up to $200,000,000</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714375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173990</wp:posOffset>
            </wp:positionV>
            <wp:extent cx="3402965" cy="685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Up to $150,000,000 Shares of Common Stock</w:t>
      </w:r>
    </w:p>
    <w:p>
      <w:pPr>
        <w:spacing w:after="0" w:line="128" w:lineRule="exact"/>
        <w:rPr>
          <w:sz w:val="20"/>
          <w:szCs w:val="20"/>
          <w:color w:val="auto"/>
        </w:rPr>
      </w:pPr>
    </w:p>
    <w:p>
      <w:pPr>
        <w:ind w:left="120" w:right="40" w:firstLine="440"/>
        <w:spacing w:after="0" w:line="242" w:lineRule="auto"/>
        <w:rPr>
          <w:sz w:val="20"/>
          <w:szCs w:val="20"/>
          <w:color w:val="auto"/>
        </w:rPr>
      </w:pPr>
      <w:r>
        <w:rPr>
          <w:rFonts w:ascii="Times New Roman" w:cs="Times New Roman" w:eastAsia="Times New Roman" w:hAnsi="Times New Roman"/>
          <w:sz w:val="18"/>
          <w:szCs w:val="18"/>
          <w:color w:val="auto"/>
        </w:rPr>
        <w:t>We previously entered into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or sales agreement, with Jefferies LLC, or Jefferies, relating to shares of our common stock offered by this prospectus supplement. In accordance with the terms of the sales agreement, we may offer and sell shares of our common stock having an aggregate offering price of up to $150.0 million from time to time to or through Jefferies as our sales agent. We originally filed a prospectus supplement, dated October 4, 2021, or the Prior ATM Prospectus Supplement, for the offer and sale of up to $150.0 million of shares of our common stock, from time to time through Jefferies, acting as our sales agent, pursuant to the sales agreement under the automatic shelf registration statement on Form S-3ASR (Registration Statement No. 333-260012). As of the date of this prospectus, we have not issued and sold any shares of our common stock pursuant to the sales agreement and the Prior ATM Prospectus Supplement. The common stock remaining available to be sold under the Prior ATM Prospectus Supplement as of the date of this prospectus will no longer be offered and sold under the Prior ATM Prospectus Supplement, but will instead be offered and sold under this prospectus. Accordingly, we may offer and shell shares of our common stock having an aggregate offering price of up to $150.0 million.</w:t>
      </w:r>
    </w:p>
    <w:p>
      <w:pPr>
        <w:spacing w:after="0" w:line="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“PMVP.” On February 24, 2023, the last reported sale price of our common stock was $7.16 per share.</w:t>
      </w:r>
    </w:p>
    <w:p>
      <w:pPr>
        <w:spacing w:after="0" w:line="5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in sales deemed to be “at the market offerings” as defined in Rule 415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7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to Jefferies for sales of common stock sold pursuant to the sales agreement will be equal to 3.0% of the gross proceeds of any shares of common stock sold under the sales agreement. See “Plan of Distribution” beginning on page S-12 for additional information regarding Jefferies’ compensation.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w:t>
      </w:r>
    </w:p>
    <w:p>
      <w:pPr>
        <w:spacing w:after="0" w:line="66" w:lineRule="exact"/>
        <w:rPr>
          <w:sz w:val="20"/>
          <w:szCs w:val="20"/>
          <w:color w:val="auto"/>
        </w:rPr>
      </w:pPr>
    </w:p>
    <w:p>
      <w:pPr>
        <w:ind w:left="120" w:right="46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SIGNIFICANT RISKS. YOU SHOULD REVIEW CAREFULLY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S-5 OF THIS PROSPECTUS SUPPLEMENT, AND IN THE ACCOMPANYING PROSPECTUS AND IN THE DOCUMENTS INCORPORATED BY REFERENCE IN THIS PROSPECTUS SUPPLEMENT THAT WE FILE WITH THE SECURITIES AND EXCHANGE COMMISSION BEFORE INVESTING IN OUR COMMON STOCK.</w:t>
      </w:r>
    </w:p>
    <w:p>
      <w:pPr>
        <w:spacing w:after="0" w:line="7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1, 2023</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8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80" w:type="dxa"/>
            <w:vAlign w:val="bottom"/>
            <w:gridSpan w:val="3"/>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392"/>
        </w:trPr>
        <w:tc>
          <w:tcPr>
            <w:tcW w:w="24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720" w:type="dxa"/>
            <w:vAlign w:val="bottom"/>
            <w:gridSpan w:val="3"/>
            <w:vMerge w:val="restart"/>
          </w:tcPr>
          <w:p>
            <w:pPr>
              <w:spacing w:after="0"/>
              <w:rPr>
                <w:sz w:val="24"/>
                <w:szCs w:val="24"/>
                <w:color w:val="auto"/>
              </w:rPr>
            </w:pPr>
          </w:p>
        </w:tc>
        <w:tc>
          <w:tcPr>
            <w:tcW w:w="636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80" w:type="dxa"/>
            <w:vAlign w:val="bottom"/>
            <w:tcBorders>
              <w:bottom w:val="single" w:sz="8" w:color="0000EE"/>
            </w:tcBorders>
            <w:gridSpan w:val="9"/>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636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6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780" w:type="dxa"/>
            <w:vAlign w:val="bottom"/>
            <w:gridSpan w:val="4"/>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3"/>
          </w:tcPr>
          <w:p>
            <w:pPr>
              <w:spacing w:after="0"/>
              <w:rPr>
                <w:sz w:val="17"/>
                <w:szCs w:val="17"/>
                <w:color w:val="auto"/>
              </w:rPr>
            </w:pPr>
          </w:p>
        </w:tc>
        <w:tc>
          <w:tcPr>
            <w:tcW w:w="3040" w:type="dxa"/>
            <w:vAlign w:val="bottom"/>
            <w:gridSpan w:val="7"/>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780" w:type="dxa"/>
            <w:vAlign w:val="bottom"/>
            <w:gridSpan w:val="6"/>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8"/>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3"/>
          </w:tcPr>
          <w:p>
            <w:pPr>
              <w:spacing w:after="0"/>
              <w:rPr>
                <w:sz w:val="17"/>
                <w:szCs w:val="17"/>
                <w:color w:val="auto"/>
              </w:rPr>
            </w:pPr>
          </w:p>
        </w:tc>
        <w:tc>
          <w:tcPr>
            <w:tcW w:w="1340" w:type="dxa"/>
            <w:vAlign w:val="bottom"/>
            <w:gridSpan w:val="2"/>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relates to the offering of our common stock. Before buying any of the common stock that we are offering, we urge you to carefully read this prospectus supplement, the accompanying prospectus, any free writing prospectus that we have authorized for use in connection with this offering, and the information incorporated by reference as described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in this prospectus supplement. These documents contain important information that you should consider when making your investment decision. Generally, when we refer to this “prospectus,” we are referring to the prospectus supplement and the accompanying prospectus combined.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describes the terms of this offering of common stock and also adds to and updates information contained in the documents incorporated by reference into this prospectus supplement. To the extent there is a conflict between the information contained in this prospectus supplement, on the one hand, and the information contained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into this prospectus supplement—the statement in the document having the later date modifies or supersedes the earlier statement.</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and Jefferies has not, authorized anyone to provide you with information different than or inconsistent with the information contained in or incorporated by reference into this prospectus supplement or in any free writing prospectus that we have authorized for use in connection with this offering. We and Jefferies take no responsibility for, and can provide no assurance as to the reliability of, any other information that others may give you. We are not, and Jefferies is not, making an offer to sell these securities in any jurisdiction where the offer or sale is not permitted. You should assume that the information appearing in this prospectus supplement and the documents incorporated by reference into this prospectus supplement, and in any free writing prospectus that we have authorized for use in connection with this offering, is accurate only as of the date of those respective documents, regardless of the time of delivery of those respective documents. Our business, financial condition, results of operations and prospects may have changed since those dates. You should read this prospectus supplement, the documents incorporated by reference into this prospectus supplement, and any free writing prospectus that we have authorized for use in connection with this offering, in their entirety before making an investment decision. You should also read and consider the information in the documents to which we have referred you to in the section of this prospectus supplement titled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61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certain of the information contained elsewhere in, or incorporated by reference into, this prospectus supplement and the accompanying prospectus. This summary does not contain all of the information that may be important to you. You should carefully read this entire prospectus supplement and the accompanying prospectus, including any information incorporated by reference, which are described under the headings “Where You Can Find More Information” and “Incorporation by Reference” herein and therein. In particular, you should carefully consider the risks and uncertainties described under the heading “Risk Factors” in this prospectus supplement and in the accompanying prospectus, as well as those contained in the other documents incorporated by reference and any related free writing prospectus. As used in this prospectus supplement, unless the context otherwise requires, references to “we,” “us,” “our,” “our company,” and “PMV” refer to PMV Pharmaceuticals, Inc.</w:t>
      </w:r>
    </w:p>
    <w:p>
      <w:pPr>
        <w:spacing w:after="0" w:line="187"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continue to utilize our platform to target other p53-related cancers.</w:t>
      </w:r>
    </w:p>
    <w:p>
      <w:pPr>
        <w:spacing w:after="0" w:line="188" w:lineRule="exact"/>
        <w:rPr>
          <w:sz w:val="20"/>
          <w:szCs w:val="20"/>
          <w:color w:val="auto"/>
        </w:rPr>
      </w:pPr>
    </w:p>
    <w:p>
      <w:pPr>
        <w:ind w:left="300" w:firstLine="426"/>
        <w:spacing w:after="0" w:line="243" w:lineRule="auto"/>
        <w:rPr>
          <w:sz w:val="20"/>
          <w:szCs w:val="20"/>
          <w:color w:val="auto"/>
        </w:rPr>
      </w:pPr>
      <w:r>
        <w:rPr>
          <w:rFonts w:ascii="Times New Roman" w:cs="Times New Roman" w:eastAsia="Times New Roman" w:hAnsi="Times New Roman"/>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initiated a Phase 1/2 clinical trial in October 2020. Our strategy is to seek approval under an accelerated pathway, and we believe our Phase 1/2 clinical trial has the potential to serve as a pivotal study. In October 2020, we were granted U.S. Food and Drug Administration, or FDA, Fast Track designation of PC14586 for the treatment of patients with locally advanced or metastatic solid tumors that have a p53 Y220C mutation. We presented our preliminary Phase 1 clinical data in June 2022 and we continue to enroll patients in this trial. In December 2022, we opened a separate arm within the existing Phase 1/2 clinical trial combining PC14586 with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(pembrolizumab) in collaboration with Merck and Co. In addition, we are leveraging our precision oncology platform to develop a pipeline of oral small molecule product candidates that structurally correct other p53 hotspot mutations to restore their wild-type function and product candidates that target other p53-related cancers.</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18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998970" cy="47186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genomic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innovation engine consists of three complementary drivers:</w:t>
      </w:r>
    </w:p>
    <w:p>
      <w:pPr>
        <w:spacing w:after="0" w:line="131" w:lineRule="exact"/>
        <w:rPr>
          <w:sz w:val="20"/>
          <w:szCs w:val="20"/>
          <w:color w:val="auto"/>
        </w:rPr>
      </w:pPr>
    </w:p>
    <w:p>
      <w:pPr>
        <w:ind w:left="1240" w:right="56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understanding of, and leadership in, p53 biology that enable unique insights into drugging individual mutations as well as targeting other p53-related cancers;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on a structural basis selective, oral small molecule product candidates; and</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assays, screens, preclinical model systems and biomarkers that enable us to assess and optimize orally available selective small molecule drug product candidates for specific p53 mutants, and for inhibitors of wild-type p53 function.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March 2013 under the name “PJ Pharmaceuticals, Inc.” In July 2013, we changed our name to “PMV Pharmaceuticals, Inc.” Our principal executive offices are located at 1 Research Way, Princeton, New Jersey 08536. Our telephone number is (609) 642-6670. Our website address is www.pmvpharma.com. Information contained on, or that can be accessible through, our website is not a part of this prospectus supplement and the inclusion of our website address in this prospectus supplement is an inactive textual reference only.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promulgated under the Exchange Act. We may remain a smaller reporting company until we have a non-affiliate public float in excess of $250.0 million and annual revenues in excess of $100.0 million, or a non-affiliate public float in excess of $700.0 million, each as determined on an annual basis. A smaller reporting company may take advantage of relief from some of the reporting requirements and other burdens that are otherwise applicable generally to public companies. To the extent that we take advantage of these reduced burdens, the information that we provide stockholders may be different than you might obtain from other public companies in which you hold equity interests.</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760"/>
          </w:cols>
          <w:pgMar w:left="320" w:top="455" w:right="81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$150.0 million.</w:t>
      </w:r>
    </w:p>
    <w:p>
      <w:pPr>
        <w:spacing w:after="0" w:line="200" w:lineRule="exact"/>
        <w:rPr>
          <w:sz w:val="20"/>
          <w:szCs w:val="20"/>
          <w:color w:val="auto"/>
        </w:rPr>
      </w:pPr>
    </w:p>
    <w:p>
      <w:pPr>
        <w:sectPr>
          <w:pgSz w:w="11900" w:h="16838" w:orient="portrait"/>
          <w:cols w:equalWidth="0" w:num="2">
            <w:col w:w="3620" w:space="720"/>
            <w:col w:w="6420"/>
          </w:cols>
          <w:pgMar w:left="320" w:top="455" w:right="81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 to 66,721,052 shares, assuming the sale of 20,949,720 shares of our common stock in this offering at an offering price of $7.16 per share, which was the closing price of our common stock on the Nasdaq Global Select Market on February 24, 2023. The actual number of shares issued will vary depending on the sales price under this offering.</w:t>
      </w:r>
    </w:p>
    <w:p>
      <w:pPr>
        <w:spacing w:after="0" w:line="200" w:lineRule="exact"/>
        <w:rPr>
          <w:sz w:val="20"/>
          <w:szCs w:val="20"/>
          <w:color w:val="auto"/>
        </w:rPr>
      </w:pPr>
    </w:p>
    <w:p>
      <w:pPr>
        <w:sectPr>
          <w:pgSz w:w="11900" w:h="16838" w:orient="portrait"/>
          <w:cols w:equalWidth="0" w:num="2">
            <w:col w:w="3740" w:space="600"/>
            <w:col w:w="6420"/>
          </w:cols>
          <w:pgMar w:left="320" w:top="455" w:right="81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Plan of Distribution</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Jefferies.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S-12.</w:t>
      </w:r>
    </w:p>
    <w:p>
      <w:pPr>
        <w:spacing w:after="0" w:line="189" w:lineRule="exact"/>
        <w:rPr>
          <w:sz w:val="20"/>
          <w:szCs w:val="20"/>
          <w:color w:val="auto"/>
        </w:rPr>
      </w:pPr>
    </w:p>
    <w:p>
      <w:pPr>
        <w:sectPr>
          <w:pgSz w:w="11900" w:h="16838" w:orient="portrait"/>
          <w:cols w:equalWidth="0" w:num="2">
            <w:col w:w="3620" w:space="720"/>
            <w:col w:w="6420"/>
          </w:cols>
          <w:pgMar w:left="320" w:top="455" w:right="81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We currently anticipate that we will use the net proceeds from this offering, together with our existing cash, cash equivalents and short-term marketable securities, for general corporate purposes, which may include clinical trial and other research and development expenses, commercialization expenses, capital expenditures, working capital and general and administrative expenses, and potential acquisitions or investments in businesses, products and technologies that complement our business.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S-9.</w:t>
      </w:r>
    </w:p>
    <w:p>
      <w:pPr>
        <w:spacing w:after="0" w:line="200" w:lineRule="exact"/>
        <w:rPr>
          <w:sz w:val="20"/>
          <w:szCs w:val="20"/>
          <w:color w:val="auto"/>
        </w:rPr>
      </w:pPr>
    </w:p>
    <w:p>
      <w:pPr>
        <w:sectPr>
          <w:pgSz w:w="11900" w:h="16838" w:orient="portrait"/>
          <w:cols w:equalWidth="0" w:num="2">
            <w:col w:w="3620" w:space="720"/>
            <w:col w:w="6420"/>
          </w:cols>
          <w:pgMar w:left="320" w:top="455" w:right="819" w:bottom="1440" w:gutter="0" w:footer="0" w:header="0"/>
          <w:type w:val="continuous"/>
        </w:sectPr>
      </w:pP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You should read the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this prospectus supplement and in the documents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 this prospectus supplement and accompanying prospectus for a discussion of factors to consider before deciding to purchase shares of our common stock.</w:t>
      </w:r>
    </w:p>
    <w:p>
      <w:pPr>
        <w:spacing w:after="0" w:line="200" w:lineRule="exact"/>
        <w:rPr>
          <w:sz w:val="20"/>
          <w:szCs w:val="20"/>
          <w:color w:val="auto"/>
        </w:rPr>
      </w:pPr>
    </w:p>
    <w:p>
      <w:pPr>
        <w:sectPr>
          <w:pgSz w:w="11900" w:h="16838" w:orient="portrait"/>
          <w:cols w:equalWidth="0" w:num="2">
            <w:col w:w="3620" w:space="720"/>
            <w:col w:w="6420"/>
          </w:cols>
          <w:pgMar w:left="320" w:top="455" w:right="819" w:bottom="1440" w:gutter="0" w:footer="0" w:header="0"/>
          <w:type w:val="continuous"/>
        </w:sectPr>
      </w:pP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“PMVP”</w:t>
      </w:r>
    </w:p>
    <w:p>
      <w:pPr>
        <w:spacing w:after="0" w:line="200" w:lineRule="exact"/>
        <w:rPr>
          <w:sz w:val="20"/>
          <w:szCs w:val="20"/>
          <w:color w:val="auto"/>
        </w:rPr>
      </w:pPr>
    </w:p>
    <w:p>
      <w:pPr>
        <w:sectPr>
          <w:pgSz w:w="11900" w:h="16838" w:orient="portrait"/>
          <w:cols w:equalWidth="0" w:num="2">
            <w:col w:w="3620" w:space="720"/>
            <w:col w:w="6420"/>
          </w:cols>
          <w:pgMar w:left="320" w:top="455" w:right="819" w:bottom="1440" w:gutter="0" w:footer="0" w:header="0"/>
          <w:type w:val="continuous"/>
        </w:sectPr>
      </w:pPr>
    </w:p>
    <w:p>
      <w:pPr>
        <w:spacing w:after="0" w:line="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number of our shares of common stock outstanding after this offering is based on 45,771,332 shares of our common stock outstanding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2022, and excludes:</w:t>
      </w:r>
    </w:p>
    <w:p>
      <w:pPr>
        <w:spacing w:after="0" w:line="112" w:lineRule="exact"/>
        <w:rPr>
          <w:sz w:val="20"/>
          <w:szCs w:val="20"/>
          <w:color w:val="auto"/>
        </w:rPr>
      </w:pPr>
    </w:p>
    <w:p>
      <w:pPr>
        <w:ind w:left="124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5,278,771 shares of our common stock issuable upon the exercise of options outstanding as of December 31, 2022, with a weighted-average exercise price of $10.40 per share;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common stock issuable upon the exercise of options that we granted after December 31, 2022, with a weighted-average exercise price of $8.05 per share;</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4,618,292 shares of common stock reserved for future issuance under our 2020 Equity Incentive Plan as of December 31, 2022, as well as any automatic increases in the number of shares of our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705,559 shares of common stock reserved for future issuance under our 2020 Employee Stock Purchase Plan as of December 31, 2022, as well as any automatic increases in the number of our common stock reserved for future issuances under this plan.</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after December 31, 2022.</w:t>
      </w:r>
    </w:p>
    <w:p>
      <w:pPr>
        <w:spacing w:after="0" w:line="3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760"/>
          </w:cols>
          <w:pgMar w:left="320" w:top="455" w:right="8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 decision to invest in our common stock, you should consider carefully the risks and uncertainties described under the heading “Risk Factors” contained or incorporated by reference in this prospectus supplement and the accompanying prospectus, including the risk factors incorporated by reference herein from our Annual Report on Form 10-K for the fiscal year ended December 31, 2021 and our most recent Quarterly Report on Form 10-Q, as may be updated by our subsequent annual reports, quarterly reports and other filings we make with the SEC.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the net proceeds from this offering, including for any of the purposes described in the section 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 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net tangible book value of your shares.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common stock outstanding prior to this offering. Assuming that an aggregate of 20,949,720 shares of our common stock are sold at a price of $7.16 per share, the last reported sale price of our common stock on the Nasdaq Global Select Market on February 24, 2023, for aggregate gross proceeds of $150.0 million, and after deducting commissions and estimated offering expenses payable by us, you would experience immediate dilution of $1.30 per share, representing the difference between our as adjusted net tangible book value per share as of December 31, 2022 after giving effect to this offering and the assumed offering price. The exercise of outstanding stock options would result in further dilution of your investment. See the section titled “Dilution”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order to raise additional capital, we expect to in the future offer additional shares of common stock or other securities convertible into or exchangeable for our shares of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shares of common stock or other securities convertible into or exchangeable for our shares of common stock in future transactions may be higher or lower than the price per share in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in this offering, at any one time or in total, is uncertain.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placement notice to Jefferies at any time throughout the term of the offering under this prospectus supplement. The number of shares that are sold by Jefferies after delivering a placement notice will fluctuate based on the market price of the shares of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those sales.</w:t>
      </w:r>
    </w:p>
    <w:p>
      <w:pPr>
        <w:spacing w:after="0" w:line="27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common stock in the public markets, or the perception of such sales, could depress the trading price of our common stock.</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predetermined minimum or maximum sales price. Investors may experience a decline in the value of their shares as a result of share sales made at prices lower than the prices they 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 and you may not be able to resell our securities at or above the price you paid.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such as quarterly fluctuations in financial results, the timing and our ability to advance the development of our product candidates or changes in securities analysts’ recommendations. Each of these factors, among others, could harm your investment in our common stock and could result in your being unable to resell the common stock that you purchase at a price equal to or above the price you paid.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 prospectus, including the documents incorporated or deemed to be incorporated by reference into this prospectus supplement and the accompanying prospectus, contain forward-looking statements. All statements other than statements of historical facts contained in this prospectus supplement,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supplement include, but are not limited to, statements about:</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short-term marketable securities and the proceeds from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and other regulatory submissions;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expected to have certain p53 mutants and the number of participants that will enroll in our clinical trials;</w:t>
      </w: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potential future strategic collaborations with third parties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rely on third parties to conduct and support preclinical and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geopolitical tensions such as the Ukraine-Russia war, macroeconomic events such as global supply chain challenges, elevated inflation and interest rates and monetary policy changes, or other related disruptions on our business.</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we have filed with the SEC that are incorporated by reference and any free writing prospectus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$150.0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intend to use any net proceeds from this offering for general corporate purposes, which may include clinical trial and other research and development expenses, commercialization expenses, capital expenditures, working capital and general and administrative expenses, and potential acquisitions of or investments in businesses, products and technologies that complement our business. While we have no current agreements, commitments or understandings for any specific acquisitions of or investments in businesses, products and technologies as of the date of this prospectus supplement, we may use a portion of the net proceeds for these purposes. The amounts and timing of our actual expenditures will depend on numerous factors, including our development efforts with respect to our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these uses, we intend to invest any net proceeds in short- and intermediate-term, interest-bearing obligations, investment-grade instruments, certificates of deposit or direct or guaranteed obligations of the U.S. government.</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to the extent of the difference between the price per share of our common stock you pay in this offering and the as adjusted net tangible book value per share of our common stock immediately after this offering.</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December 31, 2022 was approximately $246.1 million, or $5.38 per share. Net tangible book value per share is determined by dividing our total tangible assets, less total liabilities, by the number of shares of our common stock outstanding as of December 31, 2022.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$150.0 million in this offering at an assumed offering price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$7.16, the last reported sale price of our common stock on the Nasdaq Global Select Market on February 24, 2023, and after deducting commissions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estimated aggregate offering expenses payable by us, our as adjusted net tangible book value as of December 31, 2023 would have been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$391.5 million, or $5.86 per share. This represents an immediate increase in net tangible book value of $0.48 per share to existing stockholders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immediate dilution in net tangible book value of $1.30 per share to new investors purchasing our common stock in this offering.</w:t>
      </w:r>
    </w:p>
    <w:p>
      <w:pPr>
        <w:spacing w:after="0" w:line="20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this dilution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$7.16</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2022</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r>
      <w:tr>
        <w:trPr>
          <w:trHeight w:val="27"/>
        </w:trPr>
        <w:tc>
          <w:tcPr>
            <w:tcW w:w="6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19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shares subject to the sales agreement with Jefferies are being sold from time to time at various prices. An increase of $1.00 per share in the price at which the shares are sold from the assumed offering price of $7.16 per share shown in the table above, assuming all of our common stock in the aggregate amount of $150.0 million during the term of the sales agreement with Jefferies is sold at that price, would increase our adjusted net tangible book value per share after the offering to $6.10 per share and would increase the dilution in net tangible book value per share to new investors in this offering to $2.06 per share, after deducting commissions and estimated offering expenses payable by us. A decrease of $1.00 per share in the price at which the shares are sold from the assumed offering price of $7.16 per share shown in the table above, assuming all of our common stock in the amount of $150.0 million during the term of the sales agreement with Jefferies is sold at that price, would decrease our adjusted net tangible book value per share after the offering to $5.58 per share and would decrease the dilution in net tangible book value per share to new investors in this offering to $0.58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table and calculations are based on 45,771,332 shares of our common stock outstanding as of December 31, 2022, and excludes:</w:t>
      </w:r>
    </w:p>
    <w:p>
      <w:pPr>
        <w:spacing w:after="0" w:line="131" w:lineRule="exact"/>
        <w:rPr>
          <w:sz w:val="20"/>
          <w:szCs w:val="20"/>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5,278,771 shares of our common stock issuable upon the exercise of options outstanding as of December 31, 2022, with a weighted-average exercise price of $10.40 per share;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shares of common stock issuable upon the exercise of options that we granted after December 31, 2022, with a weighted-average exercise price of $8.05 per share;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4,618,292 shares of common stock reserved for future issuance under our 2020 Equity Incentive Plan as of December 31, 2022, as well as any automatic increases in the number of shares of our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705,559 shares of common stock reserved for future issuance under our 2020 Employee Stock Purchase Plan as of December 31, 2022, as well as any automatic increases in the number of our common stock reserved for future issuances under this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after December 31, 2022.</w:t>
      </w:r>
    </w:p>
    <w:p>
      <w:pPr>
        <w:spacing w:after="0" w:line="225"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20"/>
          </w:cols>
          <w:pgMar w:left="320" w:top="455" w:right="5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previously entered into a sales agreement with Jefferies, under which we may offer and sell up to $150,000,000 of our shares of common stock from time to time through Jefferies acting as agent. The sales agreement has been incorporated by reference as an exhibit to our registration statement on Form S-3 of which this prospectus supplement forms a part. Sales of our shares of common stock, if any, under this prospectus supplement and the accompanying prospectus will be made by any method that is deemed to be an “at the market offering” as defined in Rule 415(a)(4) under the Securities Act.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We estimate that the total expenses for the offering, excluding any commissions or expense reimbursement payable to Jefferies under the terms of the sales agreement, will be approximately $404,405. The remaining sale proceeds, after deducting any other transaction fees, will equal our net proceeds from the sale of such shares.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Jefferies will provide written confirmation to us before the open on the Nasdaq Global Select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at any time upon ten days’ prior notice.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20"/>
          </w:cols>
          <w:pgMar w:left="320" w:top="455"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issuance of our common stock offered by this prospectus supplement will be passed upon for us by Wilson Sonsini Goodrich &amp; Rosati, Professional Corporation, Palo Alto, California. Certain members of, and investment partnerships comprised of members of, and persons associated with, Wilson Sonsini Goodrich &amp; Rosati, Professional Corporation, owns less than one percent of our common stock. Jefferies LLC is being represented in connection with this offering by Latham &amp; Watkins LLP, Menlo Park, California.</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financial statements of PMV Pharmaceuticals, Inc. appearing in PMV Pharmaceuticals, Inc.’s Annual Report (Form 10-K) for the year ended December 31, 2021, and the effectiveness of PMV Pharmaceuticals,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https://www.pmvpharma.com/. Information contained on, or that can be accessible through, our website is not a part of this prospectus supplement and the inclusion of our website address in this prospectus supplement is an inactive textual reference only.</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 prospectus are part of a registration statement that we filed with the SEC and do not contain all of the information in the registration statement. The full registration statement may be obtained from the SEC or us, as provided in the section titled “Incorporation by Reference.”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portions of those documents furnished, rather than filed, including Items 2.02 or 7.01 of any Current Report on Form 8-K and, except as may be noted in any such Form 8-K, exhibits filed on such form that are related to such information), until the offering of the securities under this prospectus supplement is terminated or completed:</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53">
        <w:r>
          <w:rPr>
            <w:rFonts w:ascii="Times New Roman" w:cs="Times New Roman" w:eastAsia="Times New Roman" w:hAnsi="Times New Roman"/>
            <w:sz w:val="18"/>
            <w:szCs w:val="18"/>
            <w:u w:val="single" w:color="auto"/>
            <w:color w:val="0000EE"/>
          </w:rPr>
          <w:t>March 1,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filed with the SEC on </w:t>
      </w:r>
      <w:hyperlink r:id="rId54">
        <w:r>
          <w:rPr>
            <w:rFonts w:ascii="Times New Roman" w:cs="Times New Roman" w:eastAsia="Times New Roman" w:hAnsi="Times New Roman"/>
            <w:sz w:val="18"/>
            <w:szCs w:val="18"/>
            <w:u w:val="single" w:color="auto"/>
            <w:color w:val="0000EE"/>
          </w:rPr>
          <w:t>May 10, 2022</w:t>
        </w:r>
      </w:hyperlink>
      <w:r>
        <w:rPr>
          <w:rFonts w:ascii="Times New Roman" w:cs="Times New Roman" w:eastAsia="Times New Roman" w:hAnsi="Times New Roman"/>
          <w:sz w:val="18"/>
          <w:szCs w:val="18"/>
          <w:color w:val="auto"/>
        </w:rPr>
        <w:t xml:space="preserve">, June 30, 2022, filed with the SEC on </w:t>
      </w:r>
      <w:hyperlink r:id="rId55">
        <w:r>
          <w:rPr>
            <w:rFonts w:ascii="Times New Roman" w:cs="Times New Roman" w:eastAsia="Times New Roman" w:hAnsi="Times New Roman"/>
            <w:sz w:val="18"/>
            <w:szCs w:val="18"/>
            <w:u w:val="single" w:color="auto"/>
            <w:color w:val="0000EE"/>
          </w:rPr>
          <w:t>August 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September 30, 2022, filed with the SEC on </w:t>
      </w:r>
      <w:hyperlink r:id="rId56">
        <w:r>
          <w:rPr>
            <w:rFonts w:ascii="Times New Roman" w:cs="Times New Roman" w:eastAsia="Times New Roman" w:hAnsi="Times New Roman"/>
            <w:sz w:val="18"/>
            <w:szCs w:val="18"/>
            <w:u w:val="single" w:color="auto"/>
            <w:color w:val="0000EE"/>
          </w:rPr>
          <w:t>November 8,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(other than information furnished rather than filed) that are incorporated by reference into our Annual Report on Form 10-K for the year ended December 31, 2021, filed with the SEC on </w:t>
      </w:r>
      <w:hyperlink r:id="rId57">
        <w:r>
          <w:rPr>
            <w:rFonts w:ascii="Times New Roman" w:cs="Times New Roman" w:eastAsia="Times New Roman" w:hAnsi="Times New Roman"/>
            <w:sz w:val="18"/>
            <w:szCs w:val="18"/>
            <w:u w:val="single" w:color="auto"/>
            <w:color w:val="0000EE"/>
          </w:rPr>
          <w:t>April 22,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8">
        <w:r>
          <w:rPr>
            <w:rFonts w:ascii="Times New Roman" w:cs="Times New Roman" w:eastAsia="Times New Roman" w:hAnsi="Times New Roman"/>
            <w:sz w:val="18"/>
            <w:szCs w:val="18"/>
            <w:u w:val="single" w:color="auto"/>
            <w:color w:val="0000EE"/>
          </w:rPr>
          <w:t>January 6, 2022</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June 6, 2022</w:t>
        </w:r>
      </w:hyperlink>
      <w:r>
        <w:rPr>
          <w:rFonts w:ascii="Times New Roman" w:cs="Times New Roman" w:eastAsia="Times New Roman" w:hAnsi="Times New Roman"/>
          <w:sz w:val="18"/>
          <w:szCs w:val="18"/>
          <w:color w:val="auto"/>
        </w:rPr>
        <w:t xml:space="preserve">, and </w:t>
      </w:r>
      <w:hyperlink r:id="rId60">
        <w:r>
          <w:rPr>
            <w:rFonts w:ascii="Times New Roman" w:cs="Times New Roman" w:eastAsia="Times New Roman" w:hAnsi="Times New Roman"/>
            <w:sz w:val="18"/>
            <w:szCs w:val="18"/>
            <w:u w:val="single" w:color="auto"/>
            <w:color w:val="0000EE"/>
          </w:rPr>
          <w:t>November 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relating thereto, filed on </w:t>
      </w:r>
      <w:hyperlink r:id="rId61">
        <w:r>
          <w:rPr>
            <w:rFonts w:ascii="Times New Roman" w:cs="Times New Roman" w:eastAsia="Times New Roman" w:hAnsi="Times New Roman"/>
            <w:sz w:val="18"/>
            <w:szCs w:val="18"/>
            <w:u w:val="single" w:color="auto"/>
            <w:color w:val="0000EE"/>
          </w:rPr>
          <w:t>September 21, 2020</w:t>
        </w:r>
      </w:hyperlink>
      <w:r>
        <w:rPr>
          <w:rFonts w:ascii="Times New Roman" w:cs="Times New Roman" w:eastAsia="Times New Roman" w:hAnsi="Times New Roman"/>
          <w:sz w:val="18"/>
          <w:szCs w:val="18"/>
          <w:color w:val="auto"/>
        </w:rPr>
        <w:t xml:space="preserve">, as updated by the description of our common stock contained in Exhibit 4.1 to our Annual Report on Form 10-K for the fiscal year ended December 31, 2020, filed with the SEC on </w:t>
      </w:r>
      <w:hyperlink r:id="rId62">
        <w:r>
          <w:rPr>
            <w:rFonts w:ascii="Times New Roman" w:cs="Times New Roman" w:eastAsia="Times New Roman" w:hAnsi="Times New Roman"/>
            <w:sz w:val="18"/>
            <w:szCs w:val="18"/>
            <w:u w:val="single" w:color="auto"/>
            <w:color w:val="0000EE"/>
          </w:rPr>
          <w:t>March 3,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 Research Way</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Princeton, New Jersey 08536</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460" w:right="4940" w:hanging="398"/>
        <w:spacing w:after="0" w:line="472" w:lineRule="auto"/>
        <w:tabs>
          <w:tab w:leader="none" w:pos="550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642-6670 S-15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643890</wp:posOffset>
            </wp:positionV>
            <wp:extent cx="3402965" cy="685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3402965" cy="685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9"/>
          <w:szCs w:val="29"/>
          <w:b w:val="1"/>
          <w:bCs w:val="1"/>
          <w:color w:val="auto"/>
        </w:rPr>
        <w:t>Up to $150,000,000</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1687195</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494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260" w:type="dxa"/>
            <w:vAlign w:val="bottom"/>
            <w:tcBorders>
              <w:bottom w:val="single" w:sz="8" w:color="CCEEFF"/>
            </w:tcBorders>
          </w:tcPr>
          <w:p>
            <w:pPr>
              <w:spacing w:after="0"/>
              <w:rPr>
                <w:sz w:val="15"/>
                <w:szCs w:val="15"/>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$ 35,945(1)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5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225,500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2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2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2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Warrant agent fees and expenses</w:t>
            </w: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w:t>
            </w: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540" w:right="260" w:hanging="424"/>
        <w:spacing w:after="0" w:line="257"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paid a fee of $13,905 related to $150,000,000 of the registrant’s common stock pursuant to the Prior ATM Prospectus Supplement. Of such shares of common stock, $150,000,000 remain unsold, and the registration fee in the amount of $13,905 is applied to the registrant’s total registration fee hereunder.</w:t>
      </w:r>
    </w:p>
    <w:p>
      <w:pPr>
        <w:spacing w:after="0" w:line="1" w:lineRule="exact"/>
        <w:rPr>
          <w:rFonts w:ascii="Times New Roman" w:cs="Times New Roman" w:eastAsia="Times New Roman" w:hAnsi="Times New Roman"/>
          <w:sz w:val="18"/>
          <w:szCs w:val="18"/>
          <w:color w:val="auto"/>
        </w:rPr>
      </w:pPr>
    </w:p>
    <w:p>
      <w:pPr>
        <w:ind w:left="540" w:right="620" w:hanging="424"/>
        <w:spacing w:after="0" w:line="255"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DGCL. In addition, the amended and restated bylaws of the registrant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(i) for any breach of the director’s duty of loyalty to the corporation or its stockholders, (ii) for acts or omissions not in good faith or which involve intentional misconduct or a knowing violation of law, (iii) for payments of unlawful dividends or unlawful stock repurchases or redemptions or (iv) for any transaction from which the director derived an improper personal benefit. The registrant’s amended and restated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76"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6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herein.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20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60" w:type="dxa"/>
            <w:vAlign w:val="bottom"/>
            <w:gridSpan w:val="5"/>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60" w:type="dxa"/>
            <w:vAlign w:val="bottom"/>
            <w:gridSpan w:val="5"/>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4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28"/>
        </w:trPr>
        <w:tc>
          <w:tcPr>
            <w:tcW w:w="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41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3"/>
                <w:szCs w:val="23"/>
                <w:color w:val="auto"/>
              </w:rPr>
            </w:pPr>
          </w:p>
        </w:tc>
        <w:tc>
          <w:tcPr>
            <w:tcW w:w="38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Open Market Sale Agreement, dated as of October 4,</w:t>
              </w:r>
            </w:hyperlink>
          </w:p>
        </w:tc>
        <w:tc>
          <w:tcPr>
            <w:tcW w:w="560" w:type="dxa"/>
            <w:vAlign w:val="bottom"/>
            <w:gridSpan w:val="3"/>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80" w:type="dxa"/>
            <w:vAlign w:val="bottom"/>
            <w:gridSpan w:val="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2021, between the Registrant and Jefferies LLC</w:t>
              </w:r>
            </w:hyperlink>
          </w:p>
        </w:tc>
        <w:tc>
          <w:tcPr>
            <w:tcW w:w="9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S-3ASR</w:t>
            </w:r>
          </w:p>
        </w:tc>
        <w:tc>
          <w:tcPr>
            <w:tcW w:w="1060" w:type="dxa"/>
            <w:vAlign w:val="bottom"/>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333-260012</w:t>
            </w:r>
          </w:p>
        </w:tc>
        <w:tc>
          <w:tcPr>
            <w:tcW w:w="20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1.2</w:t>
            </w:r>
          </w:p>
        </w:tc>
        <w:tc>
          <w:tcPr>
            <w:tcW w:w="220" w:type="dxa"/>
            <w:vAlign w:val="bottom"/>
          </w:tcPr>
          <w:p>
            <w:pPr>
              <w:spacing w:after="0"/>
              <w:rPr>
                <w:sz w:val="17"/>
                <w:szCs w:val="17"/>
                <w:color w:val="auto"/>
              </w:rPr>
            </w:pPr>
          </w:p>
        </w:tc>
        <w:tc>
          <w:tcPr>
            <w:tcW w:w="19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October 4, 2021</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41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Amended and Restated Certificate of Incorporation of the</w:t>
              </w:r>
            </w:hyperlink>
          </w:p>
        </w:tc>
        <w:tc>
          <w:tcPr>
            <w:tcW w:w="2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80" w:type="dxa"/>
            <w:vAlign w:val="bottom"/>
            <w:gridSpan w:val="6"/>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Registrant</w:t>
              </w:r>
            </w:hyperlink>
          </w:p>
        </w:tc>
        <w:tc>
          <w:tcPr>
            <w:tcW w:w="9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59"/>
              <w:spacing w:after="0" w:line="196" w:lineRule="exact"/>
              <w:rPr>
                <w:sz w:val="20"/>
                <w:szCs w:val="20"/>
                <w:color w:val="auto"/>
              </w:rPr>
            </w:pPr>
            <w:r>
              <w:rPr>
                <w:rFonts w:ascii="Times New Roman" w:cs="Times New Roman" w:eastAsia="Times New Roman" w:hAnsi="Times New Roman"/>
                <w:sz w:val="18"/>
                <w:szCs w:val="18"/>
                <w:color w:val="auto"/>
              </w:rPr>
              <w:t>001-39539</w:t>
            </w:r>
          </w:p>
        </w:tc>
        <w:tc>
          <w:tcPr>
            <w:tcW w:w="20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7"/>
                <w:szCs w:val="17"/>
                <w:color w:val="auto"/>
              </w:rPr>
            </w:pPr>
          </w:p>
        </w:tc>
        <w:tc>
          <w:tcPr>
            <w:tcW w:w="194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September 29, 2020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93"/>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w:t>
            </w:r>
          </w:p>
        </w:tc>
        <w:tc>
          <w:tcPr>
            <w:tcW w:w="35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Amended and Restated Bylaws of the Registrant</w:t>
              </w:r>
            </w:hyperlink>
          </w:p>
        </w:tc>
        <w:tc>
          <w:tcPr>
            <w:tcW w:w="1240" w:type="dxa"/>
            <w:vAlign w:val="bottom"/>
            <w:gridSpan w:val="6"/>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September 29, 2020</w:t>
            </w:r>
          </w:p>
        </w:tc>
      </w:tr>
      <w:tr>
        <w:trPr>
          <w:trHeight w:val="304"/>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w:t>
            </w:r>
          </w:p>
        </w:tc>
        <w:tc>
          <w:tcPr>
            <w:tcW w:w="42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Amended and Restated Investors’ Rights Agreement, dated</w:t>
              </w:r>
            </w:hyperlink>
          </w:p>
        </w:tc>
        <w:tc>
          <w:tcPr>
            <w:tcW w:w="46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740" w:type="dxa"/>
            <w:vAlign w:val="bottom"/>
            <w:gridSpan w:val="14"/>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July 17, 2020, by and among the Registrant and certain of its</w:t>
              </w:r>
            </w:hyperlink>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4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stockholders</w:t>
              </w:r>
            </w:hyperlink>
          </w:p>
        </w:tc>
        <w:tc>
          <w:tcPr>
            <w:tcW w:w="320" w:type="dxa"/>
            <w:vAlign w:val="bottom"/>
            <w:gridSpan w:val="2"/>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30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September 4, 2020</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4.4</w:t>
            </w:r>
          </w:p>
        </w:tc>
        <w:tc>
          <w:tcPr>
            <w:tcW w:w="4740" w:type="dxa"/>
            <w:vAlign w:val="bottom"/>
            <w:gridSpan w:val="1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Specimen Common Stock Certificate</w:t>
              </w:r>
            </w:hyperlink>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333-248627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September 21, 2020</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44"/>
        </w:trPr>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Specimen Preferred Stock Certificate</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83"/>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4.6</w:t>
            </w:r>
          </w:p>
        </w:tc>
        <w:tc>
          <w:tcPr>
            <w:tcW w:w="1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Form of Indenture</w:t>
              </w:r>
            </w:hyperlink>
          </w:p>
        </w:tc>
        <w:tc>
          <w:tcPr>
            <w:tcW w:w="3420" w:type="dxa"/>
            <w:vAlign w:val="bottom"/>
            <w:gridSpan w:val="11"/>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S-3ASR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333-260012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345"/>
        </w:trPr>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4.7*</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4.8*</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4.9*</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4.10*</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Subscription Agreement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4.11*</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4.12*</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24"/>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4.13*</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83"/>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3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Corporation</w:t>
            </w:r>
          </w:p>
        </w:tc>
        <w:tc>
          <w:tcPr>
            <w:tcW w:w="42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00" w:type="dxa"/>
            <w:vAlign w:val="bottom"/>
          </w:tcPr>
          <w:p>
            <w:pPr>
              <w:ind w:left="21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9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304"/>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42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76"/>
              </w:rPr>
              <w:t>X</w:t>
            </w:r>
          </w:p>
        </w:tc>
      </w:tr>
      <w:tr>
        <w:trPr>
          <w:trHeight w:val="304"/>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23.2</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Wilson Sonsini Goodrich &amp; Rosati, Professional</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7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Corporation (included in the opinion filed as Exhibit 5.1 to this</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5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Registration Statement)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00" w:type="dxa"/>
            <w:vAlign w:val="bottom"/>
          </w:tcPr>
          <w:p>
            <w:pPr>
              <w:ind w:left="21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304"/>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24.1</w:t>
            </w:r>
          </w:p>
        </w:tc>
        <w:tc>
          <w:tcPr>
            <w:tcW w:w="13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Power of Attorney</w:t>
              </w:r>
            </w:hyperlink>
          </w:p>
        </w:tc>
        <w:tc>
          <w:tcPr>
            <w:tcW w:w="360" w:type="dxa"/>
            <w:vAlign w:val="bottom"/>
            <w:tcBorders>
              <w:top w:val="single" w:sz="8" w:color="0000EE"/>
            </w:tcBorders>
          </w:tcPr>
          <w:p>
            <w:pPr>
              <w:spacing w:after="0"/>
              <w:rPr>
                <w:sz w:val="24"/>
                <w:szCs w:val="24"/>
                <w:color w:val="auto"/>
              </w:rPr>
            </w:pPr>
          </w:p>
        </w:tc>
        <w:tc>
          <w:tcPr>
            <w:tcW w:w="3040" w:type="dxa"/>
            <w:vAlign w:val="bottom"/>
            <w:gridSpan w:val="9"/>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S-3ASR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333-260012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23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October 4, 2021</w:t>
            </w:r>
          </w:p>
        </w:tc>
      </w:tr>
      <w:tr>
        <w:trPr>
          <w:trHeight w:val="304"/>
        </w:trPr>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24.2</w:t>
            </w:r>
          </w:p>
        </w:tc>
        <w:tc>
          <w:tcPr>
            <w:tcW w:w="4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540" w:type="dxa"/>
            <w:vAlign w:val="bottom"/>
            <w:gridSpan w:val="5"/>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76"/>
              </w:rPr>
              <w:t>X</w:t>
            </w:r>
          </w:p>
        </w:tc>
      </w:tr>
      <w:tr>
        <w:trPr>
          <w:trHeight w:val="326"/>
        </w:trPr>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25.1**</w:t>
            </w: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47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under the Trust Indenture Act of 1939</w:t>
            </w: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83"/>
        </w:trPr>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107</w:t>
            </w:r>
          </w:p>
        </w:tc>
        <w:tc>
          <w:tcPr>
            <w:tcW w:w="2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Calculation of Filing Fee Tables</w:t>
            </w:r>
          </w:p>
        </w:tc>
        <w:tc>
          <w:tcPr>
            <w:tcW w:w="242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2420" w:hanging="4"/>
        <w:spacing w:after="0" w:line="282" w:lineRule="auto"/>
        <w:tabs>
          <w:tab w:leader="none" w:pos="5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incorporated by reference pursuant to a Current Report on Form 8-K. ** To be filed pursuant to Section 305(b)(2) of the Trust Indenture Act of 1939, as amended.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46"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360" w:hanging="244"/>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100" w:hanging="213"/>
        <w:spacing w:after="0"/>
        <w:tabs>
          <w:tab w:leader="none" w:pos="11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880" w:firstLine="7"/>
        <w:spacing w:after="0" w:line="255" w:lineRule="auto"/>
        <w:tabs>
          <w:tab w:leader="none" w:pos="114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880" w:right="240" w:firstLine="7"/>
        <w:spacing w:after="0" w:line="282" w:lineRule="auto"/>
        <w:tabs>
          <w:tab w:leader="none" w:pos="1195"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(ii) and (iii)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ind w:left="820" w:hanging="26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w:t>
      </w:r>
    </w:p>
    <w:p>
      <w:pPr>
        <w:spacing w:after="0" w:line="27" w:lineRule="exact"/>
        <w:rPr>
          <w:rFonts w:ascii="Times New Roman" w:cs="Times New Roman" w:eastAsia="Times New Roman" w:hAnsi="Times New Roman"/>
          <w:sz w:val="18"/>
          <w:szCs w:val="18"/>
          <w:color w:val="auto"/>
        </w:rPr>
      </w:pPr>
    </w:p>
    <w:p>
      <w:pPr>
        <w:ind w:left="5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73" w:lineRule="exact"/>
        <w:rPr>
          <w:rFonts w:ascii="Times New Roman" w:cs="Times New Roman" w:eastAsia="Times New Roman" w:hAnsi="Times New Roman"/>
          <w:sz w:val="18"/>
          <w:szCs w:val="18"/>
          <w:color w:val="auto"/>
        </w:rPr>
      </w:pPr>
    </w:p>
    <w:p>
      <w:pPr>
        <w:ind w:left="560" w:right="680" w:hanging="4"/>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4" w:lineRule="exact"/>
        <w:rPr>
          <w:sz w:val="20"/>
          <w:szCs w:val="20"/>
          <w:color w:val="auto"/>
        </w:rPr>
      </w:pPr>
    </w:p>
    <w:p>
      <w:pPr>
        <w:ind w:left="820" w:hanging="2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880" w:right="60" w:firstLine="7"/>
        <w:spacing w:after="0" w:line="282" w:lineRule="auto"/>
        <w:tabs>
          <w:tab w:leader="none" w:pos="10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880" w:right="60" w:firstLine="7"/>
        <w:spacing w:after="0" w:line="253" w:lineRule="auto"/>
        <w:tabs>
          <w:tab w:leader="none" w:pos="11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hanging="4"/>
        <w:spacing w:after="0" w:line="258" w:lineRule="auto"/>
        <w:tabs>
          <w:tab w:leader="none" w:pos="81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100" w:hanging="213"/>
        <w:spacing w:after="0"/>
        <w:tabs>
          <w:tab w:leader="none" w:pos="11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880" w:right="360" w:firstLine="7"/>
        <w:spacing w:after="0" w:line="282" w:lineRule="auto"/>
        <w:tabs>
          <w:tab w:leader="none" w:pos="114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880" w:right="160" w:firstLine="7"/>
        <w:spacing w:after="0" w:line="282" w:lineRule="auto"/>
        <w:tabs>
          <w:tab w:leader="none" w:pos="119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200" w:hanging="313"/>
        <w:spacing w:after="0"/>
        <w:tabs>
          <w:tab w:leader="none" w:pos="120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200" w:hanging="4"/>
        <w:spacing w:after="0" w:line="258" w:lineRule="auto"/>
        <w:tabs>
          <w:tab w:leader="none" w:pos="3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ind w:left="120" w:right="60" w:hanging="4"/>
        <w:spacing w:after="0" w:line="254" w:lineRule="auto"/>
        <w:tabs>
          <w:tab w:leader="none" w:pos="3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340" w:hanging="224"/>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w:t>
      </w:r>
    </w:p>
    <w:p>
      <w:pPr>
        <w:spacing w:after="0" w:line="27" w:lineRule="exact"/>
        <w:rPr>
          <w:rFonts w:ascii="Times New Roman" w:cs="Times New Roman" w:eastAsia="Times New Roman" w:hAnsi="Times New Roman"/>
          <w:sz w:val="18"/>
          <w:szCs w:val="18"/>
          <w:color w:val="auto"/>
        </w:rPr>
      </w:pPr>
    </w:p>
    <w:p>
      <w:pPr>
        <w:ind w:left="120" w:right="100" w:hanging="4"/>
        <w:spacing w:after="0" w:line="260" w:lineRule="auto"/>
        <w:tabs>
          <w:tab w:leader="none" w:pos="3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310 of the Trust Indenture Act in accordance with the rules and regulations prescribed by the Commission under Section 305(b)(2) of the Trust Indenture Act.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Princeton, State of New Jersey, on March 1, 2023.</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David H. Mack, Ph.D. and Winston Kung,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w:t>
      </w:r>
    </w:p>
    <w:p>
      <w:pPr>
        <w:spacing w:after="0" w:line="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0" w:type="dxa"/>
            <w:vAlign w:val="bottom"/>
          </w:tcPr>
          <w:p>
            <w:pPr>
              <w:spacing w:after="0"/>
              <w:rPr>
                <w:sz w:val="15"/>
                <w:szCs w:val="15"/>
                <w:color w:val="auto"/>
              </w:rPr>
            </w:pPr>
          </w:p>
        </w:tc>
        <w:tc>
          <w:tcPr>
            <w:tcW w:w="5000" w:type="dxa"/>
            <w:vAlign w:val="bottom"/>
            <w:gridSpan w:val="3"/>
          </w:tcPr>
          <w:p>
            <w:pPr>
              <w:ind w:left="2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tcPr>
          <w:p>
            <w:pPr>
              <w:spacing w:after="0"/>
              <w:rPr>
                <w:sz w:val="15"/>
                <w:szCs w:val="15"/>
                <w:color w:val="auto"/>
              </w:rPr>
            </w:pPr>
          </w:p>
        </w:tc>
        <w:tc>
          <w:tcPr>
            <w:tcW w:w="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David H. Mack, Ph.D.</w:t>
            </w: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21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David H. Mack, Ph.D.</w:t>
            </w:r>
          </w:p>
        </w:tc>
        <w:tc>
          <w:tcPr>
            <w:tcW w:w="5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4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Winston Kung</w:t>
            </w: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tc>
        <w:tc>
          <w:tcPr>
            <w:tcW w:w="21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Winston Kung</w:t>
            </w:r>
          </w:p>
        </w:tc>
        <w:tc>
          <w:tcPr>
            <w:tcW w:w="5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2000" w:type="dxa"/>
            <w:vAlign w:val="bottom"/>
            <w:tcBorders>
              <w:bottom w:val="single" w:sz="8" w:color="auto"/>
            </w:tcBorders>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spacing w:after="0"/>
              <w:rPr>
                <w:sz w:val="24"/>
                <w:szCs w:val="24"/>
                <w:color w:val="auto"/>
              </w:rPr>
            </w:pP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 of the Board</w:t>
            </w:r>
          </w:p>
        </w:tc>
        <w:tc>
          <w:tcPr>
            <w:tcW w:w="21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Heyman, Ph.D.</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2000" w:type="dxa"/>
            <w:vAlign w:val="bottom"/>
            <w:tcBorders>
              <w:bottom w:val="single" w:sz="8" w:color="auto"/>
            </w:tcBorders>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spacing w:after="0"/>
              <w:rPr>
                <w:sz w:val="24"/>
                <w:szCs w:val="24"/>
                <w:color w:val="auto"/>
              </w:rPr>
            </w:pP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Charles M. Baum M.D., Ph.D.</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2000" w:type="dxa"/>
            <w:vAlign w:val="bottom"/>
            <w:tcBorders>
              <w:bottom w:val="single" w:sz="8" w:color="auto"/>
            </w:tcBorders>
            <w:gridSpan w:val="2"/>
          </w:tcPr>
          <w:p>
            <w:pPr>
              <w:jc w:val="center"/>
              <w:ind w:left="13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spacing w:after="0"/>
              <w:rPr>
                <w:sz w:val="24"/>
                <w:szCs w:val="24"/>
                <w:color w:val="auto"/>
              </w:rPr>
            </w:pP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Arnold Levine, Ph.D.</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7"/>
        </w:trPr>
        <w:tc>
          <w:tcPr>
            <w:tcW w:w="34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Carol Gallagher, Pharm.D.</w:t>
            </w:r>
          </w:p>
        </w:tc>
        <w:tc>
          <w:tcPr>
            <w:tcW w:w="5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rPr>
              <w:t>March 1, 2023</w:t>
            </w:r>
          </w:p>
        </w:tc>
      </w:tr>
      <w:tr>
        <w:trPr>
          <w:trHeight w:val="228"/>
        </w:trPr>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Carol Gallagher, Pharm.D.</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0"/>
        </w:trPr>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II-6</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2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533"/>
        </w:trPr>
        <w:tc>
          <w:tcPr>
            <w:tcW w:w="352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6160" w:type="dxa"/>
            <w:vAlign w:val="bottom"/>
          </w:tcPr>
          <w:p>
            <w:pPr>
              <w:ind w:left="5100"/>
              <w:spacing w:after="0"/>
              <w:rPr>
                <w:sz w:val="20"/>
                <w:szCs w:val="20"/>
                <w:color w:val="auto"/>
              </w:rPr>
            </w:pPr>
            <w:r>
              <w:rPr>
                <w:rFonts w:ascii="Times New Roman" w:cs="Times New Roman" w:eastAsia="Times New Roman" w:hAnsi="Times New Roman"/>
                <w:sz w:val="18"/>
                <w:szCs w:val="18"/>
                <w:color w:val="auto"/>
                <w:w w:val="98"/>
              </w:rPr>
              <w:t>March 1, 2023</w:t>
            </w:r>
          </w:p>
        </w:tc>
      </w:tr>
      <w:tr>
        <w:trPr>
          <w:trHeight w:val="228"/>
        </w:trPr>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Laurie Stelzer</w:t>
            </w:r>
          </w:p>
        </w:tc>
        <w:tc>
          <w:tcPr>
            <w:tcW w:w="100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427"/>
        </w:trPr>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 Kirsten Flowers</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6160" w:type="dxa"/>
            <w:vAlign w:val="bottom"/>
          </w:tcPr>
          <w:p>
            <w:pPr>
              <w:ind w:left="5100"/>
              <w:spacing w:after="0"/>
              <w:rPr>
                <w:sz w:val="20"/>
                <w:szCs w:val="20"/>
                <w:color w:val="auto"/>
              </w:rPr>
            </w:pPr>
            <w:r>
              <w:rPr>
                <w:rFonts w:ascii="Times New Roman" w:cs="Times New Roman" w:eastAsia="Times New Roman" w:hAnsi="Times New Roman"/>
                <w:sz w:val="18"/>
                <w:szCs w:val="18"/>
                <w:color w:val="auto"/>
                <w:w w:val="98"/>
              </w:rPr>
              <w:t>March 1, 2023</w:t>
            </w:r>
          </w:p>
        </w:tc>
      </w:tr>
      <w:tr>
        <w:trPr>
          <w:trHeight w:val="228"/>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Kirsten Flowers</w:t>
            </w:r>
          </w:p>
        </w:tc>
        <w:tc>
          <w:tcPr>
            <w:tcW w:w="1000" w:type="dxa"/>
            <w:vAlign w:val="bottom"/>
          </w:tcPr>
          <w:p>
            <w:pPr>
              <w:spacing w:after="0"/>
              <w:rPr>
                <w:sz w:val="19"/>
                <w:szCs w:val="19"/>
                <w:color w:val="auto"/>
              </w:rPr>
            </w:pPr>
          </w:p>
        </w:tc>
        <w:tc>
          <w:tcPr>
            <w:tcW w:w="6160" w:type="dxa"/>
            <w:vAlign w:val="bottom"/>
          </w:tcPr>
          <w:p>
            <w:pPr>
              <w:spacing w:after="0"/>
              <w:rPr>
                <w:sz w:val="19"/>
                <w:szCs w:val="19"/>
                <w:color w:val="auto"/>
              </w:rPr>
            </w:pPr>
          </w:p>
        </w:tc>
      </w:tr>
      <w:tr>
        <w:trPr>
          <w:trHeight w:val="670"/>
        </w:trPr>
        <w:tc>
          <w:tcPr>
            <w:tcW w:w="120" w:type="dxa"/>
            <w:vAlign w:val="bottom"/>
          </w:tcPr>
          <w:p>
            <w:pPr>
              <w:spacing w:after="0"/>
              <w:rPr>
                <w:sz w:val="24"/>
                <w:szCs w:val="24"/>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By:  /s/ David H. Mack, Ph.D.</w:t>
            </w:r>
          </w:p>
        </w:tc>
        <w:tc>
          <w:tcPr>
            <w:tcW w:w="100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David H. Mack, Ph.D., Attorney in fact</w:t>
            </w:r>
          </w:p>
        </w:tc>
        <w:tc>
          <w:tcPr>
            <w:tcW w:w="1000" w:type="dxa"/>
            <w:vAlign w:val="bottom"/>
            <w:tcBorders>
              <w:top w:val="single" w:sz="8" w:color="auto"/>
            </w:tcBorders>
          </w:tcPr>
          <w:p>
            <w:pPr>
              <w:spacing w:after="0"/>
              <w:rPr>
                <w:sz w:val="19"/>
                <w:szCs w:val="19"/>
                <w:color w:val="auto"/>
              </w:rPr>
            </w:pPr>
          </w:p>
        </w:tc>
        <w:tc>
          <w:tcPr>
            <w:tcW w:w="6160" w:type="dxa"/>
            <w:vAlign w:val="bottom"/>
          </w:tcPr>
          <w:p>
            <w:pPr>
              <w:spacing w:after="0"/>
              <w:rPr>
                <w:sz w:val="19"/>
                <w:szCs w:val="19"/>
                <w:color w:val="auto"/>
              </w:rPr>
            </w:pPr>
          </w:p>
        </w:tc>
      </w:tr>
      <w:tr>
        <w:trPr>
          <w:trHeight w:val="344"/>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0680"/>
          </w:cols>
          <w:pgMar w:left="320" w:top="446" w:right="8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83005" cy="497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1183005" cy="497205"/>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1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Palo Alto, CA 94304-1050</w:t>
      </w:r>
    </w:p>
    <w:p>
      <w:pPr>
        <w:spacing w:after="0" w:line="1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HONE</w:t>
      </w:r>
      <w:r>
        <w:rPr>
          <w:rFonts w:ascii="Times New Roman" w:cs="Times New Roman" w:eastAsia="Times New Roman" w:hAnsi="Times New Roman"/>
          <w:sz w:val="18"/>
          <w:szCs w:val="18"/>
          <w:color w:val="auto"/>
        </w:rPr>
        <w:t>: 650.493.9300</w:t>
      </w:r>
    </w:p>
    <w:p>
      <w:pPr>
        <w:spacing w:after="0" w:line="2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866.974.7329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Research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Post-Effective Amendment No. 1 to Registration Statement on Form S-3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At your request, we have examined the Post-Effective Amendment No. 1 to the Registration Statement on Form S-3 (File No. 333-260012) (as amended, the “Registration Statement”), filed by PMV Pharmaceuticals, Inc., a Delaware corporation (the “Company”), with the Securities and Exchange Commission (the “Commission”) in connection with the registration pursuant to the Securities Act of 1933, as amended (the “Act”), of the Company Securities (as defined below).</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Registration Statement relates to (i) the proposed issuance and sale by the Company, from time to time, pursuant to Rule 415 under the Act, as set forth in the Registration Statement, the base prospectus contained therein (the “Base Prospectus”) and the supplements to the prospectus referred to therein (each a “Prospectus Supplement”), of up to $200,000,000 of (a) shares of the Company’s common stock, $0.00001 par value per share (the “Common Stock”), (b) shares of the Company’s preferred stock, $0.00001 par value per share (the “Preferred Stock”), (c) the Company’s debt securities (the “Debt Securities”), (d) warrants to purchase any of the securities described above (the “Warrants”), (e) subscription rights to purchase Common Stock, Preferred Stock, Debt Securities or Warrants or units consisting of some or all of these securities (the “Subscription Rights”), (f) purchase contracts of the Company with respect to the securities of the Company (the “Purchase Contracts”) and (g) units consisting of two or more securities described above in any combination (the “Units” and together with the Common Stock, the Preferred Stock, the Debt Securities, the Warrants, the Subscription Rights and the Purchase Contracts are collectively referred to herein as the “Company Securities”) and (ii) the offering by the Company of up to $150,000,000 of shares (the “Shares”) of Common Stock covered by the Registration Statement pursuant to the Base Prospectus and the prospectus supplement dated October 4, 2021 contained within the Registration Statement (the “ATM Prospectus”).</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Securities are to be sold from time to time as set forth in the Registration Statement, the Base Prospectus contained therein and any applicable Prospectus Supplement.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Company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AUSTIN  BEIJING  BOSTON  BOULDER  BRUSSELS  HONG KONG  LONDON  LOS ANGELES  NEW YORK  PALO ALTO</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SALT LAKE CITY  SAN DIEGO  SAN FRANCISCO  SEATTLE  SHANGHAI  WASHINGTON, DC  WILMINGTON, DE</w:t>
      </w:r>
    </w:p>
    <w:p>
      <w:pPr>
        <w:sectPr>
          <w:pgSz w:w="11900" w:h="16838" w:orient="portrait"/>
          <w:cols w:equalWidth="0" w:num="1">
            <w:col w:w="11020"/>
          </w:cols>
          <w:pgMar w:left="440" w:top="117" w:right="43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25475"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625475" cy="257175"/>
                    </a:xfrm>
                    <a:prstGeom prst="rect">
                      <a:avLst/>
                    </a:prstGeom>
                    <a:noFill/>
                  </pic:spPr>
                </pic:pic>
              </a:graphicData>
            </a:graphic>
          </wp:anchor>
        </w:drawing>
        <w:t>PMV Pharmaceuticals,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are to be sold pursuant to a purchase, underwriting or similar agreement in substantially the form to be filed under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 The offering and sale of the Shares are being made pursuant to the common stock sales agreement (the “Sales Agreement”), dated as of October 4, 2021, by and between the Company and Jefferies LLC (the “Sales Agent”).</w:t>
      </w:r>
    </w:p>
    <w:p>
      <w:pPr>
        <w:spacing w:after="0" w:line="183"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Shares, we have examined copies of the Sales Agreement, the Registration Statement, and the ATM Prospectus. We have also examined instruments, documents and records which we deemed relevant and necessary for the basis of our opinion hereinafter expressed. In such examination, we have assumed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83"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With respect to the filing of the Registration Statement, 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w:t>
      </w:r>
    </w:p>
    <w:p>
      <w:pPr>
        <w:spacing w:after="0" w:line="3" w:lineRule="exact"/>
        <w:rPr>
          <w:sz w:val="20"/>
          <w:szCs w:val="20"/>
          <w:color w:val="auto"/>
        </w:rPr>
      </w:pPr>
    </w:p>
    <w:p>
      <w:pPr>
        <w:ind w:left="264" w:hanging="264"/>
        <w:spacing w:after="0"/>
        <w:tabs>
          <w:tab w:leader="none" w:pos="2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Registration Statement, and any amendments thereto (including post-effective amendments), will have become effective under the Act;</w:t>
      </w:r>
    </w:p>
    <w:p>
      <w:pPr>
        <w:spacing w:after="0" w:line="9" w:lineRule="exact"/>
        <w:rPr>
          <w:rFonts w:ascii="Times New Roman" w:cs="Times New Roman" w:eastAsia="Times New Roman" w:hAnsi="Times New Roman"/>
          <w:sz w:val="18"/>
          <w:szCs w:val="18"/>
          <w:color w:val="auto"/>
        </w:rPr>
      </w:pPr>
    </w:p>
    <w:p>
      <w:pPr>
        <w:ind w:left="4" w:right="160" w:hanging="4"/>
        <w:spacing w:after="0" w:line="251"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Prospectus Supplement will have been filed with the Commission describing the Company Securities offered thereby; (f) that the Company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Company Securities offered will have been duly authorized and validly executed and delivered by the Company and the other parties thereto; (h) that any Company Securities issuable upon conversion, exchange, redemption or exercise of any Company Securities being offered will be duly authorized, created and, if appropriate, reserved for issuance upon such conversion, exchange, redemption or exercise; (i) with respect to shares of Common Stock or Preferred Stock offered by the Company,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117" w:lineRule="exact"/>
        <w:rPr>
          <w:sz w:val="20"/>
          <w:szCs w:val="20"/>
          <w:color w:val="auto"/>
        </w:rPr>
      </w:pPr>
    </w:p>
    <w:p>
      <w:pPr>
        <w:ind w:left="4" w:firstLine="436"/>
        <w:spacing w:after="0" w:line="282" w:lineRule="auto"/>
        <w:tabs>
          <w:tab w:leader="none" w:pos="6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by the Company and, when issued and delivered by the Company against payment therefor in accordance with the terms of the Sales Agreement, will be validly issued, fully paid and nonassessable.</w:t>
      </w:r>
    </w:p>
    <w:p>
      <w:pPr>
        <w:sectPr>
          <w:pgSz w:w="11900" w:h="16838" w:orient="portrait"/>
          <w:cols w:equalWidth="0" w:num="1">
            <w:col w:w="11004"/>
          </w:cols>
          <w:pgMar w:left="436" w:top="783" w:right="459" w:bottom="1440" w:gutter="0" w:footer="0" w:header="0"/>
        </w:sectPr>
      </w:pPr>
    </w:p>
    <w:bookmarkStart w:id="60" w:name="page61"/>
    <w:bookmarkEnd w:id="6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25475"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25475" cy="257175"/>
                    </a:xfrm>
                    <a:prstGeom prst="rect">
                      <a:avLst/>
                    </a:prstGeom>
                    <a:noFill/>
                  </pic:spPr>
                </pic:pic>
              </a:graphicData>
            </a:graphic>
          </wp:anchor>
        </w:drawing>
        <w:t>PMV Pharmaceuticals,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right="20" w:firstLine="436"/>
        <w:spacing w:after="0" w:line="254" w:lineRule="auto"/>
        <w:tabs>
          <w:tab w:leader="none" w:pos="6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to be sold by the Company,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Common Stock will be validly issued, fully paid and nonassessable.</w:t>
      </w:r>
    </w:p>
    <w:p>
      <w:pPr>
        <w:spacing w:after="0" w:line="83" w:lineRule="exact"/>
        <w:rPr>
          <w:rFonts w:ascii="Times New Roman" w:cs="Times New Roman" w:eastAsia="Times New Roman" w:hAnsi="Times New Roman"/>
          <w:sz w:val="18"/>
          <w:szCs w:val="18"/>
          <w:color w:val="auto"/>
        </w:rPr>
      </w:pPr>
    </w:p>
    <w:p>
      <w:pPr>
        <w:ind w:left="4" w:right="240" w:firstLine="436"/>
        <w:spacing w:after="0" w:line="270" w:lineRule="auto"/>
        <w:tabs>
          <w:tab w:leader="none" w:pos="62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2" w:lineRule="exact"/>
        <w:rPr>
          <w:rFonts w:ascii="Times New Roman" w:cs="Times New Roman" w:eastAsia="Times New Roman" w:hAnsi="Times New Roman"/>
          <w:sz w:val="17"/>
          <w:szCs w:val="17"/>
          <w:color w:val="auto"/>
        </w:rPr>
      </w:pPr>
    </w:p>
    <w:p>
      <w:pPr>
        <w:ind w:left="4" w:right="100" w:hanging="4"/>
        <w:spacing w:after="0" w:line="250" w:lineRule="auto"/>
        <w:tabs>
          <w:tab w:leader="none" w:pos="2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left="4" w:right="260" w:hanging="4"/>
        <w:spacing w:after="0" w:line="255"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Company Security, in accordance with the terms of such Company Security or the instrument governing such Company Security providing for such conversion or exercise as approved by the Board, for the consideration approved by the Board, then the shares of Preferred Stock will be validly issued, fully paid and nonassessable.</w:t>
      </w:r>
    </w:p>
    <w:p>
      <w:pPr>
        <w:spacing w:after="0" w:line="77"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80" w:lineRule="exact"/>
        <w:rPr>
          <w:rFonts w:ascii="Times New Roman" w:cs="Times New Roman" w:eastAsia="Times New Roman" w:hAnsi="Times New Roman"/>
          <w:sz w:val="18"/>
          <w:szCs w:val="18"/>
          <w:color w:val="auto"/>
        </w:rPr>
      </w:pPr>
    </w:p>
    <w:p>
      <w:pPr>
        <w:ind w:left="4" w:firstLine="436"/>
        <w:spacing w:after="0" w:line="258" w:lineRule="auto"/>
        <w:tabs>
          <w:tab w:leader="none" w:pos="6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ectPr>
          <w:pgSz w:w="11900" w:h="16838" w:orient="portrait"/>
          <w:cols w:equalWidth="0" w:num="1">
            <w:col w:w="11004"/>
          </w:cols>
          <w:pgMar w:left="436" w:top="783"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2547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625475" cy="257175"/>
                    </a:xfrm>
                    <a:prstGeom prst="rect">
                      <a:avLst/>
                    </a:prstGeom>
                    <a:noFill/>
                  </pic:spPr>
                </pic:pic>
              </a:graphicData>
            </a:graphic>
          </wp:anchor>
        </w:drawing>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right="40" w:firstLine="436"/>
        <w:spacing w:after="0" w:line="258"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75"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71"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 the Board has taken all necessary corporate action to approve the issuance and terms of the Units (including any Company Securities underlying the Units) and related matters; and (b) the Units (including any Company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Company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117" w:lineRule="exact"/>
        <w:rPr>
          <w:sz w:val="20"/>
          <w:szCs w:val="20"/>
          <w:color w:val="auto"/>
        </w:rPr>
      </w:pPr>
    </w:p>
    <w:p>
      <w:pPr>
        <w:ind w:right="420" w:firstLine="987"/>
        <w:spacing w:after="0" w:line="28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transfer, moratorium or other similar laws relating to or affecting the rights of creditors generally;</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117" w:lineRule="exact"/>
        <w:rPr>
          <w:rFonts w:ascii="Times New Roman" w:cs="Times New Roman" w:eastAsia="Times New Roman" w:hAnsi="Times New Roman"/>
          <w:sz w:val="18"/>
          <w:szCs w:val="18"/>
          <w:color w:val="auto"/>
        </w:rPr>
      </w:pPr>
    </w:p>
    <w:p>
      <w:pPr>
        <w:ind w:right="520" w:firstLine="987"/>
        <w:spacing w:after="0" w:line="28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62"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We express no opinion as to the laws of any other jurisdiction, other than the federal laws of the United States of America, the laws of the State of New York as to the enforceability of the Debt Securities, the Warrants, the Subscription Rights, the Purchase Contracts and the Units, and the DGCL.</w:t>
      </w:r>
    </w:p>
    <w:p>
      <w:pPr>
        <w:sectPr>
          <w:pgSz w:w="11900" w:h="16838" w:orient="portrait"/>
          <w:cols w:equalWidth="0" w:num="1">
            <w:col w:w="11000"/>
          </w:cols>
          <w:pgMar w:left="440" w:top="783"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25475"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625475" cy="257175"/>
                    </a:xfrm>
                    <a:prstGeom prst="rect">
                      <a:avLst/>
                    </a:prstGeom>
                    <a:noFill/>
                  </pic:spPr>
                </pic:pic>
              </a:graphicData>
            </a:graphic>
          </wp:anchor>
        </w:drawing>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Base Prospectus, the ATM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WILSON SONSINI GOODRICH &amp; ROSATI</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980"/>
          </w:cols>
          <w:pgMar w:left="440" w:top="783" w:right="47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1 to the Registration Statement (Form S-3) and related Prospectus of PMV Pharmaceuticals, Inc. for the registration of common stock, preferred stock, debt securities, warrants, subscription rights, purchase contracts and units and to the incorporation by reference therein of our reports dated March 1, 2022, with respect to the financial statements of PMV Pharmaceuticals, Inc., and the effectiveness of internal control over financial reporting of PMV Pharmaceuticals, Inc., included in its Annual Report (Form 10-K) for the year ended December 31, 2021,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900" w:h="16838" w:orient="portrait"/>
          <w:cols w:equalWidth="0" w:num="1">
            <w:col w:w="11020"/>
          </w:cols>
          <w:pgMar w:left="440" w:top="117" w:right="4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Post-Effective Amendment to Form S-3</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760" w:type="dxa"/>
            <w:vAlign w:val="bottom"/>
            <w:tcBorders>
              <w:top w:val="single" w:sz="8" w:color="auto"/>
              <w:left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6"/>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1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5"/>
        </w:trPr>
        <w:tc>
          <w:tcPr>
            <w:tcW w:w="760" w:type="dxa"/>
            <w:vAlign w:val="bottom"/>
            <w:tcBorders>
              <w:left w:val="single" w:sz="8" w:color="auto"/>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20" w:type="dxa"/>
            <w:vAlign w:val="bottom"/>
            <w:tcBorders>
              <w:bottom w:val="single" w:sz="8" w:color="auto"/>
              <w:right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Newly Registered Securities</w:t>
            </w: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Fees to</w:t>
            </w:r>
          </w:p>
        </w:tc>
        <w:tc>
          <w:tcPr>
            <w:tcW w:w="8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Equity</w:t>
            </w:r>
          </w:p>
        </w:tc>
        <w:tc>
          <w:tcPr>
            <w:tcW w:w="8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80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457(r)</w:t>
            </w: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(1)(2)</w:t>
            </w:r>
          </w:p>
        </w:tc>
        <w:tc>
          <w:tcPr>
            <w:tcW w:w="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Be Paid</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$0.00001</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per share</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Equity</w:t>
            </w:r>
          </w:p>
        </w:tc>
        <w:tc>
          <w:tcPr>
            <w:tcW w:w="8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Preferred</w:t>
            </w:r>
          </w:p>
        </w:tc>
        <w:tc>
          <w:tcPr>
            <w:tcW w:w="80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457(r)</w:t>
            </w: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(1)(2)</w:t>
            </w:r>
          </w:p>
        </w:tc>
        <w:tc>
          <w:tcPr>
            <w:tcW w:w="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$0.00001</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per share</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Debt</w:t>
            </w:r>
          </w:p>
        </w:tc>
        <w:tc>
          <w:tcPr>
            <w:tcW w:w="8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Debt</w:t>
            </w:r>
          </w:p>
        </w:tc>
        <w:tc>
          <w:tcPr>
            <w:tcW w:w="80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457(r)</w:t>
            </w: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(1)(2)</w:t>
            </w:r>
          </w:p>
        </w:tc>
        <w:tc>
          <w:tcPr>
            <w:tcW w:w="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Securities</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840" w:type="dxa"/>
            <w:vAlign w:val="bottom"/>
            <w:tcBorders>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Warrants</w:t>
            </w:r>
          </w:p>
        </w:tc>
        <w:tc>
          <w:tcPr>
            <w:tcW w:w="800" w:type="dxa"/>
            <w:vAlign w:val="bottom"/>
            <w:tcBorders>
              <w:bottom w:val="single" w:sz="8" w:color="auto"/>
            </w:tcBorders>
          </w:tcPr>
          <w:p>
            <w:pPr>
              <w:jc w:val="center"/>
              <w:ind w:left="50"/>
              <w:spacing w:after="0" w:line="142" w:lineRule="exact"/>
              <w:rPr>
                <w:sz w:val="20"/>
                <w:szCs w:val="20"/>
                <w:color w:val="auto"/>
              </w:rPr>
            </w:pPr>
            <w:r>
              <w:rPr>
                <w:rFonts w:ascii="Times New Roman" w:cs="Times New Roman" w:eastAsia="Times New Roman" w:hAnsi="Times New Roman"/>
                <w:sz w:val="14"/>
                <w:szCs w:val="14"/>
                <w:color w:val="auto"/>
              </w:rPr>
              <w:t>457(r)</w:t>
            </w:r>
          </w:p>
        </w:tc>
        <w:tc>
          <w:tcPr>
            <w:tcW w:w="1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w:t>
            </w:r>
          </w:p>
        </w:tc>
        <w:tc>
          <w:tcPr>
            <w:tcW w:w="8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8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Subscription</w:t>
            </w:r>
          </w:p>
        </w:tc>
        <w:tc>
          <w:tcPr>
            <w:tcW w:w="80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457(r)</w:t>
            </w: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(1)(2)</w:t>
            </w:r>
          </w:p>
        </w:tc>
        <w:tc>
          <w:tcPr>
            <w:tcW w:w="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Rights</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8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Purchase</w:t>
            </w:r>
          </w:p>
        </w:tc>
        <w:tc>
          <w:tcPr>
            <w:tcW w:w="80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457(r)</w:t>
            </w: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(1)(2)</w:t>
            </w:r>
          </w:p>
        </w:tc>
        <w:tc>
          <w:tcPr>
            <w:tcW w:w="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8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Contracts</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840" w:type="dxa"/>
            <w:vAlign w:val="bottom"/>
            <w:tcBorders>
              <w:bottom w:val="single" w:sz="8" w:color="auto"/>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Units(5)</w:t>
            </w:r>
          </w:p>
        </w:tc>
        <w:tc>
          <w:tcPr>
            <w:tcW w:w="800" w:type="dxa"/>
            <w:vAlign w:val="bottom"/>
            <w:tcBorders>
              <w:bottom w:val="single" w:sz="8" w:color="auto"/>
            </w:tcBorders>
          </w:tcPr>
          <w:p>
            <w:pPr>
              <w:jc w:val="center"/>
              <w:ind w:left="50"/>
              <w:spacing w:after="0" w:line="142" w:lineRule="exact"/>
              <w:rPr>
                <w:sz w:val="20"/>
                <w:szCs w:val="20"/>
                <w:color w:val="auto"/>
              </w:rPr>
            </w:pPr>
            <w:r>
              <w:rPr>
                <w:rFonts w:ascii="Times New Roman" w:cs="Times New Roman" w:eastAsia="Times New Roman" w:hAnsi="Times New Roman"/>
                <w:sz w:val="14"/>
                <w:szCs w:val="14"/>
                <w:color w:val="auto"/>
              </w:rPr>
              <w:t>457(r)</w:t>
            </w:r>
          </w:p>
        </w:tc>
        <w:tc>
          <w:tcPr>
            <w:tcW w:w="1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w:t>
            </w:r>
          </w:p>
        </w:tc>
        <w:tc>
          <w:tcPr>
            <w:tcW w:w="8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Unallocated</w:t>
            </w:r>
          </w:p>
        </w:tc>
        <w:tc>
          <w:tcPr>
            <w:tcW w:w="8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(1)</w:t>
            </w:r>
          </w:p>
        </w:tc>
        <w:tc>
          <w:tcPr>
            <w:tcW w:w="80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457(o)</w:t>
            </w: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(1)(2)</w:t>
            </w:r>
          </w:p>
        </w:tc>
        <w:tc>
          <w:tcPr>
            <w:tcW w:w="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$200,000,000(3)</w:t>
            </w:r>
          </w:p>
        </w:tc>
        <w:tc>
          <w:tcPr>
            <w:tcW w:w="820" w:type="dxa"/>
            <w:vAlign w:val="bottom"/>
            <w:tcBorders>
              <w:right w:val="single" w:sz="8" w:color="auto"/>
            </w:tcBorders>
          </w:tcPr>
          <w:p>
            <w:pPr>
              <w:jc w:val="right"/>
              <w:ind w:right="109"/>
              <w:spacing w:after="0" w:line="119" w:lineRule="exact"/>
              <w:rPr>
                <w:sz w:val="20"/>
                <w:szCs w:val="20"/>
                <w:color w:val="auto"/>
              </w:rPr>
            </w:pPr>
            <w:r>
              <w:rPr>
                <w:rFonts w:ascii="Times New Roman" w:cs="Times New Roman" w:eastAsia="Times New Roman" w:hAnsi="Times New Roman"/>
                <w:sz w:val="13"/>
                <w:szCs w:val="13"/>
                <w:color w:val="auto"/>
              </w:rPr>
              <w:t>$110.20</w:t>
            </w: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$22,040</w:t>
            </w:r>
          </w:p>
        </w:tc>
        <w:tc>
          <w:tcPr>
            <w:tcW w:w="7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8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per</w:t>
            </w: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Shelf</w:t>
            </w:r>
          </w:p>
        </w:tc>
        <w:tc>
          <w:tcPr>
            <w:tcW w:w="8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$1,000,000</w:t>
            </w: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color w:val="auto"/>
              </w:rPr>
              <w:t>Carry Forward Securities</w:t>
            </w:r>
          </w:p>
        </w:tc>
        <w:tc>
          <w:tcPr>
            <w:tcW w:w="9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80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Equity</w:t>
            </w:r>
          </w:p>
        </w:tc>
        <w:tc>
          <w:tcPr>
            <w:tcW w:w="840" w:type="dxa"/>
            <w:vAlign w:val="bottom"/>
            <w:tcBorders>
              <w:right w:val="single" w:sz="8" w:color="auto"/>
            </w:tcBorders>
          </w:tcPr>
          <w:p>
            <w:pPr>
              <w:ind w:left="60"/>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800" w:type="dxa"/>
            <w:vAlign w:val="bottom"/>
          </w:tcPr>
          <w:p>
            <w:pPr>
              <w:jc w:val="center"/>
              <w:ind w:left="50"/>
              <w:spacing w:after="0" w:line="119" w:lineRule="exact"/>
              <w:rPr>
                <w:sz w:val="20"/>
                <w:szCs w:val="20"/>
                <w:color w:val="auto"/>
              </w:rPr>
            </w:pPr>
            <w:r>
              <w:rPr>
                <w:rFonts w:ascii="Times New Roman" w:cs="Times New Roman" w:eastAsia="Times New Roman" w:hAnsi="Times New Roman"/>
                <w:sz w:val="13"/>
                <w:szCs w:val="13"/>
                <w:color w:val="auto"/>
              </w:rPr>
              <w:t>415(a)(6)</w:t>
            </w: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right"/>
              <w:ind w:right="271"/>
              <w:spacing w:after="0" w:line="11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N/A</w:t>
            </w:r>
          </w:p>
        </w:tc>
        <w:tc>
          <w:tcPr>
            <w:tcW w:w="112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$150,000,000</w:t>
            </w:r>
          </w:p>
        </w:tc>
        <w:tc>
          <w:tcPr>
            <w:tcW w:w="8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$13,905(4)</w:t>
            </w:r>
          </w:p>
        </w:tc>
        <w:tc>
          <w:tcPr>
            <w:tcW w:w="720" w:type="dxa"/>
            <w:vAlign w:val="bottom"/>
            <w:tcBorders>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S-3ASR</w:t>
            </w:r>
          </w:p>
        </w:tc>
        <w:tc>
          <w:tcPr>
            <w:tcW w:w="800" w:type="dxa"/>
            <w:vAlign w:val="bottom"/>
            <w:tcBorders>
              <w:right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333-260012</w:t>
            </w:r>
          </w:p>
        </w:tc>
        <w:tc>
          <w:tcPr>
            <w:tcW w:w="70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October 4,</w:t>
            </w:r>
          </w:p>
        </w:tc>
        <w:tc>
          <w:tcPr>
            <w:tcW w:w="8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$13,905</w:t>
            </w:r>
          </w:p>
        </w:tc>
        <w:tc>
          <w:tcPr>
            <w:tcW w:w="0" w:type="dxa"/>
            <w:vAlign w:val="bottom"/>
          </w:tcPr>
          <w:p>
            <w:pPr>
              <w:spacing w:after="0"/>
              <w:rPr>
                <w:sz w:val="1"/>
                <w:szCs w:val="1"/>
                <w:color w:val="auto"/>
              </w:rPr>
            </w:pPr>
          </w:p>
        </w:tc>
      </w:tr>
      <w:tr>
        <w:trPr>
          <w:trHeight w:val="149"/>
        </w:trPr>
        <w:tc>
          <w:tcPr>
            <w:tcW w:w="7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$0.00001</w:t>
            </w: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per share</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gridSpan w:val="3"/>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Total Offering Amounts</w:t>
            </w:r>
          </w:p>
        </w:tc>
        <w:tc>
          <w:tcPr>
            <w:tcW w:w="80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$350,000,000</w:t>
            </w:r>
          </w:p>
        </w:tc>
        <w:tc>
          <w:tcPr>
            <w:tcW w:w="8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$35,945</w:t>
            </w: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gridSpan w:val="3"/>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Total Fee Previously Paid</w:t>
            </w:r>
          </w:p>
        </w:tc>
        <w:tc>
          <w:tcPr>
            <w:tcW w:w="80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$13,905(4)</w:t>
            </w: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gridSpan w:val="3"/>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Total Fee Offsets</w:t>
            </w:r>
          </w:p>
        </w:tc>
        <w:tc>
          <w:tcPr>
            <w:tcW w:w="80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gridSpan w:val="2"/>
          </w:tcPr>
          <w:p>
            <w:pPr>
              <w:jc w:val="right"/>
              <w:ind w:right="51"/>
              <w:spacing w:after="0" w:line="142" w:lineRule="exact"/>
              <w:rPr>
                <w:sz w:val="20"/>
                <w:szCs w:val="20"/>
                <w:color w:val="auto"/>
              </w:rPr>
            </w:pPr>
            <w:r>
              <w:rPr>
                <w:rFonts w:ascii="Times New Roman" w:cs="Times New Roman" w:eastAsia="Times New Roman" w:hAnsi="Times New Roman"/>
                <w:sz w:val="14"/>
                <w:szCs w:val="14"/>
                <w:color w:val="auto"/>
              </w:rPr>
              <w:t>Net Fee Due</w:t>
            </w:r>
          </w:p>
        </w:tc>
        <w:tc>
          <w:tcPr>
            <w:tcW w:w="8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7"/>
              </w:rPr>
              <w:t>(3)</w:t>
            </w:r>
          </w:p>
        </w:tc>
        <w:tc>
          <w:tcPr>
            <w:tcW w:w="8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$22,040</w:t>
            </w:r>
          </w:p>
        </w:tc>
        <w:tc>
          <w:tcPr>
            <w:tcW w:w="7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560" w:top="117" w:right="439" w:bottom="1440" w:gutter="0" w:footer="0" w:header="0"/>
        </w:sectPr>
      </w:pPr>
    </w:p>
    <w:bookmarkStart w:id="65" w:name="page66"/>
    <w:bookmarkEnd w:id="6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2: Fee Offset Claims and Sources</w:t>
      </w:r>
    </w:p>
    <w:p>
      <w:pPr>
        <w:spacing w:after="0" w:line="254" w:lineRule="exact"/>
        <w:rPr>
          <w:sz w:val="20"/>
          <w:szCs w:val="20"/>
          <w:color w:val="auto"/>
        </w:rPr>
      </w:pPr>
    </w:p>
    <w:tbl>
      <w:tblPr>
        <w:tblLayout w:type="fixed"/>
        <w:tblInd w:w="134" w:type="dxa"/>
        <w:tblCellMar>
          <w:top w:w="0" w:type="dxa"/>
          <w:left w:w="0" w:type="dxa"/>
          <w:bottom w:w="0" w:type="dxa"/>
          <w:right w:w="0" w:type="dxa"/>
        </w:tblCellMar>
      </w:tblPr>
      <w:tr>
        <w:trPr>
          <w:trHeight w:val="137"/>
        </w:trPr>
        <w:tc>
          <w:tcPr>
            <w:tcW w:w="920" w:type="dxa"/>
            <w:vAlign w:val="bottom"/>
            <w:tcBorders>
              <w:top w:val="single" w:sz="8" w:color="auto"/>
              <w:left w:val="single" w:sz="8" w:color="auto"/>
              <w:right w:val="single" w:sz="8" w:color="auto"/>
            </w:tcBorders>
          </w:tcPr>
          <w:p>
            <w:pPr>
              <w:spacing w:after="0"/>
              <w:rPr>
                <w:sz w:val="11"/>
                <w:szCs w:val="11"/>
                <w:color w:val="auto"/>
              </w:rPr>
            </w:pPr>
          </w:p>
        </w:tc>
        <w:tc>
          <w:tcPr>
            <w:tcW w:w="128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40" w:type="dxa"/>
            <w:vAlign w:val="bottom"/>
            <w:tcBorders>
              <w:top w:val="single" w:sz="8" w:color="auto"/>
              <w:right w:val="single" w:sz="8" w:color="auto"/>
            </w:tcBorders>
          </w:tcPr>
          <w:p>
            <w:pPr>
              <w:spacing w:after="0"/>
              <w:rPr>
                <w:sz w:val="11"/>
                <w:szCs w:val="11"/>
                <w:color w:val="auto"/>
              </w:rPr>
            </w:pPr>
          </w:p>
        </w:tc>
        <w:tc>
          <w:tcPr>
            <w:tcW w:w="13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9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6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Unsold</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9"/>
              </w:rPr>
              <w:t>Title</w:t>
            </w:r>
          </w:p>
        </w:tc>
        <w:tc>
          <w:tcPr>
            <w:tcW w:w="84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Type</w:t>
            </w:r>
          </w:p>
        </w:tc>
        <w:tc>
          <w:tcPr>
            <w:tcW w:w="86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84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Fee</w:t>
            </w:r>
          </w:p>
        </w:tc>
        <w:tc>
          <w:tcPr>
            <w:tcW w:w="92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8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84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Associated</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 or</w:t>
            </w: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w:t>
            </w:r>
          </w:p>
        </w:tc>
        <w:tc>
          <w:tcPr>
            <w:tcW w:w="7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7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86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84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Fee</w:t>
            </w: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c>
          <w:tcPr>
            <w:tcW w:w="84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Filing</w:t>
            </w:r>
          </w:p>
        </w:tc>
        <w:tc>
          <w:tcPr>
            <w:tcW w:w="8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92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86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84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3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0" w:type="dxa"/>
            <w:vAlign w:val="bottom"/>
          </w:tcPr>
          <w:p>
            <w:pPr>
              <w:spacing w:after="0"/>
              <w:rPr>
                <w:sz w:val="1"/>
                <w:szCs w:val="1"/>
                <w:color w:val="auto"/>
              </w:rPr>
            </w:pPr>
          </w:p>
        </w:tc>
      </w:tr>
      <w:tr>
        <w:trPr>
          <w:trHeight w:val="173"/>
        </w:trPr>
        <w:tc>
          <w:tcPr>
            <w:tcW w:w="920" w:type="dxa"/>
            <w:vAlign w:val="bottom"/>
            <w:tcBorders>
              <w:left w:val="single" w:sz="8" w:color="auto"/>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Filer Name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tcBorders>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Borders>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20" w:type="dxa"/>
            <w:vAlign w:val="bottom"/>
            <w:tcBorders>
              <w:bottom w:val="single" w:sz="8" w:color="auto"/>
              <w:right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860" w:type="dxa"/>
            <w:vAlign w:val="bottom"/>
            <w:tcBorders>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840" w:type="dxa"/>
            <w:vAlign w:val="bottom"/>
            <w:tcBorders>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Claimed</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Source</w:t>
            </w: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3"/>
          </w:tcPr>
          <w:p>
            <w:pPr>
              <w:jc w:val="center"/>
              <w:ind w:right="468"/>
              <w:spacing w:after="0" w:line="142" w:lineRule="exact"/>
              <w:rPr>
                <w:sz w:val="20"/>
                <w:szCs w:val="20"/>
                <w:color w:val="auto"/>
              </w:rPr>
            </w:pPr>
            <w:r>
              <w:rPr>
                <w:rFonts w:ascii="Times New Roman" w:cs="Times New Roman" w:eastAsia="Times New Roman" w:hAnsi="Times New Roman"/>
                <w:sz w:val="14"/>
                <w:szCs w:val="14"/>
                <w:color w:val="auto"/>
              </w:rPr>
              <w:t>Rules 457(b) and 0-11(a)(2)</w:t>
            </w: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Fee Offset</w:t>
            </w:r>
          </w:p>
        </w:tc>
        <w:tc>
          <w:tcPr>
            <w:tcW w:w="12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Claims</w:t>
            </w:r>
          </w:p>
        </w:tc>
        <w:tc>
          <w:tcPr>
            <w:tcW w:w="1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Fee Offset</w:t>
            </w:r>
          </w:p>
        </w:tc>
        <w:tc>
          <w:tcPr>
            <w:tcW w:w="12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Sources</w:t>
            </w:r>
          </w:p>
        </w:tc>
        <w:tc>
          <w:tcPr>
            <w:tcW w:w="1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left="308"/>
              <w:spacing w:after="0" w:line="142" w:lineRule="exact"/>
              <w:rPr>
                <w:sz w:val="20"/>
                <w:szCs w:val="20"/>
                <w:color w:val="auto"/>
              </w:rPr>
            </w:pPr>
            <w:r>
              <w:rPr>
                <w:rFonts w:ascii="Times New Roman" w:cs="Times New Roman" w:eastAsia="Times New Roman" w:hAnsi="Times New Roman"/>
                <w:sz w:val="14"/>
                <w:szCs w:val="14"/>
                <w:color w:val="auto"/>
              </w:rPr>
              <w:t>Rule 457(p)</w:t>
            </w:r>
          </w:p>
        </w:tc>
        <w:tc>
          <w:tcPr>
            <w:tcW w:w="9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92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Fee Offset</w:t>
            </w:r>
          </w:p>
        </w:tc>
        <w:tc>
          <w:tcPr>
            <w:tcW w:w="12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Claims</w:t>
            </w:r>
          </w:p>
        </w:tc>
        <w:tc>
          <w:tcPr>
            <w:tcW w:w="1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Borders>
              <w:left w:val="single" w:sz="8" w:color="auto"/>
              <w:right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Fee Offset</w:t>
            </w:r>
          </w:p>
        </w:tc>
        <w:tc>
          <w:tcPr>
            <w:tcW w:w="1280" w:type="dxa"/>
            <w:vAlign w:val="bottom"/>
            <w:tcBorders>
              <w:right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PMV</w:t>
            </w:r>
          </w:p>
        </w:tc>
        <w:tc>
          <w:tcPr>
            <w:tcW w:w="6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S-3ASR</w:t>
            </w:r>
          </w:p>
        </w:tc>
        <w:tc>
          <w:tcPr>
            <w:tcW w:w="8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333-260012</w:t>
            </w:r>
          </w:p>
        </w:tc>
        <w:tc>
          <w:tcPr>
            <w:tcW w:w="7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October 4,</w:t>
            </w:r>
          </w:p>
        </w:tc>
        <w:tc>
          <w:tcPr>
            <w:tcW w:w="800" w:type="dxa"/>
            <w:vAlign w:val="bottom"/>
            <w:tcBorders>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rPr>
              <w:t>October 4,</w:t>
            </w:r>
          </w:p>
        </w:tc>
        <w:tc>
          <w:tcPr>
            <w:tcW w:w="720" w:type="dxa"/>
            <w:vAlign w:val="bottom"/>
            <w:tcBorders>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$13,905</w:t>
            </w:r>
          </w:p>
        </w:tc>
        <w:tc>
          <w:tcPr>
            <w:tcW w:w="920" w:type="dxa"/>
            <w:vAlign w:val="bottom"/>
            <w:tcBorders>
              <w:right w:val="single" w:sz="8" w:color="auto"/>
            </w:tcBorders>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860" w:type="dxa"/>
            <w:vAlign w:val="bottom"/>
            <w:tcBorders>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rPr>
              <w:t>Common</w:t>
            </w:r>
          </w:p>
        </w:tc>
        <w:tc>
          <w:tcPr>
            <w:tcW w:w="840" w:type="dxa"/>
            <w:vAlign w:val="bottom"/>
            <w:tcBorders>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N/A</w:t>
            </w:r>
          </w:p>
        </w:tc>
        <w:tc>
          <w:tcPr>
            <w:tcW w:w="1300" w:type="dxa"/>
            <w:vAlign w:val="bottom"/>
            <w:tcBorders>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6"/>
                <w:szCs w:val="16"/>
                <w:color w:val="auto"/>
              </w:rPr>
              <w:t>$150,000,000</w:t>
            </w:r>
          </w:p>
        </w:tc>
        <w:tc>
          <w:tcPr>
            <w:tcW w:w="940" w:type="dxa"/>
            <w:vAlign w:val="bottom"/>
            <w:tcBorders>
              <w:right w:val="single" w:sz="8" w:color="auto"/>
            </w:tcBorders>
          </w:tcPr>
          <w:p>
            <w:pPr>
              <w:jc w:val="right"/>
              <w:ind w:right="147"/>
              <w:spacing w:after="0" w:line="142" w:lineRule="exact"/>
              <w:rPr>
                <w:sz w:val="20"/>
                <w:szCs w:val="20"/>
                <w:color w:val="auto"/>
              </w:rPr>
            </w:pPr>
            <w:r>
              <w:rPr>
                <w:rFonts w:ascii="Times New Roman" w:cs="Times New Roman" w:eastAsia="Times New Roman" w:hAnsi="Times New Roman"/>
                <w:sz w:val="16"/>
                <w:szCs w:val="16"/>
                <w:color w:val="auto"/>
              </w:rPr>
              <w:t>$13,905</w:t>
            </w:r>
          </w:p>
        </w:tc>
        <w:tc>
          <w:tcPr>
            <w:tcW w:w="0" w:type="dxa"/>
            <w:vAlign w:val="bottom"/>
          </w:tcPr>
          <w:p>
            <w:pPr>
              <w:spacing w:after="0"/>
              <w:rPr>
                <w:sz w:val="1"/>
                <w:szCs w:val="1"/>
                <w:color w:val="auto"/>
              </w:rPr>
            </w:pPr>
          </w:p>
        </w:tc>
      </w:tr>
      <w:tr>
        <w:trPr>
          <w:trHeight w:val="126"/>
        </w:trPr>
        <w:tc>
          <w:tcPr>
            <w:tcW w:w="920" w:type="dxa"/>
            <w:vAlign w:val="bottom"/>
            <w:tcBorders>
              <w:left w:val="single" w:sz="8" w:color="auto"/>
              <w:right w:val="single" w:sz="8" w:color="auto"/>
            </w:tcBorders>
          </w:tcPr>
          <w:p>
            <w:pPr>
              <w:ind w:left="140"/>
              <w:spacing w:after="0" w:line="126" w:lineRule="exact"/>
              <w:rPr>
                <w:sz w:val="20"/>
                <w:szCs w:val="20"/>
                <w:color w:val="auto"/>
              </w:rPr>
            </w:pPr>
            <w:r>
              <w:rPr>
                <w:rFonts w:ascii="Times New Roman" w:cs="Times New Roman" w:eastAsia="Times New Roman" w:hAnsi="Times New Roman"/>
                <w:sz w:val="14"/>
                <w:szCs w:val="14"/>
                <w:color w:val="auto"/>
              </w:rPr>
              <w:t>Sources</w:t>
            </w:r>
          </w:p>
        </w:tc>
        <w:tc>
          <w:tcPr>
            <w:tcW w:w="128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4"/>
                <w:szCs w:val="14"/>
                <w:color w:val="auto"/>
              </w:rPr>
              <w:t>Pharmaceuticals,</w:t>
            </w:r>
          </w:p>
        </w:tc>
        <w:tc>
          <w:tcPr>
            <w:tcW w:w="6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2021</w:t>
            </w:r>
          </w:p>
        </w:tc>
        <w:tc>
          <w:tcPr>
            <w:tcW w:w="800" w:type="dxa"/>
            <w:vAlign w:val="bottom"/>
            <w:tcBorders>
              <w:right w:val="single" w:sz="8" w:color="auto"/>
            </w:tcBorders>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w w:val="99"/>
              </w:rPr>
              <w:t>2021</w:t>
            </w:r>
          </w:p>
        </w:tc>
        <w:tc>
          <w:tcPr>
            <w:tcW w:w="72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Stock, par</w:t>
            </w:r>
          </w:p>
        </w:tc>
        <w:tc>
          <w:tcPr>
            <w:tcW w:w="84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84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Borders>
              <w:left w:val="single" w:sz="8" w:color="auto"/>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$0.00001</w:t>
            </w:r>
          </w:p>
        </w:tc>
        <w:tc>
          <w:tcPr>
            <w:tcW w:w="84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128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per share</w:t>
            </w:r>
          </w:p>
        </w:tc>
        <w:tc>
          <w:tcPr>
            <w:tcW w:w="84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consists of up to $200,000,000 of an indeterminate number of (a) shares of common stock, (b) shares of preferred stock,</w:t>
      </w:r>
    </w:p>
    <w:p>
      <w:pPr>
        <w:spacing w:after="0" w:line="9" w:lineRule="exact"/>
        <w:rPr>
          <w:rFonts w:ascii="Times New Roman" w:cs="Times New Roman" w:eastAsia="Times New Roman" w:hAnsi="Times New Roman"/>
          <w:sz w:val="18"/>
          <w:szCs w:val="18"/>
          <w:color w:val="auto"/>
        </w:rPr>
      </w:pPr>
    </w:p>
    <w:p>
      <w:pPr>
        <w:ind w:left="424"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debt securities, (d) warrants to purchase common stock, preferred stock or debt securities of the registrant, (e) subscription rights to purchase common stock, preferred stock, debt securities, warrants or units consisting of some or all of these securities of the registrant, (f) purchase contracts, and (g)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ind w:left="424" w:right="80" w:hanging="424"/>
        <w:spacing w:after="0" w:line="250"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pursuant to General Instruction II.E. of Form S-3 under the Securities Act. Separate consideration may or may not be received for securities that are issuable on exercise, conversion or exchange of other securities, or that are issued in units. In no event will the aggregate offering price of all securities sold by the registrant from time to time pursuant to this registration statement exceed $200,000,000.</w:t>
      </w:r>
    </w:p>
    <w:p>
      <w:pPr>
        <w:spacing w:after="0" w:line="1"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paid a fee of $13,905 related to $150,000,000 of the registrant’s common stock that could have been issued and sold under a certain sales agreement with Jefferies LLC pursuant to a prospectus supplement filed by the registrant on October 4, 2021. Of such shares, $150,000,000 were unsold, and the registration fee in the amount of $13,905 related thereto is applied to the registrant’s total registration fee pursuant to Rule 415(a)(6). Accordingly, the registrant is paying the registration fee due less the $13,905 that was previously paid.</w:t>
      </w:r>
    </w:p>
    <w:p>
      <w:pPr>
        <w:spacing w:after="0" w:line="1" w:lineRule="exact"/>
        <w:rPr>
          <w:rFonts w:ascii="Times New Roman" w:cs="Times New Roman" w:eastAsia="Times New Roman" w:hAnsi="Times New Roman"/>
          <w:sz w:val="18"/>
          <w:szCs w:val="18"/>
          <w:color w:val="auto"/>
        </w:rPr>
      </w:pPr>
    </w:p>
    <w:p>
      <w:pPr>
        <w:ind w:left="424" w:right="260" w:hanging="424"/>
        <w:spacing w:after="0" w:line="260"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some or all of the securities listed above, in any combination, including common stock, preferred stock, debt securities, warrants, purchase contracts and subscription rights.</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609"/>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609"/>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51EAD36B"/>
    <w:multiLevelType w:val="hybridMultilevel"/>
    <w:lvl w:ilvl="0">
      <w:lvlJc w:val="left"/>
      <w:lvlText w:val="(%1)"/>
      <w:numFmt w:val="decimal"/>
      <w:start w:val="2"/>
    </w:lvl>
  </w:abstractNum>
  <w:abstractNum w:abstractNumId="33">
    <w:nsid w:val="2D517796"/>
    <w:multiLevelType w:val="hybridMultilevel"/>
    <w:lvl w:ilvl="0">
      <w:lvlJc w:val="left"/>
      <w:lvlText w:val="(%1)"/>
      <w:numFmt w:val="decimal"/>
      <w:start w:val="5"/>
    </w:lvl>
    <w:lvl w:ilvl="1">
      <w:lvlJc w:val="left"/>
      <w:lvlText w:val="(%2)"/>
      <w:numFmt w:val="lowerRoman"/>
      <w:start w:val="1"/>
    </w:lvl>
  </w:abstractNum>
  <w:abstractNum w:abstractNumId="34">
    <w:nsid w:val="580BD78F"/>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5">
    <w:nsid w:val="153EA43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3855585C"/>
    <w:multiLevelType w:val="hybridMultilevel"/>
    <w:lvl w:ilvl="0">
      <w:lvlJc w:val="left"/>
      <w:lvlText w:val="(%1)"/>
      <w:numFmt w:val="lowerLetter"/>
      <w:start w:val="8"/>
    </w:lvl>
  </w:abstractNum>
  <w:abstractNum w:abstractNumId="37">
    <w:nsid w:val="70A64E2A"/>
    <w:multiLevelType w:val="hybridMultilevel"/>
    <w:lvl w:ilvl="0">
      <w:lvlJc w:val="left"/>
      <w:lvlText w:val="(%1)"/>
      <w:numFmt w:val="lowerLetter"/>
      <w:start w:val="10"/>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4"/>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Roman"/>
      <w:start w:val="1"/>
    </w:lvl>
    <w:lvl w:ilvl="1">
      <w:lvlJc w:val="left"/>
      <w:lvlText w:val="%2."/>
      <w:numFmt w:val="decimal"/>
      <w:start w:val="2"/>
    </w:lvl>
  </w:abstractNum>
  <w:abstractNum w:abstractNumId="42">
    <w:nsid w:val="2CD89A32"/>
    <w:multiLevelType w:val="hybridMultilevel"/>
    <w:lvl w:ilvl="0">
      <w:lvlJc w:val="left"/>
      <w:lvlText w:val="(%1)"/>
      <w:numFmt w:val="lowerRoman"/>
      <w:start w:val="1"/>
    </w:lvl>
    <w:lvl w:ilvl="1">
      <w:lvlJc w:val="left"/>
      <w:lvlText w:val="%2."/>
      <w:numFmt w:val="decimal"/>
      <w:start w:val="4"/>
    </w:lvl>
  </w:abstractNum>
  <w:abstractNum w:abstractNumId="43">
    <w:nsid w:val="57E4CCAF"/>
    <w:multiLevelType w:val="hybridMultilevel"/>
    <w:lvl w:ilvl="0">
      <w:lvlJc w:val="left"/>
      <w:lvlText w:val="%1."/>
      <w:numFmt w:val="decimal"/>
      <w:start w:val="6"/>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jpe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jpe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jpe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jpeg"/><Relationship Id="rId117" Type="http://schemas.openxmlformats.org/officeDocument/2006/relationships/image" Target="media/image93.png"/><Relationship Id="rId118" Type="http://schemas.openxmlformats.org/officeDocument/2006/relationships/image" Target="media/image94.jpeg"/><Relationship Id="rId119" Type="http://schemas.openxmlformats.org/officeDocument/2006/relationships/image" Target="media/image95.png"/><Relationship Id="rId120" Type="http://schemas.openxmlformats.org/officeDocument/2006/relationships/image" Target="media/image96.jpeg"/><Relationship Id="rId121" Type="http://schemas.openxmlformats.org/officeDocument/2006/relationships/image" Target="media/image97.png"/><Relationship Id="rId122" Type="http://schemas.openxmlformats.org/officeDocument/2006/relationships/image" Target="media/image98.jpeg"/><Relationship Id="rId123" Type="http://schemas.openxmlformats.org/officeDocument/2006/relationships/image" Target="media/image99.png"/><Relationship Id="rId124" Type="http://schemas.openxmlformats.org/officeDocument/2006/relationships/image" Target="media/image100.jpeg"/><Relationship Id="rId125" Type="http://schemas.openxmlformats.org/officeDocument/2006/relationships/image" Target="media/image101.png"/><Relationship Id="rId53" Type="http://schemas.openxmlformats.org/officeDocument/2006/relationships/hyperlink" Target="http://www.sec.gov/ix?doc=/Archives/edgar/data/1699382/000156459022007860/pmvp-10k_20211231.htm" TargetMode="External"/><Relationship Id="rId54" Type="http://schemas.openxmlformats.org/officeDocument/2006/relationships/hyperlink" Target="http://www.sec.gov/ix?doc=/Archives/edgar/data/0001699382/000156459022019071/pmvp-10q_20220331.htm" TargetMode="External"/><Relationship Id="rId55" Type="http://schemas.openxmlformats.org/officeDocument/2006/relationships/hyperlink" Target="http://www.sec.gov/ix?doc=/Archives/edgar/data/0001699382/000095017022015767/pmvp-20220630.htm" TargetMode="External"/><Relationship Id="rId56" Type="http://schemas.openxmlformats.org/officeDocument/2006/relationships/hyperlink" Target="http://www.sec.gov/ix?doc=/Archives/edgar/data/0001699382/000095017022022920/pmvp-20220930.htm" TargetMode="External"/><Relationship Id="rId57" Type="http://schemas.openxmlformats.org/officeDocument/2006/relationships/hyperlink" Target="http://www.sec.gov/Archives/edgar/data/1699382/000114036122015508/ny20002213x1_def14a.htm" TargetMode="External"/><Relationship Id="rId58" Type="http://schemas.openxmlformats.org/officeDocument/2006/relationships/hyperlink" Target="http://www.sec.gov/ix?doc=/Archives/edgar/data/0001699382/000119312522003158/d86525d8k.htm" TargetMode="External"/><Relationship Id="rId59" Type="http://schemas.openxmlformats.org/officeDocument/2006/relationships/hyperlink" Target="http://www.sec.gov/ix?doc=/Archives/edgar/data/0001699382/000119312522168285/d274679d8k.htm" TargetMode="External"/><Relationship Id="rId60" Type="http://schemas.openxmlformats.org/officeDocument/2006/relationships/hyperlink" Target="http://www.sec.gov/ix?doc=/Archives/edgar/data/0001699382/000095017022022919/pmvp-20221108.htm" TargetMode="External"/><Relationship Id="rId61" Type="http://schemas.openxmlformats.org/officeDocument/2006/relationships/hyperlink" Target="http://www.sec.gov/Archives/edgar/data/1699382/000119312520250157/d14856d8a12b.htm" TargetMode="External"/><Relationship Id="rId62" Type="http://schemas.openxmlformats.org/officeDocument/2006/relationships/hyperlink" Target="http://www.sec.gov/Archives/edgar/data/1699382/000156459021010578/pmvp-10k_20201231.htm" TargetMode="External"/><Relationship Id="rId102" Type="http://schemas.openxmlformats.org/officeDocument/2006/relationships/hyperlink" Target="http://www.sec.gov/Archives/edgar/data/1699382/000119312521290972/d231282dex12.htm" TargetMode="External"/><Relationship Id="rId103" Type="http://schemas.openxmlformats.org/officeDocument/2006/relationships/hyperlink" Target="http://www.sec.gov/Archives/edgar/data/1699382/000119312520257820/d95525dex31.htm" TargetMode="External"/><Relationship Id="rId104" Type="http://schemas.openxmlformats.org/officeDocument/2006/relationships/hyperlink" Target="http://www.sec.gov/Archives/edgar/data/1699382/000119312520257820/d95525dex32.htm" TargetMode="External"/><Relationship Id="rId105" Type="http://schemas.openxmlformats.org/officeDocument/2006/relationships/hyperlink" Target="http://www.sec.gov/Archives/edgar/data/1699382/000119312520240132/d922470dex41.htm" TargetMode="External"/><Relationship Id="rId106" Type="http://schemas.openxmlformats.org/officeDocument/2006/relationships/hyperlink" Target="http://www.sec.gov/Archives/edgar/data/1699382/000119312520249570/d922470dex42.htm" TargetMode="External"/><Relationship Id="rId107" Type="http://schemas.openxmlformats.org/officeDocument/2006/relationships/hyperlink" Target="http://www.sec.gov/Archives/edgar/data/1699382/000119312521290972/d231282dex44.htm" TargetMode="External"/><Relationship Id="rId108" Type="http://schemas.openxmlformats.org/officeDocument/2006/relationships/hyperlink" Target="http://www.sec.gov/Archives/edgar/data/1699382/000119312521290972/d231282ds3asr.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2023-03-01T06:56:20Z</dcterms:created>
  <dcterms:modified xsi:type="dcterms:W3CDTF">2023-03-01T06:56:20Z</dcterms:modified>
</cp:coreProperties>
</file>