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201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201545"/>
                    </a:xfrm>
                    <a:prstGeom prst="rect">
                      <a:avLst/>
                    </a:prstGeom>
                    <a:noFill/>
                  </pic:spPr>
                </pic:pic>
              </a:graphicData>
            </a:graphic>
          </wp:anchor>
        </w:drawing>
      </w:r>
    </w:p>
    <w:p>
      <w:pPr>
        <w:sectPr>
          <w:pgSz w:w="11900" w:h="16838" w:orient="portrait"/>
          <w:cols w:equalWidth="0" w:num="1">
            <w:col w:w="10940"/>
          </w:cols>
          <w:pgMar w:left="480" w:top="230" w:right="479" w:bottom="56"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 CAPITAL</w:t>
              </w:r>
            </w:hyperlink>
          </w:p>
        </w:tc>
        <w:tc>
          <w:tcPr>
            <w:tcW w:w="1560" w:type="dxa"/>
            <w:vAlign w:val="bottom"/>
          </w:tcPr>
          <w:p>
            <w:pPr>
              <w:ind w:left="2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line="20" w:lineRule="exact"/>
              <w:rPr>
                <w:sz w:val="1"/>
                <w:szCs w:val="1"/>
                <w:color w:val="auto"/>
              </w:rPr>
            </w:pPr>
          </w:p>
        </w:tc>
      </w:tr>
      <w:tr>
        <w:trPr>
          <w:trHeight w:val="307"/>
        </w:trPr>
        <w:tc>
          <w:tcPr>
            <w:tcW w:w="40" w:type="dxa"/>
            <w:vAlign w:val="bottom"/>
          </w:tcPr>
          <w:p>
            <w:pPr>
              <w:spacing w:after="0"/>
              <w:rPr>
                <w:sz w:val="24"/>
                <w:szCs w:val="24"/>
                <w:color w:val="auto"/>
              </w:rPr>
            </w:pPr>
          </w:p>
        </w:tc>
        <w:tc>
          <w:tcPr>
            <w:tcW w:w="3020" w:type="dxa"/>
            <w:vAlign w:val="bottom"/>
            <w:gridSpan w:val="2"/>
          </w:tcPr>
          <w:p>
            <w:pPr>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MANAGEMENT, L.P.</w:t>
              </w:r>
            </w:hyperlink>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0"/>
          <w:szCs w:val="20"/>
          <w:color w:val="auto"/>
        </w:rPr>
      </w:pPr>
    </w:p>
    <w:p>
      <w:pPr>
        <w:sectPr>
          <w:pgSz w:w="11900" w:h="16838" w:orient="portrait"/>
          <w:cols w:equalWidth="0" w:num="2">
            <w:col w:w="4720" w:space="280"/>
            <w:col w:w="5940"/>
          </w:cols>
          <w:pgMar w:left="480" w:top="230" w:right="479" w:bottom="56"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5"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7"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0"/>
          <w:szCs w:val="20"/>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55" w:lineRule="exact"/>
        <w:rPr>
          <w:sz w:val="20"/>
          <w:szCs w:val="20"/>
          <w:color w:val="auto"/>
        </w:rPr>
      </w:pPr>
    </w:p>
    <w:p>
      <w:pPr>
        <w:sectPr>
          <w:pgSz w:w="11900" w:h="16838" w:orient="portrait"/>
          <w:cols w:equalWidth="0" w:num="3">
            <w:col w:w="4277" w:space="720"/>
            <w:col w:w="3003" w:space="269"/>
            <w:col w:w="2671"/>
          </w:cols>
          <w:pgMar w:left="480" w:top="230" w:right="479" w:bottom="56" w:gutter="0" w:footer="0" w:header="0"/>
          <w:type w:val="continuous"/>
        </w:sectPr>
      </w:pPr>
    </w:p>
    <w:p>
      <w:pPr>
        <w:spacing w:after="0" w:line="14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6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6748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8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80" w:type="dxa"/>
            <w:vAlign w:val="bottom"/>
            <w:tcBorders>
              <w:bottom w:val="single" w:sz="8" w:color="2C2C2C"/>
            </w:tcBorders>
            <w:gridSpan w:val="2"/>
          </w:tcPr>
          <w:p>
            <w:pPr>
              <w:ind w:left="50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w w:val="99"/>
              </w:rPr>
              <w:t>760,265</w:t>
            </w:r>
            <w:r>
              <w:rPr>
                <w:rFonts w:ascii="Times New Roman" w:cs="Times New Roman" w:eastAsia="Times New Roman" w:hAnsi="Times New Roman"/>
                <w:sz w:val="25"/>
                <w:szCs w:val="25"/>
                <w:color w:val="008000"/>
                <w:w w:val="99"/>
                <w:vertAlign w:val="superscript"/>
              </w:rPr>
              <w:t>(2)</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(3)(4)</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0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RA CAPITAL MANAGEMENT, L.P.</w:t>
              </w:r>
            </w:hyperlink>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gridSpan w:val="2"/>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620" w:type="dxa"/>
            <w:vAlign w:val="bottom"/>
          </w:tcPr>
          <w:p>
            <w:pPr>
              <w:ind w:left="300"/>
              <w:spacing w:after="0"/>
              <w:rPr>
                <w:sz w:val="20"/>
                <w:szCs w:val="20"/>
                <w:color w:val="auto"/>
              </w:rPr>
            </w:pPr>
            <w:r>
              <w:rPr>
                <w:rFonts w:ascii="Arial" w:cs="Arial" w:eastAsia="Arial" w:hAnsi="Arial"/>
                <w:sz w:val="15"/>
                <w:szCs w:val="15"/>
                <w:color w:val="auto"/>
              </w:rPr>
              <w:t>(First)</w:t>
            </w:r>
          </w:p>
        </w:tc>
        <w:tc>
          <w:tcPr>
            <w:tcW w:w="10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200 BERKELEY STREET, 18TH FLOOR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6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02116</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gridSpan w:val="2"/>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620" w:type="dxa"/>
            <w:vAlign w:val="bottom"/>
          </w:tcPr>
          <w:p>
            <w:pPr>
              <w:ind w:left="300"/>
              <w:spacing w:after="0"/>
              <w:rPr>
                <w:sz w:val="20"/>
                <w:szCs w:val="20"/>
                <w:color w:val="auto"/>
              </w:rPr>
            </w:pPr>
            <w:r>
              <w:rPr>
                <w:rFonts w:ascii="Arial" w:cs="Arial" w:eastAsia="Arial" w:hAnsi="Arial"/>
                <w:sz w:val="15"/>
                <w:szCs w:val="15"/>
                <w:color w:val="auto"/>
              </w:rPr>
              <w:t>(State)</w:t>
            </w:r>
          </w:p>
        </w:tc>
        <w:tc>
          <w:tcPr>
            <w:tcW w:w="10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0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Kolchinsky Peter</w:t>
              </w:r>
            </w:hyperlink>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gridSpan w:val="2"/>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620" w:type="dxa"/>
            <w:vAlign w:val="bottom"/>
          </w:tcPr>
          <w:p>
            <w:pPr>
              <w:ind w:left="300"/>
              <w:spacing w:after="0"/>
              <w:rPr>
                <w:sz w:val="20"/>
                <w:szCs w:val="20"/>
                <w:color w:val="auto"/>
              </w:rPr>
            </w:pPr>
            <w:r>
              <w:rPr>
                <w:rFonts w:ascii="Arial" w:cs="Arial" w:eastAsia="Arial" w:hAnsi="Arial"/>
                <w:sz w:val="15"/>
                <w:szCs w:val="15"/>
                <w:color w:val="auto"/>
              </w:rPr>
              <w:t>(First)</w:t>
            </w:r>
          </w:p>
        </w:tc>
        <w:tc>
          <w:tcPr>
            <w:tcW w:w="10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200 BERKELEY STREET, 18TH FLOOR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6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02116</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gridSpan w:val="2"/>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620" w:type="dxa"/>
            <w:vAlign w:val="bottom"/>
          </w:tcPr>
          <w:p>
            <w:pPr>
              <w:ind w:left="300"/>
              <w:spacing w:after="0"/>
              <w:rPr>
                <w:sz w:val="20"/>
                <w:szCs w:val="20"/>
                <w:color w:val="auto"/>
              </w:rPr>
            </w:pPr>
            <w:r>
              <w:rPr>
                <w:rFonts w:ascii="Arial" w:cs="Arial" w:eastAsia="Arial" w:hAnsi="Arial"/>
                <w:sz w:val="15"/>
                <w:szCs w:val="15"/>
                <w:color w:val="auto"/>
              </w:rPr>
              <w:t>(State)</w:t>
            </w:r>
          </w:p>
        </w:tc>
        <w:tc>
          <w:tcPr>
            <w:tcW w:w="10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-3917950</wp:posOffset>
            </wp:positionV>
            <wp:extent cx="6937375" cy="4669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937375" cy="4669155"/>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56"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7">
        <w:r>
          <w:rPr>
            <w:rFonts w:ascii="Times New Roman" w:cs="Times New Roman" w:eastAsia="Times New Roman" w:hAnsi="Times New Roman"/>
            <w:sz w:val="23"/>
            <w:szCs w:val="23"/>
            <w:u w:val="single" w:color="auto"/>
            <w:color w:val="0000EE"/>
          </w:rPr>
          <w:t>Shah Rajeev M.</w:t>
        </w:r>
      </w:hyperlink>
    </w:p>
    <w:p>
      <w:pPr>
        <w:sectPr>
          <w:pgSz w:w="11900" w:h="16838" w:orient="portrait"/>
          <w:cols w:equalWidth="0" w:num="1">
            <w:col w:w="10940"/>
          </w:cols>
          <w:pgMar w:left="480" w:top="230" w:right="479" w:bottom="56"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-95885</wp:posOffset>
            </wp:positionV>
            <wp:extent cx="2773045" cy="1257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73045" cy="1257935"/>
                    </a:xfrm>
                    <a:prstGeom prst="rect">
                      <a:avLst/>
                    </a:prstGeom>
                    <a:noFill/>
                  </pic:spPr>
                </pic:pic>
              </a:graphicData>
            </a:graphic>
          </wp:anchor>
        </w:drawing>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82"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right="10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Series D Preferred Stock shall automatically convert into shares of Common Stock on a one to one basis immediately prior to the completion of the Issuer's initial public offering of Common Stock and have no expiration date.</w:t>
      </w:r>
    </w:p>
    <w:p>
      <w:pPr>
        <w:spacing w:after="0" w:line="17" w:lineRule="exact"/>
        <w:rPr>
          <w:rFonts w:ascii="Times New Roman" w:cs="Times New Roman" w:eastAsia="Times New Roman" w:hAnsi="Times New Roman"/>
          <w:sz w:val="15"/>
          <w:szCs w:val="15"/>
          <w:color w:val="008000"/>
        </w:rPr>
      </w:pPr>
    </w:p>
    <w:p>
      <w:pPr>
        <w:ind w:right="36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(a) 513,885 shares held by RA Capital Healthcare Fund L.P. (the "Fund"), (b) 56,314 shares held in a separately managed account (the "Account") and (c) 190,066 shares held by RA Capital Nexus Fund, L.P. (the "Nexus Fund").</w:t>
      </w:r>
    </w:p>
    <w:p>
      <w:pPr>
        <w:spacing w:after="0" w:line="17" w:lineRule="exact"/>
        <w:rPr>
          <w:rFonts w:ascii="Times New Roman" w:cs="Times New Roman" w:eastAsia="Times New Roman" w:hAnsi="Times New Roman"/>
          <w:sz w:val="15"/>
          <w:szCs w:val="15"/>
          <w:color w:val="008000"/>
        </w:rPr>
      </w:pPr>
    </w:p>
    <w:p>
      <w:pPr>
        <w:ind w:right="10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RA Capital Management, L.P. (the "Adviser") is the investment manager for the Fund, the Nexus Fund and the Account. The general partner of the Adviser is RA Capital Management GP, LLC (the "Adviser GP"), of which Dr. Peter Kolchinsky and Mr. Rajeev Shah are the managing members. The Adviser, the Adviser GP, Dr. Kolchinsky, and Mr. Shah may be deemed indirect beneficial owners of the reported securities for purposes of Section 13(d) of the Securities Exchange Act of 1934 (the "Act").</w:t>
      </w:r>
    </w:p>
    <w:p>
      <w:pPr>
        <w:spacing w:after="0" w:line="29" w:lineRule="exact"/>
        <w:rPr>
          <w:rFonts w:ascii="Times New Roman" w:cs="Times New Roman" w:eastAsia="Times New Roman" w:hAnsi="Times New Roman"/>
          <w:sz w:val="15"/>
          <w:szCs w:val="15"/>
          <w:color w:val="008000"/>
        </w:rPr>
      </w:pPr>
    </w:p>
    <w:p>
      <w:pPr>
        <w:ind w:right="8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They disclaim beneficial ownership of any of the reported securities for the purpose of determining whether they are subject to Section 16 of the Act, however, in reliance on Rule 16a-1(a)(1)(v) and (vii). To the extent that they might be deemed subject to Section 16, they disclaim beneficial ownership of securities held by the Fund and the Nexus Fund for purposes of Rule 16a-1(a)(2), except to the extent of their pecuniary interest therein, and disclaim any pecuniary interest in securities held in the Account for purposes of Rule 16a-1(a)(2).</w:t>
      </w:r>
    </w:p>
    <w:p>
      <w:pPr>
        <w:spacing w:after="0" w:line="62" w:lineRule="exact"/>
        <w:rPr>
          <w:sz w:val="20"/>
          <w:szCs w:val="20"/>
          <w:color w:val="auto"/>
        </w:rPr>
      </w:pPr>
    </w:p>
    <w:tbl>
      <w:tblPr>
        <w:tblLayout w:type="fixed"/>
        <w:tblInd w:w="6540" w:type="dxa"/>
        <w:tblCellMar>
          <w:top w:w="0" w:type="dxa"/>
          <w:left w:w="0" w:type="dxa"/>
          <w:bottom w:w="0" w:type="dxa"/>
          <w:right w:w="0" w:type="dxa"/>
        </w:tblCellMar>
      </w:tblPr>
      <w:tr>
        <w:trPr>
          <w:trHeight w:val="240"/>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0000FF"/>
              </w:rPr>
              <w:t>/s/ Peter Kolchinsky,</w:t>
            </w:r>
          </w:p>
        </w:tc>
        <w:tc>
          <w:tcPr>
            <w:tcW w:w="1080" w:type="dxa"/>
            <w:vAlign w:val="bottom"/>
          </w:tcPr>
          <w:p>
            <w:pPr>
              <w:spacing w:after="0"/>
              <w:rPr>
                <w:sz w:val="20"/>
                <w:szCs w:val="20"/>
                <w:color w:val="auto"/>
              </w:rPr>
            </w:pPr>
          </w:p>
        </w:tc>
      </w:t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0000FF"/>
              </w:rPr>
              <w:t>Manager of RA Capital</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09/24/2020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-179070</wp:posOffset>
            </wp:positionV>
            <wp:extent cx="102743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2743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-26670</wp:posOffset>
            </wp:positionV>
            <wp:extent cx="195580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6540" w:type="dxa"/>
            <w:vAlign w:val="bottom"/>
          </w:tcPr>
          <w:p>
            <w:pPr>
              <w:spacing w:after="0"/>
              <w:rPr>
                <w:sz w:val="17"/>
                <w:szCs w:val="17"/>
                <w:color w:val="auto"/>
              </w:rPr>
            </w:pPr>
          </w:p>
        </w:tc>
        <w:tc>
          <w:tcPr>
            <w:tcW w:w="1420" w:type="dxa"/>
            <w:vAlign w:val="bottom"/>
            <w:tcBorders>
              <w:bottom w:val="single" w:sz="8" w:color="auto"/>
            </w:tcBorders>
            <w:gridSpan w:val="3"/>
          </w:tcPr>
          <w:p>
            <w:pPr>
              <w:spacing w:after="0" w:line="197" w:lineRule="exact"/>
              <w:rPr>
                <w:sz w:val="20"/>
                <w:szCs w:val="20"/>
                <w:color w:val="auto"/>
              </w:rPr>
            </w:pPr>
            <w:r>
              <w:rPr>
                <w:rFonts w:ascii="Times New Roman" w:cs="Times New Roman" w:eastAsia="Times New Roman" w:hAnsi="Times New Roman"/>
                <w:sz w:val="20"/>
                <w:szCs w:val="20"/>
                <w:color w:val="0000FF"/>
                <w:w w:val="94"/>
              </w:rPr>
              <w:t>Management, L.P.</w:t>
            </w:r>
          </w:p>
        </w:tc>
        <w:tc>
          <w:tcPr>
            <w:tcW w:w="7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540" w:type="dxa"/>
            <w:vAlign w:val="bottom"/>
          </w:tcPr>
          <w:p>
            <w:pPr>
              <w:spacing w:after="0"/>
              <w:rPr>
                <w:sz w:val="24"/>
                <w:szCs w:val="24"/>
                <w:color w:val="auto"/>
              </w:rPr>
            </w:pPr>
          </w:p>
        </w:tc>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Peter Kolchinsky,</w:t>
            </w:r>
          </w:p>
        </w:tc>
        <w:tc>
          <w:tcPr>
            <w:tcW w:w="56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4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individually</w:t>
            </w:r>
          </w:p>
        </w:tc>
        <w:tc>
          <w:tcPr>
            <w:tcW w:w="1240" w:type="dxa"/>
            <w:vAlign w:val="bottom"/>
            <w:gridSpan w:val="4"/>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6540" w:type="dxa"/>
            <w:vAlign w:val="bottom"/>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Rajeev Shah,</w:t>
            </w:r>
          </w:p>
        </w:tc>
        <w:tc>
          <w:tcPr>
            <w:tcW w:w="920" w:type="dxa"/>
            <w:vAlign w:val="bottom"/>
            <w:gridSpan w:val="3"/>
          </w:tcPr>
          <w:p>
            <w:pPr>
              <w:spacing w:after="0"/>
              <w:rPr>
                <w:sz w:val="24"/>
                <w:szCs w:val="24"/>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4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individually</w:t>
            </w:r>
          </w:p>
        </w:tc>
        <w:tc>
          <w:tcPr>
            <w:tcW w:w="1240" w:type="dxa"/>
            <w:vAlign w:val="bottom"/>
            <w:gridSpan w:val="4"/>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0" Type="http://schemas.openxmlformats.org/officeDocument/2006/relationships/hyperlink" Target="http://www.sec.gov/cgi-bin/browse-edgar?action=getcompany&amp;CIK=0001346824" TargetMode="External"/><Relationship Id="rId11"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384859" TargetMode="External"/><Relationship Id="rId17"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2020-09-24T18:38:14Z</dcterms:created>
  <dcterms:modified xsi:type="dcterms:W3CDTF">2020-09-24T18:38:14Z</dcterms:modified>
</cp:coreProperties>
</file>