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23,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H. Mack,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PMV Pharmaceuticals,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Clarke Drive, Suite 3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Cranbury, NJ 08512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PMV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0001699382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Mack: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Draft Registration Statement submitted on June 26, 2020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 and Industry Data, page ii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5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statement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pg. ii that, "Industry publications and other reports [you] have obtained from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independent parties generally state that the data contained in these publications or other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reports have been obtained in good faith or from sources considered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reliable, but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they do not guarantee the accuracy or completeness of such data." The statement implies a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disclaimer of responsibility for this information in the registration statement. Please</w:t>
      </w:r>
    </w:p>
    <w:p>
      <w:pPr>
        <w:jc w:val="right"/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either delete this statement or specifically state that you are liable for the information related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market and industry data.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H. Mack, Ph.D.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LastNameDavid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PMV Pharmaceuticals, Inc. H. Mack, Ph.D.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NamePMV Pharmaceuticals,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23,</w:t>
      </w:r>
    </w:p>
    <w:p>
      <w:pPr>
        <w:spacing w:after="0" w:line="238" w:lineRule="auto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2 2020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limit the discussion of your pre-clinical results in the Summary section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high-level discussion of your observations, as the more detailed discussion of specific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with graphics is more appropriate for the Business section. Additionally, as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FDA or other similar regulatory authorities will need to make efficacy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any drug product, please balance disclosures relating to the desired purpose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product candidates (such as PC14586 being designed to "potently and selectively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correct p53 misfolding") with equally prominent explanations that any conclusions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desired effects are premature as your product candidate remains pre-clinical,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as you state on pages 20 and 23, the scientific evidence is "preliminary and limited,"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 novel approach "unproven."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FDA will need to make efficacy determinations regarding any drug product,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disclosures relating to the desired purpose of your product candidate or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(such as PC14586 being designed to "potently and selectively correct p53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misfolding") with equally prominent explanations that any conclusions regarding desired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effects are premature as your product candidate remains pre-clinical, and as you state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20 and 23, the scientific evidence is "preliminary and limited," and your novel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approach "unproven." Please also clarify, if true, that your program's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approach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assumes that a specific p53 mutation is the only genetic mutation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resulting in a patient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cancer.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statement on page 1 that your strategy is to seek approval under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accelerated pathway and that you believe your Phase 1/2 trial can serve as a pivotal study.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balancing disclosure that you have not yet submitted an IND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trial to the FDA, and that there can be no assurance that the FDA will permit you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utilize an expedited approval process or agree with your tumor-agnostic approach,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similar disclosure in the summary risk factor section. Please also provide the basis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your belief that phases 1 and 2 can be combined in the same trial.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pipleline table here and in the Business section to state in the last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 that you need to submit a required IND to the FDA before initiating your Phase 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trial. Additionally, we note you have included a row for "other p53 hotspot mutation",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is in the discovery phase. Given the early-stage development of the program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limited disclosure on pages 132-133 concerning the program, please explain why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 is sufficiently material to your business to warrant inclusion in your pipeline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table. Please also remove the box graphic at the bottom of the table as this information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already conveyed elsewhere in the Summary and does not appear appropriate to highlight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07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 pipeline table. David H. Mack, Ph.D. FirstName LastNameDavid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PMV Pharmaceuticals, Inc. H. Mack, Ph.D. 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NamePMV Pharmaceuticals,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23,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3 2020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Business, page 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on your last bullet to explain, if true, that you currently do not have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protection for your product candidate. Also add a bullet explaining that PC14586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require the development of companion diagnostics with third party collaborators,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they will need to be separately approved by the FDA as medical devices, as you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on page 21.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of being an emerging growth company, page 10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copies of all written communications, as defined in Rule 405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Act, that you, or anyone authorized to do so on your behalf, present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potential investors in reliance on Section 5(d) of the Securities Act, whether or not they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retain copies of the communications. Risk 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principal stockholders and management own a significant percentage. . ., page 84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this risk factor to disclose the connections between certain of your directors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your principal stockholders. Use of Proceeds, page 95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whether you will be able to complete the Phase 1/2 trial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allocated net proceeds from the offering. If any material amounts of other funds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necessary, please disclose the amount of funds needed to complete the Phase 1/2 clinical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trial. Refer to Instruction 3 to Item 504 of Regulation S-K.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107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we note your disclosure on page 106 that you do not allocate costs to specific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candidates, please expand your disclosures to disaggregate research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expenses by nature or type of expense for each period presented.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Significant Judgments and Estimates Stock Based Compensation, page 111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IPO and the estimated offering price. This information will help facilitate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your accounting for equity issuances including stock compensation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9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conversion features. David H. Mack, Ph.D.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PMV Pharmaceuticals, Inc. July 23,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Valuations, page 112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disclosures for the determination of the fair value of common stock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additional details regarding your use of the hybrid approach including the nature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material assumptions involved. To the extent 3rd party valuations were performed,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results of such valuations and whether such valuations corroborated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internal valuations performed. Finally, please provide additional detail regarding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to which recent sales of redeemable convertible preferred stock and/or common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in arms-length transactions represented significant inputs to provide investors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context of the extent to which your estimates were complex and subjective.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115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30 that you "expect to initially seek approval of [y]our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candidates in most instances at least as a second therapy." Please expand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here to clarify whether you expect to initially seek approval of PC14586 as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second line therapy.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Strategy, page 117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</w:sectPr>
      </w:pPr>
    </w:p>
    <w:bookmarkStart w:id="3" w:name="page4"/>
    <w:bookmarkEnd w:id="3"/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statement in the last paragraph on page 117 that your strategy of using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assays will "enable a rapid determination of efficacy." Please revise the statement as it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be interpreted as implying an expectation of rapid regulatory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Mechanism of Action, page 125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further expand your disclosure to explain how PC14586 selectively binds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crevice created by the Y220C mutation. Additionally, expand your narrative discussion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graphic on page 126 to numerically explain how mutant p53 was induced to convert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wild-type in a dose-dependent manner, and provide the basis for your statement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demonstrated that PC14586 "rapidly converts" mutant p53 to wild-type.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the figures at the top of page 127, and note that you state that PC14586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upregulated p21 and MDM2 in a dose-dependent manner. However, please explain why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curve shown in the figures do not correspond to the the levels of expression of p21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4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MDM2 with respect to wild-type p53. Preclinical In Vivo Data , page 127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ensure your narrative disclosure includes, where applicable,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 H. Mack, Ph.D.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explanation of how TGI and tumor regression are measured, whether a vehicle was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ind w:left="74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used,NamePMV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</w:t>
      </w:r>
    </w:p>
    <w:p>
      <w:pPr>
        <w:ind w:left="1480"/>
        <w:spacing w:after="0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if so, provide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 of it, dosing information,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number of mice used</w:t>
      </w:r>
    </w:p>
    <w:p>
      <w:pPr>
        <w:ind w:left="35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explanation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23,in2020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eachPage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study,4 the duration of the study, and whether graphs show mean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average results.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H. Mack, Ph.D.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LastNameDavid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PMV Pharmaceuticals, Inc. H. Mack,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NamePMV Pharmaceuticals, Inc.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23,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5 2020 Page 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statement on page 127 that oral daily dosing of PC14586 up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dose was "well tolerated" in the mice being observed, as evidenced by the lack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body weight loss. Please revise to discuss any other clinical signs or toxicity measures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were evaluated, and if there were no other evaluation measures, please clarify this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of the results shown in the graphical illustrations on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128 to more clearly explain how PC14586 adminstration resulted in conversion of mutant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p53 protein to a wild-type p53 structure and how it induced the expression of the p53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downstream target MIC-1. Please also clarify whether the figures reflect information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same study, and clearly label the information portrayed in the horizontal axes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three figures.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basis for your statement on page 128 that "[you] believe this syngeneic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mouse model better represents the patient population that we expect to see in the clinic,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mouse xenograft models that incorporate human tumors in mice with no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immune system" given your statement in the risk factors on page 33 that "[your]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candidates will be used in patients that have weakened immune systems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 . ."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</w:sectPr>
      </w:pPr>
    </w:p>
    <w:bookmarkStart w:id="4" w:name="page5"/>
    <w:bookmarkEnd w:id="4"/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regarding your results from a pre-clinical study combining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PC14586 with an anti-PD-1 therapy to explain the anti-PD-1 therapy and the rationale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such combination therapy. Additionally, please revise the graphs on pages 129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 to label the various lines. Intellectual Property, page 135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in the first sentence of the second paragraph in this section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"intend to pursue patent protection," and your statement on page</w:t>
      </w: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limited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history includes filing patent applications. Please revise to clarify whether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filed any patent applications relevant to PC14586, and if yes, please revise to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information, including the type of protection to which they relate,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jurisdictions in which applications were filed, and relevant expiration dates.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entered into different severance participation agreements with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Dr. Mack, Mr. Kung and Dr. Jalota. Please file such agreements in accordance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5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601(b)(10) of Regulation S-K. David H. Mack, Ph.D.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LastNameDavid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PMV Pharmaceuticals, Inc. H. Mack, Ph.D. 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NamePMV Pharmaceuticals,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23,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  <w:tab/>
        <w:t>6 2020 Page 6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8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Ameen Hamady at 202-551-3891 or Kevin Kuhar at 202-551-3662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Deanna Virginio at 202-551-4530 or Dorrie Yale at 202-551-8776 with any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Megan J. Baier, Esq.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515F007C"/>
    <w:multiLevelType w:val="hybridMultilevel"/>
    <w:lvl w:ilvl="0">
      <w:lvlJc w:val="left"/>
      <w:lvlText w:val="%1."/>
      <w:numFmt w:val="decimal"/>
      <w:start w:val="7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10"/>
    </w:lvl>
  </w:abstractNum>
  <w:abstractNum w:abstractNumId="6">
    <w:nsid w:val="12200854"/>
    <w:multiLevelType w:val="hybridMultilevel"/>
    <w:lvl w:ilvl="0">
      <w:lvlJc w:val="left"/>
      <w:lvlText w:val="%1."/>
      <w:numFmt w:val="decimal"/>
      <w:start w:val="14"/>
    </w:lvl>
  </w:abstractNum>
  <w:abstractNum w:abstractNumId="7">
    <w:nsid w:val="4DB127F8"/>
    <w:multiLevelType w:val="hybridMultilevel"/>
    <w:lvl w:ilvl="0">
      <w:lvlJc w:val="left"/>
      <w:lvlText w:val="%1."/>
      <w:numFmt w:val="decimal"/>
      <w:start w:val="18"/>
    </w:lvl>
  </w:abstractNum>
  <w:abstractNum w:abstractNumId="8">
    <w:nsid w:val="216231B"/>
    <w:multiLevelType w:val="hybridMultilevel"/>
    <w:lvl w:ilvl="0">
      <w:lvlJc w:val="left"/>
      <w:lvlText w:val="%1."/>
      <w:numFmt w:val="decimal"/>
      <w:start w:val="21"/>
    </w:lvl>
  </w:abstractNum>
  <w:abstractNum w:abstractNumId="9">
    <w:nsid w:val="1F16E9E8"/>
    <w:multiLevelType w:val="hybridMultilevel"/>
    <w:lvl w:ilvl="0">
      <w:lvlJc w:val="left"/>
      <w:lvlText w:val="%1"/>
      <w:numFmt w:val="decimal"/>
      <w:start w:val="15"/>
    </w:lvl>
  </w:abstractNum>
  <w:abstractNum w:abstractNumId="10">
    <w:nsid w:val="1190CDE7"/>
    <w:multiLevelType w:val="hybridMultilevel"/>
    <w:lvl w:ilvl="0">
      <w:lvlJc w:val="left"/>
      <w:lvlText w:val="%1."/>
      <w:numFmt w:val="decimal"/>
      <w:start w:val="23"/>
    </w:lvl>
  </w:abstractNum>
  <w:abstractNum w:abstractNumId="11">
    <w:nsid w:val="66EF438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2021-08-15T19:55:59Z</dcterms:created>
  <dcterms:modified xsi:type="dcterms:W3CDTF">2021-08-15T19:55:59Z</dcterms:modified>
</cp:coreProperties>
</file>