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2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SCHEDULE 13G/A</w:t>
      </w:r>
    </w:p>
    <w:p>
      <w:pPr>
        <w:spacing w:after="0" w:line="22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(Amendment No. 2)*</w:t>
      </w:r>
    </w:p>
    <w:p>
      <w:pPr>
        <w:spacing w:after="0" w:line="20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PMV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(Name of Issuer)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Common Stock,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69353Y103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(CUSIP Number)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9" w:lineRule="exact"/>
        <w:rPr>
          <w:sz w:val="24"/>
          <w:szCs w:val="24"/>
          <w:color w:val="auto"/>
        </w:rPr>
      </w:pPr>
    </w:p>
    <w:p>
      <w:pPr>
        <w:ind w:left="1020" w:hanging="387"/>
        <w:spacing w:after="0"/>
        <w:tabs>
          <w:tab w:leader="none" w:pos="1020" w:val="left"/>
        </w:tabs>
        <w:numPr>
          <w:ilvl w:val="0"/>
          <w:numId w:val="1"/>
        </w:numPr>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Rule 13d-1(b)</w:t>
      </w:r>
    </w:p>
    <w:p>
      <w:pPr>
        <w:spacing w:after="0" w:line="20" w:lineRule="exact"/>
        <w:rPr>
          <w:rFonts w:ascii="Arial" w:cs="Arial" w:eastAsia="Arial" w:hAnsi="Arial"/>
          <w:sz w:val="20"/>
          <w:szCs w:val="20"/>
          <w:b w:val="1"/>
          <w:bCs w:val="1"/>
          <w:color w:val="auto"/>
        </w:rPr>
      </w:pPr>
    </w:p>
    <w:p>
      <w:pPr>
        <w:ind w:left="1020" w:hanging="386"/>
        <w:spacing w:after="0"/>
        <w:tabs>
          <w:tab w:leader="none" w:pos="1020" w:val="left"/>
        </w:tabs>
        <w:numPr>
          <w:ilvl w:val="1"/>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Rule 13d-1(c)</w:t>
      </w:r>
    </w:p>
    <w:p>
      <w:pPr>
        <w:ind w:left="1020" w:hanging="386"/>
        <w:spacing w:after="0"/>
        <w:tabs>
          <w:tab w:leader="none" w:pos="1020" w:val="left"/>
        </w:tabs>
        <w:numPr>
          <w:ilvl w:val="1"/>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Rule 13d-1(d)</w:t>
      </w:r>
    </w:p>
    <w:p>
      <w:pPr>
        <w:spacing w:after="0" w:line="20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(Page 1 of 7 Pages)</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9" w:lineRule="exact"/>
        <w:rPr>
          <w:sz w:val="24"/>
          <w:szCs w:val="24"/>
          <w:color w:val="auto"/>
        </w:rPr>
      </w:pPr>
    </w:p>
    <w:p>
      <w:pPr>
        <w:jc w:val="both"/>
        <w:ind w:right="100" w:firstLine="648"/>
        <w:spacing w:after="0" w:line="242" w:lineRule="auto"/>
        <w:rPr>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0980"/>
          </w:cols>
          <w:pgMar w:left="320" w:top="306" w:right="599" w:bottom="1440" w:gutter="0" w:footer="0" w:header="0"/>
        </w:sectPr>
      </w:pPr>
    </w:p>
    <w:bookmarkStart w:id="1" w:name="page2"/>
    <w:bookmarkEnd w:id="1"/>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69353Y103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2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4603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60311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30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NAME OF REPORTING PERSON</w:t>
            </w:r>
          </w:p>
        </w:tc>
        <w:tc>
          <w:tcPr>
            <w:tcW w:w="0" w:type="dxa"/>
            <w:vAlign w:val="bottom"/>
          </w:tcPr>
          <w:p>
            <w:pPr>
              <w:spacing w:after="0"/>
              <w:rPr>
                <w:sz w:val="1"/>
                <w:szCs w:val="1"/>
                <w:color w:val="auto"/>
              </w:rPr>
            </w:pPr>
          </w:p>
        </w:tc>
      </w:tr>
      <w:tr>
        <w:trPr>
          <w:trHeight w:val="178"/>
        </w:trPr>
        <w:tc>
          <w:tcPr>
            <w:tcW w:w="560" w:type="dxa"/>
            <w:vAlign w:val="bottom"/>
            <w:vMerge w:val="continue"/>
          </w:tcPr>
          <w:p>
            <w:pPr>
              <w:spacing w:after="0"/>
              <w:rPr>
                <w:sz w:val="15"/>
                <w:szCs w:val="15"/>
                <w:color w:val="auto"/>
              </w:rPr>
            </w:pPr>
          </w:p>
        </w:tc>
        <w:tc>
          <w:tcPr>
            <w:tcW w:w="304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w w:val="97"/>
              </w:rPr>
              <w:t>Avoro Capital Advisors LLC</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3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2"/>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50" w:lineRule="exact"/>
        <w:rPr>
          <w:sz w:val="20"/>
          <w:szCs w:val="20"/>
          <w:color w:val="auto"/>
        </w:rPr>
      </w:pPr>
    </w:p>
    <w:p>
      <w:pPr>
        <w:ind w:left="1700" w:hanging="967"/>
        <w:spacing w:after="0"/>
        <w:tabs>
          <w:tab w:leader="none" w:pos="1700" w:val="left"/>
        </w:tabs>
        <w:numPr>
          <w:ilvl w:val="0"/>
          <w:numId w:val="3"/>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w w:val="99"/>
              </w:rPr>
              <w:t>Delaware</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3,060,000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3,060,000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w w:val="94"/>
              </w:rPr>
              <w:t>3,060,000</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1"/>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jc w:val="right"/>
              <w:ind w:right="274"/>
              <w:spacing w:after="0"/>
              <w:rPr>
                <w:sz w:val="20"/>
                <w:szCs w:val="20"/>
                <w:color w:val="auto"/>
              </w:rPr>
            </w:pPr>
            <w:r>
              <w:rPr>
                <w:rFonts w:ascii="Times New Roman" w:cs="Times New Roman" w:eastAsia="Times New Roman" w:hAnsi="Times New Roman"/>
                <w:sz w:val="20"/>
                <w:szCs w:val="20"/>
                <w:color w:val="auto"/>
              </w:rPr>
              <w:t>6.7%</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OO, IA</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73" w:hanging="273"/>
        <w:spacing w:after="0" w:line="263" w:lineRule="exact"/>
        <w:tabs>
          <w:tab w:leader="none" w:pos="273"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190" w:lineRule="exact"/>
        <w:rPr>
          <w:rFonts w:ascii="Times New Roman" w:cs="Times New Roman" w:eastAsia="Times New Roman" w:hAnsi="Times New Roman"/>
          <w:sz w:val="18"/>
          <w:szCs w:val="18"/>
          <w:color w:val="auto"/>
        </w:rPr>
      </w:pPr>
    </w:p>
    <w:p>
      <w:pPr>
        <w:ind w:left="273" w:hanging="273"/>
        <w:spacing w:after="0" w:line="191" w:lineRule="auto"/>
        <w:tabs>
          <w:tab w:leader="none" w:pos="273" w:val="left"/>
        </w:tabs>
        <w:numPr>
          <w:ilvl w:val="0"/>
          <w:numId w:val="4"/>
        </w:numPr>
        <w:rPr>
          <w:rFonts w:ascii="Times New Roman" w:cs="Times New Roman" w:eastAsia="Times New Roman" w:hAnsi="Times New Roman"/>
          <w:sz w:val="20"/>
          <w:szCs w:val="20"/>
          <w:color w:val="auto"/>
        </w:rPr>
      </w:pPr>
      <w:r>
        <w:rPr>
          <w:rFonts w:ascii="Arial" w:cs="Arial" w:eastAsia="Arial" w:hAnsi="Arial"/>
          <w:sz w:val="29"/>
          <w:szCs w:val="29"/>
          <w:b w:val="1"/>
          <w:bCs w:val="1"/>
          <w:color w:val="auto"/>
        </w:rPr>
        <w:t>þ</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5" w:right="339" w:bottom="1440" w:gutter="0" w:footer="0" w:header="0"/>
          <w:type w:val="continuous"/>
        </w:sectPr>
      </w:pPr>
    </w:p>
    <w:bookmarkStart w:id="2" w:name="page3"/>
    <w:bookmarkEnd w:id="2"/>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69353Y103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3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4603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60311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27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NAME OF REPORTING PERSON</w:t>
            </w:r>
          </w:p>
        </w:tc>
        <w:tc>
          <w:tcPr>
            <w:tcW w:w="0" w:type="dxa"/>
            <w:vAlign w:val="bottom"/>
          </w:tcPr>
          <w:p>
            <w:pPr>
              <w:spacing w:after="0"/>
              <w:rPr>
                <w:sz w:val="1"/>
                <w:szCs w:val="1"/>
                <w:color w:val="auto"/>
              </w:rPr>
            </w:pPr>
          </w:p>
        </w:tc>
      </w:tr>
      <w:tr>
        <w:trPr>
          <w:trHeight w:val="178"/>
        </w:trPr>
        <w:tc>
          <w:tcPr>
            <w:tcW w:w="560" w:type="dxa"/>
            <w:vAlign w:val="bottom"/>
            <w:vMerge w:val="continue"/>
          </w:tcPr>
          <w:p>
            <w:pPr>
              <w:spacing w:after="0"/>
              <w:rPr>
                <w:sz w:val="15"/>
                <w:szCs w:val="15"/>
                <w:color w:val="auto"/>
              </w:rPr>
            </w:pPr>
          </w:p>
        </w:tc>
        <w:tc>
          <w:tcPr>
            <w:tcW w:w="274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rPr>
              <w:t>Behzad Aghazadeh</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5"/>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50" w:lineRule="exact"/>
        <w:rPr>
          <w:sz w:val="20"/>
          <w:szCs w:val="20"/>
          <w:color w:val="auto"/>
        </w:rPr>
      </w:pPr>
    </w:p>
    <w:p>
      <w:pPr>
        <w:ind w:left="1700" w:hanging="967"/>
        <w:spacing w:after="0"/>
        <w:tabs>
          <w:tab w:leader="none" w:pos="1700" w:val="left"/>
        </w:tabs>
        <w:numPr>
          <w:ilvl w:val="0"/>
          <w:numId w:val="6"/>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6540" w:type="dxa"/>
            <w:vAlign w:val="bottom"/>
            <w:gridSpan w:val="3"/>
            <w:vMerge w:val="restart"/>
          </w:tcPr>
          <w:p>
            <w:pPr>
              <w:ind w:left="500"/>
              <w:spacing w:after="0"/>
              <w:rPr>
                <w:sz w:val="20"/>
                <w:szCs w:val="20"/>
                <w:color w:val="auto"/>
              </w:rPr>
            </w:pPr>
            <w:r>
              <w:rPr>
                <w:rFonts w:ascii="Times New Roman" w:cs="Times New Roman" w:eastAsia="Times New Roman" w:hAnsi="Times New Roman"/>
                <w:sz w:val="20"/>
                <w:szCs w:val="20"/>
                <w:color w:val="auto"/>
              </w:rPr>
              <w:t>United States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3,060,000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3,060,000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w w:val="94"/>
              </w:rPr>
              <w:t>3,060,000</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1"/>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jc w:val="right"/>
              <w:ind w:right="274"/>
              <w:spacing w:after="0"/>
              <w:rPr>
                <w:sz w:val="20"/>
                <w:szCs w:val="20"/>
                <w:color w:val="auto"/>
              </w:rPr>
            </w:pPr>
            <w:r>
              <w:rPr>
                <w:rFonts w:ascii="Times New Roman" w:cs="Times New Roman" w:eastAsia="Times New Roman" w:hAnsi="Times New Roman"/>
                <w:sz w:val="20"/>
                <w:szCs w:val="20"/>
                <w:color w:val="auto"/>
              </w:rPr>
              <w:t>6.7%</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IN</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73" w:hanging="273"/>
        <w:spacing w:after="0" w:line="263" w:lineRule="exact"/>
        <w:tabs>
          <w:tab w:leader="none" w:pos="273"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190" w:lineRule="exact"/>
        <w:rPr>
          <w:rFonts w:ascii="Times New Roman" w:cs="Times New Roman" w:eastAsia="Times New Roman" w:hAnsi="Times New Roman"/>
          <w:sz w:val="18"/>
          <w:szCs w:val="18"/>
          <w:color w:val="auto"/>
        </w:rPr>
      </w:pPr>
    </w:p>
    <w:p>
      <w:pPr>
        <w:ind w:left="273" w:hanging="273"/>
        <w:spacing w:after="0" w:line="191" w:lineRule="auto"/>
        <w:tabs>
          <w:tab w:leader="none" w:pos="273" w:val="left"/>
        </w:tabs>
        <w:numPr>
          <w:ilvl w:val="0"/>
          <w:numId w:val="7"/>
        </w:numPr>
        <w:rPr>
          <w:rFonts w:ascii="Times New Roman" w:cs="Times New Roman" w:eastAsia="Times New Roman" w:hAnsi="Times New Roman"/>
          <w:sz w:val="20"/>
          <w:szCs w:val="20"/>
          <w:color w:val="auto"/>
        </w:rPr>
      </w:pPr>
      <w:r>
        <w:rPr>
          <w:rFonts w:ascii="Arial" w:cs="Arial" w:eastAsia="Arial" w:hAnsi="Arial"/>
          <w:sz w:val="29"/>
          <w:szCs w:val="29"/>
          <w:b w:val="1"/>
          <w:bCs w:val="1"/>
          <w:color w:val="auto"/>
        </w:rPr>
        <w:t>þ</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5" w:right="339" w:bottom="1440" w:gutter="0" w:footer="0" w:header="0"/>
          <w:type w:val="continuous"/>
        </w:sectPr>
      </w:pPr>
    </w:p>
    <w:bookmarkStart w:id="3" w:name="page4"/>
    <w:bookmarkEnd w:id="3"/>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69353Y103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4 of 7 Pages</w:t>
      </w:r>
    </w:p>
    <w:p>
      <w:pPr>
        <w:sectPr>
          <w:pgSz w:w="11900" w:h="16838" w:orient="portrait"/>
          <w:cols w:equalWidth="0" w:num="1">
            <w:col w:w="11240"/>
          </w:cols>
          <w:pgMar w:left="320" w:top="225" w:right="339" w:bottom="1440" w:gutter="0" w:footer="0" w:header="0"/>
        </w:sectPr>
      </w:pPr>
    </w:p>
    <w:p>
      <w:pPr>
        <w:spacing w:after="0" w:line="113"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NAME OF ISSUER</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PMV Pharmaceuticals, Inc. (the “</w:t>
      </w:r>
      <w:r>
        <w:rPr>
          <w:rFonts w:ascii="Times New Roman" w:cs="Times New Roman" w:eastAsia="Times New Roman" w:hAnsi="Times New Roman"/>
          <w:sz w:val="20"/>
          <w:szCs w:val="20"/>
          <w:u w:val="single" w:color="auto"/>
          <w:color w:val="auto"/>
        </w:rPr>
        <w:t>Issuer</w:t>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ADDRESS OF ISSUER’S PRINCIPAL EXECUTIVE OFFICES</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8 Clarke Drive, Suite 3, Cranbury, NJ 08512</w:t>
      </w:r>
    </w:p>
    <w:p>
      <w:pPr>
        <w:spacing w:after="0" w:line="225"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2 (a).</w:t>
      </w:r>
      <w:r>
        <w:rPr>
          <w:sz w:val="20"/>
          <w:szCs w:val="20"/>
          <w:color w:val="auto"/>
        </w:rPr>
        <w:tab/>
      </w:r>
      <w:r>
        <w:rPr>
          <w:rFonts w:ascii="Times New Roman" w:cs="Times New Roman" w:eastAsia="Times New Roman" w:hAnsi="Times New Roman"/>
          <w:sz w:val="19"/>
          <w:szCs w:val="19"/>
          <w:b w:val="1"/>
          <w:bCs w:val="1"/>
          <w:color w:val="auto"/>
        </w:rPr>
        <w:t>NAME OF PERSON FILING</w:t>
      </w:r>
    </w:p>
    <w:p>
      <w:pPr>
        <w:spacing w:after="0" w:line="233" w:lineRule="exact"/>
        <w:rPr>
          <w:sz w:val="20"/>
          <w:szCs w:val="20"/>
          <w:color w:val="auto"/>
        </w:rPr>
      </w:pPr>
    </w:p>
    <w:p>
      <w:pPr>
        <w:ind w:left="1800" w:right="320"/>
        <w:spacing w:after="0" w:line="246" w:lineRule="auto"/>
        <w:rPr>
          <w:sz w:val="20"/>
          <w:szCs w:val="20"/>
          <w:color w:val="auto"/>
        </w:rPr>
      </w:pPr>
      <w:r>
        <w:rPr>
          <w:rFonts w:ascii="Times New Roman" w:cs="Times New Roman" w:eastAsia="Times New Roman" w:hAnsi="Times New Roman"/>
          <w:sz w:val="20"/>
          <w:szCs w:val="20"/>
          <w:color w:val="auto"/>
        </w:rPr>
        <w:t>This statement is filed by: (i) Avoro Capital Advisors LLC, a Delaware limited liability company (“</w:t>
      </w:r>
      <w:r>
        <w:rPr>
          <w:rFonts w:ascii="Times New Roman" w:cs="Times New Roman" w:eastAsia="Times New Roman" w:hAnsi="Times New Roman"/>
          <w:sz w:val="20"/>
          <w:szCs w:val="20"/>
          <w:u w:val="single" w:color="auto"/>
          <w:color w:val="auto"/>
        </w:rPr>
        <w:t>Avoro</w:t>
      </w:r>
      <w:r>
        <w:rPr>
          <w:rFonts w:ascii="Times New Roman" w:cs="Times New Roman" w:eastAsia="Times New Roman" w:hAnsi="Times New Roman"/>
          <w:sz w:val="20"/>
          <w:szCs w:val="20"/>
          <w:color w:val="auto"/>
        </w:rPr>
        <w:t>”), which provides investment advisory and management services and has acquired the securities of the Issuer solely for investment purposes on behalf of Avoro Life Sciences Fund LLC, a Delaware limited liability company, and (ii) Behzad Aghazadeh (“</w:t>
      </w:r>
      <w:r>
        <w:rPr>
          <w:rFonts w:ascii="Times New Roman" w:cs="Times New Roman" w:eastAsia="Times New Roman" w:hAnsi="Times New Roman"/>
          <w:sz w:val="20"/>
          <w:szCs w:val="20"/>
          <w:u w:val="single" w:color="auto"/>
          <w:color w:val="auto"/>
        </w:rPr>
        <w:t>Dr. Aghazadeh</w:t>
      </w:r>
      <w:r>
        <w:rPr>
          <w:rFonts w:ascii="Times New Roman" w:cs="Times New Roman" w:eastAsia="Times New Roman" w:hAnsi="Times New Roman"/>
          <w:sz w:val="20"/>
          <w:szCs w:val="20"/>
          <w:color w:val="auto"/>
        </w:rPr>
        <w:t>,” and together with Avoro, the “</w:t>
      </w:r>
      <w:r>
        <w:rPr>
          <w:rFonts w:ascii="Times New Roman" w:cs="Times New Roman" w:eastAsia="Times New Roman" w:hAnsi="Times New Roman"/>
          <w:sz w:val="20"/>
          <w:szCs w:val="20"/>
          <w:u w:val="single" w:color="auto"/>
          <w:color w:val="auto"/>
        </w:rPr>
        <w:t>Reporting Persons</w:t>
      </w:r>
      <w:r>
        <w:rPr>
          <w:rFonts w:ascii="Times New Roman" w:cs="Times New Roman" w:eastAsia="Times New Roman" w:hAnsi="Times New Roman"/>
          <w:sz w:val="20"/>
          <w:szCs w:val="20"/>
          <w:color w:val="auto"/>
        </w:rPr>
        <w:t>”), who serves as the portfolio manager and controlling person of Avoro.</w:t>
      </w:r>
    </w:p>
    <w:p>
      <w:pPr>
        <w:spacing w:after="0" w:line="198" w:lineRule="exact"/>
        <w:rPr>
          <w:sz w:val="20"/>
          <w:szCs w:val="20"/>
          <w:color w:val="auto"/>
        </w:rPr>
      </w:pPr>
    </w:p>
    <w:p>
      <w:pPr>
        <w:ind w:left="1800" w:right="480"/>
        <w:spacing w:after="0" w:line="269" w:lineRule="auto"/>
        <w:rPr>
          <w:sz w:val="20"/>
          <w:szCs w:val="20"/>
          <w:color w:val="auto"/>
        </w:rPr>
      </w:pPr>
      <w:r>
        <w:rPr>
          <w:rFonts w:ascii="Times New Roman" w:cs="Times New Roman" w:eastAsia="Times New Roman" w:hAnsi="Times New Roman"/>
          <w:sz w:val="20"/>
          <w:szCs w:val="20"/>
          <w:color w:val="auto"/>
        </w:rPr>
        <w:t>The filing of this statement should not be construed as an admission that any Reporting Person is, for purposes of Section 13 of the Act, the beneficial owner of the securities reported herein.</w:t>
      </w:r>
    </w:p>
    <w:p>
      <w:pPr>
        <w:spacing w:after="0" w:line="169"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2(b).</w:t>
      </w:r>
      <w:r>
        <w:rPr>
          <w:sz w:val="20"/>
          <w:szCs w:val="20"/>
          <w:color w:val="auto"/>
        </w:rPr>
        <w:tab/>
      </w:r>
      <w:r>
        <w:rPr>
          <w:rFonts w:ascii="Times New Roman" w:cs="Times New Roman" w:eastAsia="Times New Roman" w:hAnsi="Times New Roman"/>
          <w:sz w:val="19"/>
          <w:szCs w:val="19"/>
          <w:b w:val="1"/>
          <w:bCs w:val="1"/>
          <w:color w:val="auto"/>
        </w:rPr>
        <w:t>ADDRESS OF PRINCIPAL BUSINESS OFFICE OR, IF NONE, RESIDENCE</w:t>
      </w:r>
    </w:p>
    <w:p>
      <w:pPr>
        <w:spacing w:after="0" w:line="233" w:lineRule="exact"/>
        <w:rPr>
          <w:sz w:val="20"/>
          <w:szCs w:val="20"/>
          <w:color w:val="auto"/>
        </w:rPr>
      </w:pPr>
    </w:p>
    <w:p>
      <w:pPr>
        <w:ind w:left="1800" w:right="320"/>
        <w:spacing w:after="0" w:line="269" w:lineRule="auto"/>
        <w:rPr>
          <w:sz w:val="20"/>
          <w:szCs w:val="20"/>
          <w:color w:val="auto"/>
        </w:rPr>
      </w:pPr>
      <w:r>
        <w:rPr>
          <w:rFonts w:ascii="Times New Roman" w:cs="Times New Roman" w:eastAsia="Times New Roman" w:hAnsi="Times New Roman"/>
          <w:sz w:val="20"/>
          <w:szCs w:val="20"/>
          <w:color w:val="auto"/>
        </w:rPr>
        <w:t>The address of the business office of each of the Reporting Persons is 110 Greene Street, Suite 800, New York, NY 10012.</w:t>
      </w:r>
    </w:p>
    <w:p>
      <w:pPr>
        <w:spacing w:after="0" w:line="169" w:lineRule="exact"/>
        <w:rPr>
          <w:sz w:val="20"/>
          <w:szCs w:val="20"/>
          <w:color w:val="auto"/>
        </w:rPr>
      </w:pPr>
    </w:p>
    <w:tbl>
      <w:tblPr>
        <w:tblLayout w:type="fixed"/>
        <w:tblInd w:w="120" w:type="dxa"/>
        <w:tblCellMar>
          <w:top w:w="0" w:type="dxa"/>
          <w:left w:w="0" w:type="dxa"/>
          <w:bottom w:w="0" w:type="dxa"/>
          <w:right w:w="0" w:type="dxa"/>
        </w:tblCellMar>
      </w:tblPr>
      <w:tr>
        <w:trPr>
          <w:trHeight w:val="262"/>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2(c).</w:t>
            </w:r>
          </w:p>
        </w:tc>
        <w:tc>
          <w:tcPr>
            <w:tcW w:w="9740" w:type="dxa"/>
            <w:vAlign w:val="bottom"/>
            <w:gridSpan w:val="5"/>
          </w:tcPr>
          <w:p>
            <w:pPr>
              <w:ind w:left="420"/>
              <w:spacing w:after="0"/>
              <w:rPr>
                <w:sz w:val="20"/>
                <w:szCs w:val="20"/>
                <w:color w:val="auto"/>
              </w:rPr>
            </w:pPr>
            <w:r>
              <w:rPr>
                <w:rFonts w:ascii="Times New Roman" w:cs="Times New Roman" w:eastAsia="Times New Roman" w:hAnsi="Times New Roman"/>
                <w:sz w:val="20"/>
                <w:szCs w:val="20"/>
                <w:b w:val="1"/>
                <w:bCs w:val="1"/>
                <w:color w:val="auto"/>
              </w:rPr>
              <w:t>CITIZENSHIP</w:t>
            </w:r>
          </w:p>
        </w:tc>
      </w:tr>
      <w:tr>
        <w:trPr>
          <w:trHeight w:val="459"/>
        </w:trPr>
        <w:tc>
          <w:tcPr>
            <w:tcW w:w="1260" w:type="dxa"/>
            <w:vAlign w:val="bottom"/>
          </w:tcPr>
          <w:p>
            <w:pPr>
              <w:spacing w:after="0"/>
              <w:rPr>
                <w:sz w:val="24"/>
                <w:szCs w:val="24"/>
                <w:color w:val="auto"/>
              </w:rPr>
            </w:pPr>
          </w:p>
        </w:tc>
        <w:tc>
          <w:tcPr>
            <w:tcW w:w="9740" w:type="dxa"/>
            <w:vAlign w:val="bottom"/>
            <w:gridSpan w:val="5"/>
          </w:tcPr>
          <w:p>
            <w:pPr>
              <w:ind w:left="420"/>
              <w:spacing w:after="0"/>
              <w:rPr>
                <w:sz w:val="20"/>
                <w:szCs w:val="20"/>
                <w:color w:val="auto"/>
              </w:rPr>
            </w:pPr>
            <w:r>
              <w:rPr>
                <w:rFonts w:ascii="Times New Roman" w:cs="Times New Roman" w:eastAsia="Times New Roman" w:hAnsi="Times New Roman"/>
                <w:sz w:val="20"/>
                <w:szCs w:val="20"/>
                <w:color w:val="auto"/>
              </w:rPr>
              <w:t>Avoro is a Delaware limited liability company. Dr. Aghazadeh is a United States citizen.</w:t>
            </w:r>
          </w:p>
        </w:tc>
      </w:tr>
      <w:tr>
        <w:trPr>
          <w:trHeight w:val="459"/>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2(d).</w:t>
            </w:r>
          </w:p>
        </w:tc>
        <w:tc>
          <w:tcPr>
            <w:tcW w:w="9740" w:type="dxa"/>
            <w:vAlign w:val="bottom"/>
            <w:gridSpan w:val="5"/>
          </w:tcPr>
          <w:p>
            <w:pPr>
              <w:ind w:left="420"/>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tc>
      </w:tr>
      <w:tr>
        <w:trPr>
          <w:trHeight w:val="413"/>
        </w:trPr>
        <w:tc>
          <w:tcPr>
            <w:tcW w:w="1260" w:type="dxa"/>
            <w:vAlign w:val="bottom"/>
          </w:tcPr>
          <w:p>
            <w:pPr>
              <w:spacing w:after="0"/>
              <w:rPr>
                <w:sz w:val="24"/>
                <w:szCs w:val="24"/>
                <w:color w:val="auto"/>
              </w:rPr>
            </w:pPr>
          </w:p>
        </w:tc>
        <w:tc>
          <w:tcPr>
            <w:tcW w:w="9740" w:type="dxa"/>
            <w:vAlign w:val="bottom"/>
            <w:gridSpan w:val="5"/>
          </w:tcPr>
          <w:p>
            <w:pPr>
              <w:ind w:left="420"/>
              <w:spacing w:after="0"/>
              <w:rPr>
                <w:sz w:val="20"/>
                <w:szCs w:val="20"/>
                <w:color w:val="auto"/>
              </w:rPr>
            </w:pPr>
            <w:r>
              <w:rPr>
                <w:rFonts w:ascii="Times New Roman" w:cs="Times New Roman" w:eastAsia="Times New Roman" w:hAnsi="Times New Roman"/>
                <w:sz w:val="20"/>
                <w:szCs w:val="20"/>
                <w:color w:val="auto"/>
              </w:rPr>
              <w:t>Common Stock, par value $0.00001 per share (the “Common Stock”)</w:t>
            </w:r>
          </w:p>
        </w:tc>
      </w:tr>
      <w:tr>
        <w:trPr>
          <w:trHeight w:val="485"/>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2(e).</w:t>
            </w:r>
          </w:p>
        </w:tc>
        <w:tc>
          <w:tcPr>
            <w:tcW w:w="4540" w:type="dxa"/>
            <w:vAlign w:val="bottom"/>
            <w:gridSpan w:val="3"/>
          </w:tcPr>
          <w:p>
            <w:pPr>
              <w:ind w:left="420"/>
              <w:spacing w:after="0"/>
              <w:rPr>
                <w:sz w:val="20"/>
                <w:szCs w:val="20"/>
                <w:color w:val="auto"/>
              </w:rPr>
            </w:pPr>
            <w:r>
              <w:rPr>
                <w:rFonts w:ascii="Times New Roman" w:cs="Times New Roman" w:eastAsia="Times New Roman" w:hAnsi="Times New Roman"/>
                <w:sz w:val="20"/>
                <w:szCs w:val="20"/>
                <w:b w:val="1"/>
                <w:bCs w:val="1"/>
                <w:color w:val="auto"/>
              </w:rPr>
              <w:t>CUSIP NUMBER</w:t>
            </w:r>
          </w:p>
        </w:tc>
        <w:tc>
          <w:tcPr>
            <w:tcW w:w="1240" w:type="dxa"/>
            <w:vAlign w:val="bottom"/>
            <w:tcBorders>
              <w:top w:val="single" w:sz="8" w:color="auto"/>
            </w:tcBorders>
          </w:tcPr>
          <w:p>
            <w:pPr>
              <w:spacing w:after="0"/>
              <w:rPr>
                <w:sz w:val="24"/>
                <w:szCs w:val="24"/>
                <w:color w:val="auto"/>
              </w:rPr>
            </w:pPr>
          </w:p>
        </w:tc>
        <w:tc>
          <w:tcPr>
            <w:tcW w:w="3960" w:type="dxa"/>
            <w:vAlign w:val="bottom"/>
          </w:tcPr>
          <w:p>
            <w:pPr>
              <w:spacing w:after="0"/>
              <w:rPr>
                <w:sz w:val="24"/>
                <w:szCs w:val="24"/>
                <w:color w:val="auto"/>
              </w:rPr>
            </w:pPr>
          </w:p>
        </w:tc>
      </w:tr>
      <w:tr>
        <w:trPr>
          <w:trHeight w:val="459"/>
        </w:trPr>
        <w:tc>
          <w:tcPr>
            <w:tcW w:w="1260" w:type="dxa"/>
            <w:vAlign w:val="bottom"/>
          </w:tcPr>
          <w:p>
            <w:pPr>
              <w:spacing w:after="0"/>
              <w:rPr>
                <w:sz w:val="24"/>
                <w:szCs w:val="24"/>
                <w:color w:val="auto"/>
              </w:rPr>
            </w:pPr>
          </w:p>
        </w:tc>
        <w:tc>
          <w:tcPr>
            <w:tcW w:w="152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69353Y103</w:t>
            </w:r>
          </w:p>
        </w:tc>
        <w:tc>
          <w:tcPr>
            <w:tcW w:w="3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426"/>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3.</w:t>
            </w:r>
          </w:p>
        </w:tc>
        <w:tc>
          <w:tcPr>
            <w:tcW w:w="9740" w:type="dxa"/>
            <w:vAlign w:val="bottom"/>
            <w:gridSpan w:val="5"/>
          </w:tcPr>
          <w:p>
            <w:pPr>
              <w:ind w:left="420"/>
              <w:spacing w:after="0"/>
              <w:rPr>
                <w:sz w:val="20"/>
                <w:szCs w:val="20"/>
                <w:color w:val="auto"/>
              </w:rPr>
            </w:pPr>
            <w:r>
              <w:rPr>
                <w:rFonts w:ascii="Times New Roman" w:cs="Times New Roman" w:eastAsia="Times New Roman" w:hAnsi="Times New Roman"/>
                <w:sz w:val="20"/>
                <w:szCs w:val="20"/>
                <w:b w:val="1"/>
                <w:bCs w:val="1"/>
                <w:color w:val="auto"/>
                <w:w w:val="98"/>
              </w:rPr>
              <w:t>IF THIS STATEMENT IS FILED PURSUANT TO Rules 13d-1(b), OR 13d-2(b) OR (c), CHECK WHETHER</w:t>
            </w:r>
          </w:p>
        </w:tc>
      </w:tr>
      <w:tr>
        <w:trPr>
          <w:trHeight w:val="262"/>
        </w:trPr>
        <w:tc>
          <w:tcPr>
            <w:tcW w:w="1260" w:type="dxa"/>
            <w:vAlign w:val="bottom"/>
          </w:tcPr>
          <w:p>
            <w:pPr>
              <w:spacing w:after="0"/>
              <w:rPr>
                <w:sz w:val="22"/>
                <w:szCs w:val="22"/>
                <w:color w:val="auto"/>
              </w:rPr>
            </w:pPr>
          </w:p>
        </w:tc>
        <w:tc>
          <w:tcPr>
            <w:tcW w:w="9740" w:type="dxa"/>
            <w:vAlign w:val="bottom"/>
            <w:gridSpan w:val="5"/>
          </w:tcPr>
          <w:p>
            <w:pPr>
              <w:ind w:left="420"/>
              <w:spacing w:after="0"/>
              <w:rPr>
                <w:sz w:val="20"/>
                <w:szCs w:val="20"/>
                <w:color w:val="auto"/>
              </w:rPr>
            </w:pPr>
            <w:r>
              <w:rPr>
                <w:rFonts w:ascii="Times New Roman" w:cs="Times New Roman" w:eastAsia="Times New Roman" w:hAnsi="Times New Roman"/>
                <w:sz w:val="20"/>
                <w:szCs w:val="20"/>
                <w:b w:val="1"/>
                <w:bCs w:val="1"/>
                <w:color w:val="auto"/>
              </w:rPr>
              <w:t>THE PERSON FILING IS A:</w:t>
            </w:r>
          </w:p>
        </w:tc>
      </w:tr>
      <w:tr>
        <w:trPr>
          <w:trHeight w:val="493"/>
        </w:trPr>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(a)</w:t>
            </w:r>
          </w:p>
        </w:tc>
        <w:tc>
          <w:tcPr>
            <w:tcW w:w="60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2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Broker or dealer registered under Section 15 of the Act;</w:t>
            </w:r>
          </w:p>
        </w:tc>
      </w:tr>
      <w:tr>
        <w:trPr>
          <w:trHeight w:val="445"/>
        </w:trPr>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(b)</w:t>
            </w:r>
          </w:p>
        </w:tc>
        <w:tc>
          <w:tcPr>
            <w:tcW w:w="60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2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Bank as defined in Section 3(a)(6) of the Act;</w:t>
            </w:r>
          </w:p>
        </w:tc>
      </w:tr>
      <w:tr>
        <w:trPr>
          <w:trHeight w:val="445"/>
        </w:trPr>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w:t>
            </w:r>
          </w:p>
        </w:tc>
        <w:tc>
          <w:tcPr>
            <w:tcW w:w="60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2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Insurance company as defined in Section 3(a)(19) of the Act;</w:t>
            </w:r>
          </w:p>
        </w:tc>
      </w:tr>
      <w:tr>
        <w:trPr>
          <w:trHeight w:val="445"/>
        </w:trPr>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(d)</w:t>
            </w:r>
          </w:p>
        </w:tc>
        <w:tc>
          <w:tcPr>
            <w:tcW w:w="60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2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Investment company registered under Section 8 of the Investment Company Act of 1940;</w:t>
            </w:r>
          </w:p>
        </w:tc>
      </w:tr>
    </w:tbl>
    <w:p>
      <w:pPr>
        <w:sectPr>
          <w:pgSz w:w="11900" w:h="16838" w:orient="portrait"/>
          <w:cols w:equalWidth="0" w:num="1">
            <w:col w:w="11240"/>
          </w:cols>
          <w:pgMar w:left="320" w:top="225" w:right="339" w:bottom="1440" w:gutter="0" w:footer="0" w:header="0"/>
          <w:type w:val="continuous"/>
        </w:sectPr>
      </w:pPr>
    </w:p>
    <w:bookmarkStart w:id="4" w:name="page5"/>
    <w:bookmarkEnd w:id="4"/>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69353Y103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5 of 7 Pages</w:t>
      </w:r>
    </w:p>
    <w:p>
      <w:pPr>
        <w:sectPr>
          <w:pgSz w:w="11900" w:h="16838" w:orient="portrait"/>
          <w:cols w:equalWidth="0" w:num="1">
            <w:col w:w="11240"/>
          </w:cols>
          <w:pgMar w:left="320" w:top="225" w:right="339" w:bottom="1440" w:gutter="0" w:footer="0" w:header="0"/>
        </w:sectPr>
      </w:pPr>
    </w:p>
    <w:p>
      <w:pPr>
        <w:spacing w:after="0" w:line="117" w:lineRule="exact"/>
        <w:rPr>
          <w:sz w:val="20"/>
          <w:szCs w:val="20"/>
          <w:color w:val="auto"/>
        </w:rPr>
      </w:pPr>
    </w:p>
    <w:p>
      <w:pPr>
        <w:ind w:left="2560" w:hanging="761"/>
        <w:spacing w:after="0"/>
        <w:tabs>
          <w:tab w:leader="none" w:pos="256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þ  </w:t>
      </w:r>
      <w:r>
        <w:rPr>
          <w:rFonts w:ascii="Times New Roman" w:cs="Times New Roman" w:eastAsia="Times New Roman" w:hAnsi="Times New Roman"/>
          <w:sz w:val="20"/>
          <w:szCs w:val="20"/>
          <w:color w:val="auto"/>
        </w:rPr>
        <w:t>An investment adviser in accordance with Rule 13d-1(b)(1)(ii)(E);</w:t>
      </w:r>
    </w:p>
    <w:p>
      <w:pPr>
        <w:spacing w:after="0" w:line="196" w:lineRule="exact"/>
        <w:rPr>
          <w:rFonts w:ascii="Times New Roman" w:cs="Times New Roman" w:eastAsia="Times New Roman" w:hAnsi="Times New Roman"/>
          <w:sz w:val="20"/>
          <w:szCs w:val="20"/>
          <w:color w:val="auto"/>
        </w:rPr>
      </w:pPr>
    </w:p>
    <w:p>
      <w:pPr>
        <w:ind w:left="2560" w:hanging="761"/>
        <w:spacing w:after="0" w:line="230" w:lineRule="exact"/>
        <w:tabs>
          <w:tab w:leader="none" w:pos="2560" w:val="left"/>
        </w:tabs>
        <w:numPr>
          <w:ilvl w:val="0"/>
          <w:numId w:val="8"/>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19"/>
          <w:szCs w:val="19"/>
          <w:color w:val="auto"/>
        </w:rPr>
        <w:t>An employee benefit plan or endowment fund in accordance with Rule 13d-1(b)(1)(ii)(F);</w:t>
      </w:r>
    </w:p>
    <w:p>
      <w:pPr>
        <w:spacing w:after="0" w:line="246" w:lineRule="exact"/>
        <w:rPr>
          <w:rFonts w:ascii="Times New Roman" w:cs="Times New Roman" w:eastAsia="Times New Roman" w:hAnsi="Times New Roman"/>
          <w:sz w:val="20"/>
          <w:szCs w:val="20"/>
          <w:color w:val="auto"/>
        </w:rPr>
      </w:pPr>
    </w:p>
    <w:p>
      <w:pPr>
        <w:ind w:left="2560" w:hanging="761"/>
        <w:spacing w:after="0"/>
        <w:tabs>
          <w:tab w:leader="none" w:pos="256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þ   </w:t>
      </w:r>
      <w:r>
        <w:rPr>
          <w:rFonts w:ascii="Times New Roman" w:cs="Times New Roman" w:eastAsia="Times New Roman" w:hAnsi="Times New Roman"/>
          <w:sz w:val="20"/>
          <w:szCs w:val="20"/>
          <w:color w:val="auto"/>
        </w:rPr>
        <w:t>A parent holding company or control person in accordance with Rule 13d-1(b)(1)(ii)(G);</w:t>
      </w:r>
    </w:p>
    <w:p>
      <w:pPr>
        <w:spacing w:after="0" w:line="196" w:lineRule="exact"/>
        <w:rPr>
          <w:rFonts w:ascii="Times New Roman" w:cs="Times New Roman" w:eastAsia="Times New Roman" w:hAnsi="Times New Roman"/>
          <w:sz w:val="20"/>
          <w:szCs w:val="20"/>
          <w:color w:val="auto"/>
        </w:rPr>
      </w:pPr>
    </w:p>
    <w:p>
      <w:pPr>
        <w:ind w:left="2560" w:hanging="761"/>
        <w:spacing w:after="0" w:line="230" w:lineRule="exact"/>
        <w:tabs>
          <w:tab w:leader="none" w:pos="2560" w:val="left"/>
        </w:tabs>
        <w:numPr>
          <w:ilvl w:val="0"/>
          <w:numId w:val="8"/>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 savings association as defined in Section 3(b) of the Federal Deposit Insurance Act;</w:t>
      </w:r>
    </w:p>
    <w:p>
      <w:pPr>
        <w:spacing w:after="0" w:line="229" w:lineRule="exact"/>
        <w:rPr>
          <w:rFonts w:ascii="Times New Roman" w:cs="Times New Roman" w:eastAsia="Times New Roman" w:hAnsi="Times New Roman"/>
          <w:sz w:val="20"/>
          <w:szCs w:val="20"/>
          <w:color w:val="auto"/>
        </w:rPr>
      </w:pPr>
    </w:p>
    <w:p>
      <w:pPr>
        <w:ind w:left="3040" w:right="260" w:hanging="1241"/>
        <w:spacing w:after="0" w:line="253" w:lineRule="exact"/>
        <w:tabs>
          <w:tab w:leader="none" w:pos="2565" w:val="left"/>
        </w:tabs>
        <w:numPr>
          <w:ilvl w:val="0"/>
          <w:numId w:val="8"/>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w:t>
      </w:r>
    </w:p>
    <w:p>
      <w:pPr>
        <w:spacing w:after="0" w:line="184" w:lineRule="exact"/>
        <w:rPr>
          <w:rFonts w:ascii="Times New Roman" w:cs="Times New Roman" w:eastAsia="Times New Roman" w:hAnsi="Times New Roman"/>
          <w:sz w:val="20"/>
          <w:szCs w:val="20"/>
          <w:color w:val="auto"/>
        </w:rPr>
      </w:pPr>
    </w:p>
    <w:p>
      <w:pPr>
        <w:ind w:left="2560" w:hanging="761"/>
        <w:spacing w:after="0" w:line="230" w:lineRule="exact"/>
        <w:tabs>
          <w:tab w:leader="none" w:pos="2560" w:val="left"/>
        </w:tabs>
        <w:numPr>
          <w:ilvl w:val="0"/>
          <w:numId w:val="8"/>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 non-U.S. institution in accordance with Rule 13d-1(b)(1)(ii)(J);</w:t>
      </w:r>
    </w:p>
    <w:p>
      <w:pPr>
        <w:spacing w:after="0" w:line="215" w:lineRule="exact"/>
        <w:rPr>
          <w:rFonts w:ascii="Times New Roman" w:cs="Times New Roman" w:eastAsia="Times New Roman" w:hAnsi="Times New Roman"/>
          <w:sz w:val="20"/>
          <w:szCs w:val="20"/>
          <w:color w:val="auto"/>
        </w:rPr>
      </w:pPr>
    </w:p>
    <w:p>
      <w:pPr>
        <w:ind w:left="2560" w:hanging="761"/>
        <w:spacing w:after="0" w:line="230" w:lineRule="exact"/>
        <w:tabs>
          <w:tab w:leader="none" w:pos="2560" w:val="left"/>
        </w:tabs>
        <w:numPr>
          <w:ilvl w:val="0"/>
          <w:numId w:val="8"/>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Group, in accordance with Rule 13d-1(b)(1)(ii)(K).</w:t>
      </w:r>
    </w:p>
    <w:p>
      <w:pPr>
        <w:spacing w:after="0" w:line="247" w:lineRule="exact"/>
        <w:rPr>
          <w:sz w:val="20"/>
          <w:szCs w:val="20"/>
          <w:color w:val="auto"/>
        </w:rPr>
      </w:pPr>
    </w:p>
    <w:p>
      <w:pPr>
        <w:ind w:left="1800" w:right="2880"/>
        <w:spacing w:after="0" w:line="269" w:lineRule="auto"/>
        <w:rPr>
          <w:sz w:val="20"/>
          <w:szCs w:val="20"/>
          <w:color w:val="auto"/>
        </w:rPr>
      </w:pPr>
      <w:r>
        <w:rPr>
          <w:rFonts w:ascii="Times New Roman" w:cs="Times New Roman" w:eastAsia="Times New Roman" w:hAnsi="Times New Roman"/>
          <w:sz w:val="20"/>
          <w:szCs w:val="20"/>
          <w:color w:val="auto"/>
        </w:rPr>
        <w:t>If filing as a non-U.S. institution in accordance with Rule 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-20955</wp:posOffset>
            </wp:positionV>
            <wp:extent cx="3985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162"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OWNERSHIP</w:t>
      </w:r>
    </w:p>
    <w:p>
      <w:pPr>
        <w:spacing w:after="0" w:line="233" w:lineRule="exact"/>
        <w:rPr>
          <w:sz w:val="20"/>
          <w:szCs w:val="20"/>
          <w:color w:val="auto"/>
        </w:rPr>
      </w:pPr>
    </w:p>
    <w:p>
      <w:pPr>
        <w:ind w:left="1800" w:right="340"/>
        <w:spacing w:after="0" w:line="269" w:lineRule="auto"/>
        <w:rPr>
          <w:sz w:val="20"/>
          <w:szCs w:val="20"/>
          <w:color w:val="auto"/>
        </w:rPr>
      </w:pPr>
      <w:r>
        <w:rPr>
          <w:rFonts w:ascii="Times New Roman" w:cs="Times New Roman" w:eastAsia="Times New Roman" w:hAnsi="Times New Roman"/>
          <w:sz w:val="20"/>
          <w:szCs w:val="20"/>
          <w:color w:val="auto"/>
        </w:rPr>
        <w:t>The information required by Items 4(a) - (c) is set forth in Rows 5 - 11 of the cover page and is incorporated herein by reference.</w:t>
      </w:r>
    </w:p>
    <w:p>
      <w:pPr>
        <w:spacing w:after="0" w:line="173" w:lineRule="exact"/>
        <w:rPr>
          <w:sz w:val="20"/>
          <w:szCs w:val="20"/>
          <w:color w:val="auto"/>
        </w:rPr>
      </w:pPr>
    </w:p>
    <w:p>
      <w:pPr>
        <w:ind w:left="1800" w:right="280"/>
        <w:spacing w:after="0" w:line="249" w:lineRule="auto"/>
        <w:rPr>
          <w:sz w:val="20"/>
          <w:szCs w:val="20"/>
          <w:color w:val="auto"/>
        </w:rPr>
      </w:pPr>
      <w:r>
        <w:rPr>
          <w:rFonts w:ascii="Times New Roman" w:cs="Times New Roman" w:eastAsia="Times New Roman" w:hAnsi="Times New Roman"/>
          <w:sz w:val="20"/>
          <w:szCs w:val="20"/>
          <w:color w:val="auto"/>
        </w:rPr>
        <w:t>The percentage set forth in Row 11 of this Schedule 13G/A is calculated based upon 45,665,428 shares of Common Stock outstanding as of November 8, 2022, as reported in the Issuer’s Quarterly Report on Form 10-Q for the quarterly period ended September 30, 2022 filed with the Securities and Exchange Commission on November 8, 2022.</w:t>
      </w:r>
    </w:p>
    <w:p>
      <w:pPr>
        <w:spacing w:after="0" w:line="189"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33" w:lineRule="exact"/>
        <w:rPr>
          <w:sz w:val="20"/>
          <w:szCs w:val="20"/>
          <w:color w:val="auto"/>
        </w:rPr>
      </w:pPr>
    </w:p>
    <w:p>
      <w:pPr>
        <w:ind w:left="1800" w:right="460"/>
        <w:spacing w:after="0" w:line="261" w:lineRule="exact"/>
        <w:rPr>
          <w:sz w:val="20"/>
          <w:szCs w:val="20"/>
          <w:color w:val="auto"/>
        </w:rPr>
      </w:pPr>
      <w:r>
        <w:rPr>
          <w:rFonts w:ascii="Times New Roman" w:cs="Times New Roman" w:eastAsia="Times New Roman" w:hAnsi="Times New Roman"/>
          <w:sz w:val="20"/>
          <w:szCs w:val="20"/>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20"/>
          <w:szCs w:val="20"/>
          <w:color w:val="auto"/>
        </w:rPr>
        <w:t>☐</w:t>
      </w:r>
    </w:p>
    <w:p>
      <w:pPr>
        <w:spacing w:after="0" w:line="177" w:lineRule="exact"/>
        <w:rPr>
          <w:sz w:val="20"/>
          <w:szCs w:val="20"/>
          <w:color w:val="auto"/>
        </w:rPr>
      </w:pPr>
    </w:p>
    <w:p>
      <w:pPr>
        <w:ind w:left="1800" w:right="1640" w:hanging="1686"/>
        <w:spacing w:after="0" w:line="479" w:lineRule="auto"/>
        <w:tabs>
          <w:tab w:leader="none" w:pos="17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20"/>
          <w:szCs w:val="20"/>
          <w:b w:val="1"/>
          <w:bCs w:val="1"/>
          <w:color w:val="auto"/>
        </w:rPr>
        <w:t xml:space="preserve">OWNERSHIP OF MORE THAN FIVE PERCENT ON BEHALF OF ANOTHER PERSON </w:t>
      </w:r>
      <w:r>
        <w:rPr>
          <w:rFonts w:ascii="Times New Roman" w:cs="Times New Roman" w:eastAsia="Times New Roman" w:hAnsi="Times New Roman"/>
          <w:sz w:val="20"/>
          <w:szCs w:val="20"/>
          <w:color w:val="auto"/>
        </w:rPr>
        <w:t>See Item 2.</w:t>
      </w:r>
    </w:p>
    <w:p>
      <w:pPr>
        <w:ind w:left="1800" w:right="100" w:hanging="1686"/>
        <w:spacing w:after="0" w:line="273" w:lineRule="auto"/>
        <w:tabs>
          <w:tab w:leader="none" w:pos="17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 AND CLASSIFICATION OF THE SUBSIDIARY WHICH ACQUIRED THE SECURITY BEING REPORTED ON BY THE PARENT HOLDING COMPANY OR CONTROL PERSON</w:t>
      </w:r>
    </w:p>
    <w:p>
      <w:pPr>
        <w:spacing w:after="0" w:line="16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ectPr>
          <w:pgSz w:w="11900" w:h="16838" w:orient="portrait"/>
          <w:cols w:equalWidth="0" w:num="1">
            <w:col w:w="11240"/>
          </w:cols>
          <w:pgMar w:left="320" w:top="225" w:right="339" w:bottom="1440" w:gutter="0" w:footer="0" w:header="0"/>
          <w:type w:val="continuous"/>
        </w:sectPr>
      </w:pPr>
    </w:p>
    <w:bookmarkStart w:id="5" w:name="page6"/>
    <w:bookmarkEnd w:id="5"/>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69353Y103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6 of 7 Pages</w:t>
      </w:r>
    </w:p>
    <w:p>
      <w:pPr>
        <w:sectPr>
          <w:pgSz w:w="11900" w:h="16838" w:orient="portrait"/>
          <w:cols w:equalWidth="0" w:num="1">
            <w:col w:w="11240"/>
          </w:cols>
          <w:pgMar w:left="320" w:top="225" w:right="339" w:bottom="1440" w:gutter="0" w:footer="0" w:header="0"/>
        </w:sectPr>
      </w:pPr>
    </w:p>
    <w:p>
      <w:pPr>
        <w:spacing w:after="0" w:line="342"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CERTIFICATION</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Each Reporting Person hereby makes the following certification:</w:t>
      </w:r>
    </w:p>
    <w:p>
      <w:pPr>
        <w:spacing w:after="0" w:line="229" w:lineRule="exact"/>
        <w:rPr>
          <w:sz w:val="20"/>
          <w:szCs w:val="20"/>
          <w:color w:val="auto"/>
        </w:rPr>
      </w:pPr>
    </w:p>
    <w:p>
      <w:pPr>
        <w:jc w:val="both"/>
        <w:ind w:left="1800" w:right="440"/>
        <w:spacing w:after="0" w:line="246" w:lineRule="auto"/>
        <w:rPr>
          <w:sz w:val="20"/>
          <w:szCs w:val="20"/>
          <w:color w:val="auto"/>
        </w:rPr>
      </w:pPr>
      <w:r>
        <w:rPr>
          <w:rFonts w:ascii="Times New Roman" w:cs="Times New Roman" w:eastAsia="Times New Roman" w:hAnsi="Times New Roman"/>
          <w:sz w:val="20"/>
          <w:szCs w:val="20"/>
          <w:color w:val="auto"/>
        </w:rPr>
        <w:t>By signing below the Reporting Person certifies that, to the best of his or its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25" w:right="339" w:bottom="1440" w:gutter="0" w:footer="0" w:header="0"/>
          <w:type w:val="continuous"/>
        </w:sectPr>
      </w:pPr>
    </w:p>
    <w:bookmarkStart w:id="6" w:name="page7"/>
    <w:bookmarkEnd w:id="6"/>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69353Y103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7 of 7 Pages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his or its knowledge and belief, each of the undersigned certifies that the information set forth in this statement is true, complete and correct.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14,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AVORO CAPITAL ADVISORS LLC</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Scott Epstein</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6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5080" w:type="dxa"/>
            <w:vAlign w:val="bottom"/>
            <w:tcBorders>
              <w:top w:val="single" w:sz="8" w:color="auto"/>
            </w:tcBorders>
          </w:tcPr>
          <w:p>
            <w:pPr>
              <w:ind w:left="140"/>
              <w:spacing w:after="0" w:line="200" w:lineRule="exact"/>
              <w:rPr>
                <w:sz w:val="20"/>
                <w:szCs w:val="20"/>
                <w:color w:val="auto"/>
              </w:rPr>
            </w:pPr>
            <w:r>
              <w:rPr>
                <w:rFonts w:ascii="Times New Roman" w:cs="Times New Roman" w:eastAsia="Times New Roman" w:hAnsi="Times New Roman"/>
                <w:sz w:val="20"/>
                <w:szCs w:val="20"/>
                <w:color w:val="auto"/>
              </w:rPr>
              <w:t>Scott Epstein</w:t>
            </w:r>
          </w:p>
        </w:tc>
      </w:tr>
      <w:tr>
        <w:trPr>
          <w:trHeight w:val="258"/>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0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Chief Financial Officer &amp; Chief Compliance Officer</w:t>
            </w: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Behzad Aghazadeh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6429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BEHZAD AGHAZADEH</w:t>
      </w: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þ"/>
      <w:numFmt w:val="bullet"/>
      <w:start w:val="1"/>
    </w:lvl>
    <w:lvl w:ilvl="1">
      <w:lvlJc w:val="left"/>
      <w:lvlText w:val="☐"/>
      <w:numFmt w:val="bullet"/>
      <w:start w:val="1"/>
    </w:lvl>
  </w:abstractNum>
  <w:abstractNum w:abstractNumId="1">
    <w:nsid w:val="46E87CCD"/>
    <w:multiLevelType w:val="hybridMultilevel"/>
    <w:lvl w:ilvl="0">
      <w:lvlJc w:val="left"/>
      <w:lvlText w:val="2"/>
      <w:numFmt w:val="bullet"/>
      <w:start w:val="1"/>
    </w:lvl>
  </w:abstractNum>
  <w:abstractNum w:abstractNumId="2">
    <w:nsid w:val="3D1B58BA"/>
    <w:multiLevelType w:val="hybridMultilevel"/>
    <w:lvl w:ilvl="0">
      <w:lvlJc w:val="left"/>
      <w:lvlText w:val="3"/>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2"/>
      <w:numFmt w:val="bullet"/>
      <w:start w:val="1"/>
    </w:lvl>
  </w:abstractNum>
  <w:abstractNum w:abstractNumId="5">
    <w:nsid w:val="41B71EFB"/>
    <w:multiLevelType w:val="hybridMultilevel"/>
    <w:lvl w:ilvl="0">
      <w:lvlJc w:val="left"/>
      <w:lvlText w:val="3"/>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2023-02-14T08:36:55Z</dcterms:created>
  <dcterms:modified xsi:type="dcterms:W3CDTF">2023-02-14T08:36:55Z</dcterms:modified>
</cp:coreProperties>
</file>