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tbl>
      <w:tblPr>
        <w:tblLayout w:type="fixed"/>
        <w:tblInd w:w="1100" w:type="dxa"/>
        <w:tblCellMar>
          <w:top w:w="0" w:type="dxa"/>
          <w:left w:w="0" w:type="dxa"/>
          <w:bottom w:w="0" w:type="dxa"/>
          <w:right w:w="0" w:type="dxa"/>
        </w:tblCellMar>
      </w:tblPr>
      <w:tr>
        <w:trPr>
          <w:trHeight w:val="23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62"/>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92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8"/>
        </w:trPr>
        <w:tc>
          <w:tcPr>
            <w:tcW w:w="322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92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8"/>
              </w:rPr>
              <w:t>One Research Way</w:t>
            </w:r>
          </w:p>
        </w:tc>
        <w:tc>
          <w:tcPr>
            <w:tcW w:w="29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52"/>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20" w:type="dxa"/>
            <w:vAlign w:val="bottom"/>
          </w:tcPr>
          <w:p>
            <w:pPr>
              <w:spacing w:after="0"/>
              <w:rPr>
                <w:sz w:val="21"/>
                <w:szCs w:val="21"/>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88"/>
        </w:trPr>
        <w:tc>
          <w:tcPr>
            <w:tcW w:w="32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20" w:type="dxa"/>
            <w:vAlign w:val="bottom"/>
          </w:tcPr>
          <w:p>
            <w:pPr>
              <w:spacing w:after="0"/>
              <w:rPr>
                <w:sz w:val="16"/>
                <w:szCs w:val="16"/>
                <w:color w:val="auto"/>
              </w:rPr>
            </w:pPr>
          </w:p>
        </w:tc>
        <w:tc>
          <w:tcPr>
            <w:tcW w:w="2280" w:type="dxa"/>
            <w:vAlign w:val="bottom"/>
          </w:tcPr>
          <w:p>
            <w:pPr>
              <w:jc w:val="center"/>
              <w:ind w:left="11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10, 2023, PMV Pharmaceuticals, Inc. issued a press release announcing its financial results for the first quarter ended March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attached as Exhibit 99.1 to this Current Report on Form 8-K and is incorporated herein by reference.</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20" w:type="dxa"/>
            <w:vAlign w:val="bottom"/>
            <w:gridSpan w:val="3"/>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issued by PMV Pharmaceuticals, Inc., dated May 10, 2023.</w:t>
            </w:r>
          </w:p>
        </w:tc>
        <w:tc>
          <w:tcPr>
            <w:tcW w:w="20" w:type="dxa"/>
            <w:vAlign w:val="bottom"/>
            <w:tcBorders>
              <w:bottom w:val="single" w:sz="8" w:color="0000EE"/>
            </w:tcBorders>
          </w:tcPr>
          <w:p>
            <w:pPr>
              <w:spacing w:after="0"/>
              <w:rPr>
                <w:sz w:val="24"/>
                <w:szCs w:val="24"/>
                <w:color w:val="auto"/>
              </w:rPr>
            </w:pP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8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61"/>
        </w:trPr>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5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26035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Chief Operating Officer, and</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PMV Pharmaceuticals Reports First Quarter 2023 Financial Results and Corporate Highlights</w:t>
      </w:r>
    </w:p>
    <w:p>
      <w:pPr>
        <w:spacing w:after="0" w:line="86" w:lineRule="exact"/>
        <w:rPr>
          <w:sz w:val="20"/>
          <w:szCs w:val="20"/>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progress in the ongoing Phase 1/2 PYNNACLE study of PC14586, a first-in-class precision oncology investigational therapy in patients with advanced solid tumors with a p53 Y220C mutation; next update is expected in 2H 2023</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Commenced enrollment in the combination arm of the PYNNACLE study with PC14586 and KEYTRUDA® (pembrolizumab)</w:t>
      </w:r>
    </w:p>
    <w:p>
      <w:pPr>
        <w:spacing w:after="0" w:line="22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PRINCETON, N.J., May 10, 2023 (GLOBE NEWSWIRE) - PMV Pharmaceuticals, Inc. (Nasdaq: PMVP), a precision oncology company pioneering the discovery and development of small molecule, tumor-agnostic therapies targeting p53, today reported financial results for the first quarter ended March 31, 2023, and provided a corporate update.</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pleased with the ongoing progress in the PYNNACLE study of PC14586, a first-in-class p53 Y220C reactivator, in patients with advanced solid tumors. We look forward to providing the next clinical and regulatory update in the second half of 2023,” said David Mack, Ph.D., President and Chief Executive Officer. “Additionally, we are actively enrolling patients in the combination arm of PYNNACLE to explore the potential synergistic effects between PC14586 and KEYTRUDA.”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w:t>
      </w:r>
    </w:p>
    <w:p>
      <w:pPr>
        <w:spacing w:after="0" w:line="104" w:lineRule="exact"/>
        <w:rPr>
          <w:sz w:val="20"/>
          <w:szCs w:val="20"/>
          <w:color w:val="auto"/>
        </w:rPr>
      </w:pPr>
    </w:p>
    <w:p>
      <w:pPr>
        <w:ind w:left="10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ongoing Phase 1/2 PYNNACLE study is evaluating PC14586 in patients with advanced solid tumors harboring a p53 Y220C mutation. The next clinical and regulatory update is expected in 2H 2023.</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Commenced enrollment in the combination arm of PYNNACLE evaluating PC14586 with KEYTRUDA (pembrolizumab). PMV Pharma and Merck entered into a collaboration in 2022 under the terms of which Merck will supply KEYTRUDA for this study.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Results</w:t>
      </w:r>
    </w:p>
    <w:p>
      <w:pPr>
        <w:spacing w:after="0" w:line="104" w:lineRule="exact"/>
        <w:rPr>
          <w:sz w:val="20"/>
          <w:szCs w:val="20"/>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PMV Pharma ended the first quarter with $229.4 million in cash, cash equivalents, and marketable securities, compared to $243.5 million as of December 31, 2022. Net cash used in operations was $15.0 million for the three months ended March 31, 2023, compared to $18.0 million for the three months ended March 31, 2022.</w:t>
      </w:r>
    </w:p>
    <w:p>
      <w:pPr>
        <w:spacing w:after="0" w:line="58" w:lineRule="exact"/>
        <w:rPr>
          <w:rFonts w:ascii="Times New Roman" w:cs="Times New Roman" w:eastAsia="Times New Roman" w:hAnsi="Times New Roman"/>
          <w:sz w:val="18"/>
          <w:szCs w:val="18"/>
          <w:color w:val="auto"/>
        </w:rPr>
      </w:pPr>
    </w:p>
    <w:p>
      <w:pPr>
        <w:ind w:left="1020" w:hanging="503"/>
        <w:spacing w:after="0" w:line="28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quarter ended March 31, 2023, was $19.1 million compared to $18.4 million for the quarter ended March 31, 2022.</w:t>
      </w:r>
    </w:p>
    <w:p>
      <w:pPr>
        <w:spacing w:after="0" w:line="42"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$15.1 million for the quarter ended March 31, 2023, compared to $11.8 million for the quarter ended March 31, 2022. The increase in R&amp;D expenses was primarily related to increased clinical expenses to advance research on PC14586, the Company’s lead drug candidate.</w:t>
      </w:r>
    </w:p>
    <w:p>
      <w:pPr>
        <w:spacing w:after="0" w:line="63"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$6.4 million for the quarter ended March 31, 2023, compared to $6.8 million for the quarter ended March 31, 2022. The decrease in G&amp;A expenses was primarily due to reduced spend for insurance and outside services.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KEYTRUDA® (pembrolizumab) is a registered trademark of Merck Sharp &amp; Dohme LLC., a subsidiary of Merck &amp; Co., Inc., Rahway, NJ, USA.</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PC14586</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PC14586 is a first-in-class, small molecule, p53 reactivator designed to selectively bind to the crevice present in the p53 Y220C mutant protein, hence, restoring the wild-type, or normal, p53 protein structure and tumor-suppressing function. The U.S. Food and Drug Administration granted Fast Track designation to PC14586 for the treatment of patients with locally advanced or metastatic solid tumors that have a p53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right="20"/>
        <w:spacing w:after="0" w:line="271" w:lineRule="auto"/>
        <w:rPr>
          <w:sz w:val="20"/>
          <w:szCs w:val="20"/>
          <w:color w:val="auto"/>
        </w:rPr>
      </w:pPr>
      <w:r>
        <w:rPr>
          <w:rFonts w:ascii="Arial" w:cs="Arial" w:eastAsia="Arial" w:hAnsi="Arial"/>
          <w:sz w:val="18"/>
          <w:szCs w:val="18"/>
          <w:color w:val="auto"/>
        </w:rPr>
        <w:t>Y220C mutation. For more information about the Phase 1/2 PYNNACLE trial (PMV-586-101), refer to www.clinicaltrials.gov (NCT study identifier NCT04585750).</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PMV Pharma</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PMV Pharma is a precision oncology company pioneering the discovery and development of small molecule, tumor-agnostic therapies targeting p53. p53 mutations are found in approximately half of all cancers. The field of p53 biology was established by our co-founder Dr. Arnold Levine when he discovered the p53 protein in 1979. Bringing together leaders in the field to utilize over four decades of p53 biology, PMV Pharma combines unique biological understanding with pharmaceutical development focus. PMV Pharma is headquartered in Princeton, New Jersey. For more information, please visit </w:t>
      </w:r>
      <w:r>
        <w:rPr>
          <w:rFonts w:ascii="Arial" w:cs="Arial" w:eastAsia="Arial" w:hAnsi="Arial"/>
          <w:sz w:val="18"/>
          <w:szCs w:val="18"/>
          <w:u w:val="single" w:color="auto"/>
          <w:color w:val="03AFFD"/>
        </w:rPr>
        <w:t>www.pmvpharma.com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PC14586, including expectations regarding timing for its Phase 1 and regulatory update for the PYNNACLE study and its Phase 1/2 combination trial of PC14586 and KEYTRUDA, as well as expectations regarding success of its current clinical trial for PC14586 and any future commercialization plans for the product candidate.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and planned clinical trials, the Company’s ability to execute on its strategy and operate as an early clinical stage company, the potential for clinical trials of PC14586 or any future clinical trials of other product candidates to differ from preclinical, preliminary or expected results, the Company’s ability to fund operations, and the impact that the current COVID-19 pandemic will have on the Company’s clinical trials, supply chain, and operations, as well as those risks and uncertainties set forth in the section entitled “Risk Factors” in the Company’s Annual Report on Form 10-K, filed with the Securities and Exchange Commission (the “SEC”) on March 1, 2023, and the Company’s Quarterly Report on Form 10-Q for the three months ended March 31, 2023, filed with the SEC on May 10, 2023, and its other filings filed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45"/>
        </w:trPr>
        <w:tc>
          <w:tcPr>
            <w:tcW w:w="7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3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3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233,278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253,960</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(260,171 )</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(241,043 )</w:t>
            </w:r>
          </w:p>
        </w:tc>
        <w:tc>
          <w:tcPr>
            <w:tcW w:w="0" w:type="dxa"/>
            <w:vAlign w:val="bottom"/>
          </w:tcPr>
          <w:p>
            <w:pPr>
              <w:spacing w:after="0"/>
              <w:rPr>
                <w:sz w:val="1"/>
                <w:szCs w:val="1"/>
                <w:color w:val="auto"/>
              </w:rPr>
            </w:pPr>
          </w:p>
        </w:tc>
      </w:tr>
      <w:tr>
        <w:trPr>
          <w:trHeight w:val="23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(116 )</w:t>
            </w:r>
          </w:p>
        </w:tc>
        <w:tc>
          <w:tcPr>
            <w:tcW w:w="2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36"/>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230,173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253,960</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8"/>
        </w:trPr>
        <w:tc>
          <w:tcPr>
            <w:tcW w:w="7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-3119755</wp:posOffset>
            </wp:positionV>
            <wp:extent cx="113982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39825" cy="2146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-2133600</wp:posOffset>
            </wp:positionV>
            <wp:extent cx="7747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-1816735</wp:posOffset>
            </wp:positionV>
            <wp:extent cx="113982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39825" cy="18034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-856615</wp:posOffset>
            </wp:positionV>
            <wp:extent cx="7747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PMV Pharmaceuticals,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78"/>
        </w:trPr>
        <w:tc>
          <w:tcPr>
            <w:tcW w:w="77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169"/>
        </w:trPr>
        <w:tc>
          <w:tcPr>
            <w:tcW w:w="77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0" w:type="dxa"/>
            <w:vAlign w:val="bottom"/>
          </w:tcPr>
          <w:p>
            <w:pPr>
              <w:spacing w:after="0"/>
              <w:rPr>
                <w:sz w:val="20"/>
                <w:szCs w:val="20"/>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(19,128 )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(18,431 )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Pr>
          <w:p>
            <w:pPr>
              <w:spacing w:after="0"/>
              <w:rPr>
                <w:sz w:val="20"/>
                <w:szCs w:val="20"/>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(19,128 )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(18,433 )</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(loss) on available for sale investments, net of tax</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0"/>
        </w:trPr>
        <w:tc>
          <w:tcPr>
            <w:tcW w:w="77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(18,799 )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(19,021 )</w:t>
            </w:r>
          </w:p>
        </w:tc>
      </w:tr>
      <w:tr>
        <w:trPr>
          <w:trHeight w:val="20"/>
        </w:trPr>
        <w:tc>
          <w:tcPr>
            <w:tcW w:w="7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45,773,357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45,466,044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-2077085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-2077085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-1125220</wp:posOffset>
            </wp:positionV>
            <wp:extent cx="685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-1125220</wp:posOffset>
            </wp:positionV>
            <wp:extent cx="685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-808355</wp:posOffset>
            </wp:positionV>
            <wp:extent cx="685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-808355</wp:posOffset>
            </wp:positionV>
            <wp:extent cx="6858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-490855</wp:posOffset>
            </wp:positionV>
            <wp:extent cx="6858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r>
        <w:rPr>
          <w:rFonts w:ascii="Calibri" w:cs="Calibri" w:eastAsia="Calibri" w:hAnsi="Calibri"/>
          <w:sz w:val="18"/>
          <w:szCs w:val="18"/>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Winston Kung</w:t>
      </w: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u w:val="single" w:color="auto"/>
          <w:color w:val="03AFFD"/>
        </w:rPr>
        <w:t>investors@pmvpharma.com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r>
        <w:rPr>
          <w:rFonts w:ascii="Calibri" w:cs="Calibri" w:eastAsia="Calibri" w:hAnsi="Calibri"/>
          <w:sz w:val="18"/>
          <w:szCs w:val="18"/>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rPr>
          <w:sz w:val="20"/>
          <w:szCs w:val="20"/>
          <w:color w:val="auto"/>
        </w:rPr>
      </w:pPr>
      <w:r>
        <w:rPr>
          <w:rFonts w:ascii="Arial" w:cs="Arial" w:eastAsia="Arial" w:hAnsi="Arial"/>
          <w:sz w:val="18"/>
          <w:szCs w:val="18"/>
          <w:color w:val="auto"/>
        </w:rPr>
        <w:t>Greig Communications</w:t>
      </w:r>
    </w:p>
    <w:p>
      <w:pPr>
        <w:spacing w:after="0"/>
        <w:rPr>
          <w:sz w:val="20"/>
          <w:szCs w:val="20"/>
          <w:color w:val="auto"/>
        </w:rPr>
      </w:pPr>
      <w:r>
        <w:rPr>
          <w:rFonts w:ascii="Arial" w:cs="Arial" w:eastAsia="Arial" w:hAnsi="Arial"/>
          <w:sz w:val="18"/>
          <w:szCs w:val="18"/>
          <w:u w:val="single" w:color="auto"/>
          <w:color w:val="0057A8"/>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2023-05-10T07:04:35Z</dcterms:created>
  <dcterms:modified xsi:type="dcterms:W3CDTF">2023-05-10T07:04:35Z</dcterms:modified>
</cp:coreProperties>
</file>