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00" w:lineRule="exact"/>
        <w:rPr>
          <w:sz w:val="24"/>
          <w:szCs w:val="24"/>
          <w:color w:val="auto"/>
        </w:rPr>
      </w:pPr>
    </w:p>
    <w:p>
      <w:pPr>
        <w:spacing w:after="0" w:line="241"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INFORMATION TO BE INCLUDED IN STATEMENTS PURSUANT TO RULES 13d-1(b),(c) AND (d) AND AMENDMENTS THERETO FILED PURSUANT TO 13d-2 UNDER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PMV Pharmaceuticals,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$0.00001 par value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69353Y103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September 25, 2020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240" w:hanging="249"/>
        <w:spacing w:after="0"/>
        <w:tabs>
          <w:tab w:leader="none" w:pos="5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50" w:lineRule="exact"/>
        <w:rPr>
          <w:sz w:val="24"/>
          <w:szCs w:val="24"/>
          <w:color w:val="auto"/>
        </w:rPr>
      </w:pPr>
    </w:p>
    <w:p>
      <w:pPr>
        <w:jc w:val="both"/>
        <w:ind w:left="5000" w:right="4960" w:hanging="27"/>
        <w:spacing w:after="0" w:line="233" w:lineRule="exact"/>
        <w:tabs>
          <w:tab w:leader="none" w:pos="5279" w:val="left"/>
        </w:tabs>
        <w:numPr>
          <w:ilvl w:val="1"/>
          <w:numId w:val="2"/>
        </w:numPr>
        <w:rPr>
          <w:rFonts w:ascii="MS PGothic" w:cs="MS PGothic" w:eastAsia="MS PGothic" w:hAnsi="MS PGothic"/>
          <w:sz w:val="19"/>
          <w:szCs w:val="19"/>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2" w:lineRule="exact"/>
        <w:rPr>
          <w:rFonts w:ascii="MS PGothic" w:cs="MS PGothic" w:eastAsia="MS PGothic" w:hAnsi="MS PGothic"/>
          <w:sz w:val="19"/>
          <w:szCs w:val="19"/>
          <w:color w:val="auto"/>
        </w:rPr>
      </w:pPr>
    </w:p>
    <w:p>
      <w:pPr>
        <w:spacing w:after="0" w:line="277" w:lineRule="auto"/>
        <w:rPr>
          <w:rFonts w:ascii="MS PGothic" w:cs="MS PGothic" w:eastAsia="MS PGothic" w:hAnsi="MS PGothic"/>
          <w:sz w:val="19"/>
          <w:szCs w:val="19"/>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 w:name="page2"/>
    <w:bookmarkEnd w:id="1"/>
    <w:p>
      <w:pPr>
        <w:ind w:left="940"/>
        <w:spacing w:after="0"/>
        <w:rPr>
          <w:sz w:val="20"/>
          <w:szCs w:val="20"/>
          <w:color w:val="auto"/>
        </w:rPr>
      </w:pPr>
      <w:r>
        <w:rPr>
          <w:rFonts w:ascii="Arial" w:cs="Arial" w:eastAsia="Arial" w:hAnsi="Arial"/>
          <w:sz w:val="16"/>
          <w:szCs w:val="16"/>
          <w:b w:val="1"/>
          <w:bCs w:val="1"/>
          <w:color w:val="auto"/>
        </w:rPr>
        <w:t>CUSIP No. 69353Y103</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ind w:right="222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-164465</wp:posOffset>
            </wp:positionV>
            <wp:extent cx="7132320" cy="6532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2</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142" w:lineRule="exact"/>
        <w:rPr>
          <w:sz w:val="20"/>
          <w:szCs w:val="20"/>
          <w:color w:val="auto"/>
        </w:rPr>
      </w:pPr>
    </w:p>
    <w:p>
      <w:pPr>
        <w:sectPr>
          <w:pgSz w:w="11900" w:h="16838" w:orient="portrait"/>
          <w:cols w:equalWidth="0" w:num="3">
            <w:col w:w="4700" w:space="720"/>
            <w:col w:w="2540" w:space="720"/>
            <w:col w:w="2560"/>
          </w:cols>
          <w:pgMar w:left="320" w:top="486" w:right="339" w:bottom="1440" w:gutter="0" w:footer="0" w:header="0"/>
        </w:sectPr>
      </w:pPr>
    </w:p>
    <w:p>
      <w:pPr>
        <w:ind w:left="1040" w:hanging="10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 (ENTITIES ONLY)</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Viking Global Investors LP</w:t>
      </w:r>
    </w:p>
    <w:p>
      <w:pPr>
        <w:ind w:left="1040" w:hanging="1019"/>
        <w:spacing w:after="0" w:line="180" w:lineRule="auto"/>
        <w:tabs>
          <w:tab w:leader="none" w:pos="1040" w:val="left"/>
        </w:tabs>
        <w:numPr>
          <w:ilvl w:val="0"/>
          <w:numId w:val="4"/>
        </w:numPr>
        <w:rPr>
          <w:rFonts w:ascii="Arial" w:cs="Arial" w:eastAsia="Arial" w:hAnsi="Arial"/>
          <w:sz w:val="34"/>
          <w:szCs w:val="34"/>
          <w:color w:val="auto"/>
          <w:vertAlign w:val="subscript"/>
        </w:rPr>
      </w:pPr>
      <w:r>
        <w:rPr>
          <w:rFonts w:ascii="Arial" w:cs="Arial" w:eastAsia="Arial" w:hAnsi="Arial"/>
          <w:sz w:val="17"/>
          <w:szCs w:val="17"/>
          <w:color w:val="auto"/>
        </w:rPr>
        <w:t>CHECK THE APPROPRIATE BOX IF A MEMBER OF A GROUP</w:t>
      </w:r>
      <w:r>
        <w:rPr>
          <w:rFonts w:ascii="Arial" w:cs="Arial" w:eastAsia="Arial" w:hAnsi="Arial"/>
          <w:sz w:val="17"/>
          <w:szCs w:val="17"/>
          <w:b w:val="1"/>
          <w:bCs w:val="1"/>
          <w:color w:val="auto"/>
        </w:rPr>
        <w:t>*</w:t>
      </w:r>
    </w:p>
    <w:p>
      <w:pPr>
        <w:spacing w:after="0" w:line="1" w:lineRule="exact"/>
        <w:rPr>
          <w:rFonts w:ascii="Arial" w:cs="Arial" w:eastAsia="Arial" w:hAnsi="Arial"/>
          <w:sz w:val="34"/>
          <w:szCs w:val="34"/>
          <w:color w:val="auto"/>
          <w:vertAlign w:val="subscript"/>
        </w:rPr>
      </w:pPr>
    </w:p>
    <w:p>
      <w:pPr>
        <w:ind w:left="1040"/>
        <w:spacing w:after="0"/>
        <w:rPr>
          <w:rFonts w:ascii="Arial" w:cs="Arial" w:eastAsia="Arial" w:hAnsi="Arial"/>
          <w:sz w:val="34"/>
          <w:szCs w:val="34"/>
          <w:color w:val="auto"/>
          <w:vertAlign w:val="subscript"/>
        </w:rPr>
      </w:pPr>
      <w:r>
        <w:rPr>
          <w:rFonts w:ascii="Arial" w:cs="Arial" w:eastAsia="Arial" w:hAnsi="Arial"/>
          <w:sz w:val="18"/>
          <w:szCs w:val="18"/>
          <w:color w:val="auto"/>
        </w:rPr>
        <w:t>(a)</w:t>
      </w:r>
    </w:p>
    <w:p>
      <w:pPr>
        <w:spacing w:after="0" w:line="7" w:lineRule="exact"/>
        <w:rPr>
          <w:rFonts w:ascii="Arial" w:cs="Arial" w:eastAsia="Arial" w:hAnsi="Arial"/>
          <w:sz w:val="34"/>
          <w:szCs w:val="34"/>
          <w:color w:val="auto"/>
          <w:vertAlign w:val="subscript"/>
        </w:rPr>
      </w:pPr>
    </w:p>
    <w:p>
      <w:pPr>
        <w:ind w:left="1040"/>
        <w:spacing w:after="0"/>
        <w:rPr>
          <w:rFonts w:ascii="Arial" w:cs="Arial" w:eastAsia="Arial" w:hAnsi="Arial"/>
          <w:sz w:val="34"/>
          <w:szCs w:val="34"/>
          <w:color w:val="auto"/>
          <w:vertAlign w:val="subscript"/>
        </w:rPr>
      </w:pPr>
      <w:r>
        <w:rPr>
          <w:rFonts w:ascii="Arial" w:cs="Arial" w:eastAsia="Arial" w:hAnsi="Arial"/>
          <w:sz w:val="18"/>
          <w:szCs w:val="18"/>
          <w:color w:val="auto"/>
        </w:rPr>
        <w:t>(b)</w:t>
      </w:r>
    </w:p>
    <w:p>
      <w:pPr>
        <w:ind w:left="1040" w:hanging="1019"/>
        <w:spacing w:after="0" w:line="184" w:lineRule="auto"/>
        <w:tabs>
          <w:tab w:leader="none" w:pos="1040" w:val="left"/>
        </w:tabs>
        <w:numPr>
          <w:ilvl w:val="0"/>
          <w:numId w:val="5"/>
        </w:numPr>
        <w:rPr>
          <w:rFonts w:ascii="Arial" w:cs="Arial" w:eastAsia="Arial" w:hAnsi="Arial"/>
          <w:sz w:val="27"/>
          <w:szCs w:val="27"/>
          <w:color w:val="auto"/>
          <w:vertAlign w:val="subscript"/>
        </w:rPr>
      </w:pPr>
      <w:r>
        <w:rPr>
          <w:rFonts w:ascii="Arial" w:cs="Arial" w:eastAsia="Arial" w:hAnsi="Arial"/>
          <w:sz w:val="15"/>
          <w:szCs w:val="15"/>
          <w:color w:val="auto"/>
        </w:rPr>
        <w:t>SEC USE ONLY</w:t>
      </w:r>
    </w:p>
    <w:p>
      <w:pPr>
        <w:spacing w:after="0" w:line="289" w:lineRule="exact"/>
        <w:rPr>
          <w:sz w:val="20"/>
          <w:szCs w:val="20"/>
          <w:color w:val="auto"/>
        </w:rPr>
      </w:pPr>
    </w:p>
    <w:p>
      <w:pPr>
        <w:ind w:left="1040" w:hanging="1019"/>
        <w:spacing w:after="0"/>
        <w:tabs>
          <w:tab w:leader="none" w:pos="1040" w:val="left"/>
        </w:tabs>
        <w:numPr>
          <w:ilvl w:val="0"/>
          <w:numId w:val="6"/>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Delaware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top w:val="single" w:sz="8" w:color="auto"/>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8"/>
                <w:szCs w:val="8"/>
                <w:color w:val="auto"/>
              </w:rPr>
            </w:pPr>
          </w:p>
        </w:tc>
        <w:tc>
          <w:tcPr>
            <w:tcW w:w="8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28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280" w:type="dxa"/>
            <w:vAlign w:val="bottom"/>
            <w:tcBorders>
              <w:right w:val="single" w:sz="8" w:color="auto"/>
            </w:tcBorders>
            <w:vMerge w:val="continue"/>
          </w:tcPr>
          <w:p>
            <w:pPr>
              <w:spacing w:after="0"/>
              <w:rPr>
                <w:sz w:val="13"/>
                <w:szCs w:val="13"/>
                <w:color w:val="auto"/>
              </w:rPr>
            </w:pPr>
          </w:p>
        </w:tc>
        <w:tc>
          <w:tcPr>
            <w:tcW w:w="680" w:type="dxa"/>
            <w:vAlign w:val="bottom"/>
            <w:tcBorders>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6</w:t>
            </w: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vMerge w:val="continue"/>
          </w:tcPr>
          <w:p>
            <w:pPr>
              <w:spacing w:after="0"/>
              <w:rPr>
                <w:sz w:val="11"/>
                <w:szCs w:val="11"/>
                <w:color w:val="auto"/>
              </w:rPr>
            </w:pPr>
          </w:p>
        </w:tc>
        <w:tc>
          <w:tcPr>
            <w:tcW w:w="8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2,641,840*</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7</w:t>
            </w:r>
          </w:p>
        </w:tc>
        <w:tc>
          <w:tcPr>
            <w:tcW w:w="8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0"/>
        </w:trPr>
        <w:tc>
          <w:tcPr>
            <w:tcW w:w="228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8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280" w:type="dxa"/>
            <w:vAlign w:val="bottom"/>
            <w:tcBorders>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8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527"/>
              <w:spacing w:after="0"/>
              <w:rPr>
                <w:sz w:val="20"/>
                <w:szCs w:val="20"/>
                <w:color w:val="auto"/>
              </w:rPr>
            </w:pPr>
            <w:r>
              <w:rPr>
                <w:rFonts w:ascii="Arial" w:cs="Arial" w:eastAsia="Arial" w:hAnsi="Arial"/>
                <w:sz w:val="15"/>
                <w:szCs w:val="15"/>
                <w:color w:val="auto"/>
                <w:w w:val="71"/>
              </w:rPr>
              <w:t>8</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2,641,840*</w:t>
            </w:r>
          </w:p>
        </w:tc>
        <w:tc>
          <w:tcPr>
            <w:tcW w:w="0" w:type="dxa"/>
            <w:vAlign w:val="bottom"/>
          </w:tcPr>
          <w:p>
            <w:pPr>
              <w:spacing w:after="0"/>
              <w:rPr>
                <w:sz w:val="1"/>
                <w:szCs w:val="1"/>
                <w:color w:val="auto"/>
              </w:rPr>
            </w:pPr>
          </w:p>
        </w:tc>
      </w:tr>
      <w:tr>
        <w:trPr>
          <w:trHeight w:val="473"/>
        </w:trPr>
        <w:tc>
          <w:tcPr>
            <w:tcW w:w="22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486" w:right="339" w:bottom="1440" w:gutter="0" w:footer="0" w:header="0"/>
          <w:type w:val="continuous"/>
        </w:sectPr>
      </w:pPr>
    </w:p>
    <w:p>
      <w:pPr>
        <w:spacing w:after="0" w:line="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2,641,840*</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CHECK BOX IF THE AGGREGATE AMOUNT IN ROW (9) EXCLUDES CERTAIN SHARES</w:t>
      </w:r>
      <w:r>
        <w:rPr>
          <w:rFonts w:ascii="Arial" w:cs="Arial" w:eastAsia="Arial" w:hAnsi="Arial"/>
          <w:sz w:val="17"/>
          <w:szCs w:val="17"/>
          <w:b w:val="1"/>
          <w:bCs w:val="1"/>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6.1%*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PN</w:t>
      </w:r>
    </w:p>
    <w:p>
      <w:pPr>
        <w:spacing w:after="0" w:line="200" w:lineRule="exact"/>
        <w:rPr>
          <w:sz w:val="20"/>
          <w:szCs w:val="20"/>
          <w:color w:val="auto"/>
        </w:rPr>
      </w:pPr>
    </w:p>
    <w:p>
      <w:pPr>
        <w:sectPr>
          <w:pgSz w:w="11900" w:h="16838" w:orient="portrait"/>
          <w:cols w:equalWidth="0" w:num="2">
            <w:col w:w="320" w:space="720"/>
            <w:col w:w="10200"/>
          </w:cols>
          <w:pgMar w:left="320" w:top="486" w:right="33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type w:val="continuous"/>
        </w:sectPr>
      </w:pPr>
    </w:p>
    <w:bookmarkStart w:id="2" w:name="page3"/>
    <w:bookmarkEnd w:id="2"/>
    <w:p>
      <w:pPr>
        <w:ind w:left="940"/>
        <w:spacing w:after="0"/>
        <w:rPr>
          <w:sz w:val="20"/>
          <w:szCs w:val="20"/>
          <w:color w:val="auto"/>
        </w:rPr>
      </w:pPr>
      <w:r>
        <w:rPr>
          <w:rFonts w:ascii="Arial" w:cs="Arial" w:eastAsia="Arial" w:hAnsi="Arial"/>
          <w:sz w:val="16"/>
          <w:szCs w:val="16"/>
          <w:b w:val="1"/>
          <w:bCs w:val="1"/>
          <w:color w:val="auto"/>
        </w:rPr>
        <w:t>CUSIP No. 69353Y103</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-164465</wp:posOffset>
            </wp:positionV>
            <wp:extent cx="7132320" cy="639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395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3</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142" w:lineRule="exact"/>
        <w:rPr>
          <w:sz w:val="20"/>
          <w:szCs w:val="20"/>
          <w:color w:val="auto"/>
        </w:rPr>
      </w:pPr>
    </w:p>
    <w:p>
      <w:pPr>
        <w:sectPr>
          <w:pgSz w:w="11900" w:h="16838" w:orient="portrait"/>
          <w:cols w:equalWidth="0" w:num="3">
            <w:col w:w="4700" w:space="720"/>
            <w:col w:w="2540" w:space="720"/>
            <w:col w:w="2560"/>
          </w:cols>
          <w:pgMar w:left="320" w:top="567" w:right="339" w:bottom="1440" w:gutter="0" w:footer="0" w:header="0"/>
        </w:sectPr>
      </w:pPr>
    </w:p>
    <w:p>
      <w:pPr>
        <w:ind w:left="1040" w:hanging="10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 (ENTITIES ONLY)</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Viking Global Opportunities GP LLC</w:t>
      </w:r>
    </w:p>
    <w:p>
      <w:pPr>
        <w:ind w:left="1040" w:hanging="1019"/>
        <w:spacing w:after="0" w:line="180" w:lineRule="auto"/>
        <w:tabs>
          <w:tab w:leader="none" w:pos="1040" w:val="left"/>
        </w:tabs>
        <w:numPr>
          <w:ilvl w:val="0"/>
          <w:numId w:val="8"/>
        </w:numPr>
        <w:rPr>
          <w:rFonts w:ascii="Arial" w:cs="Arial" w:eastAsia="Arial" w:hAnsi="Arial"/>
          <w:sz w:val="34"/>
          <w:szCs w:val="34"/>
          <w:color w:val="auto"/>
          <w:vertAlign w:val="subscript"/>
        </w:rPr>
      </w:pPr>
      <w:r>
        <w:rPr>
          <w:rFonts w:ascii="Arial" w:cs="Arial" w:eastAsia="Arial" w:hAnsi="Arial"/>
          <w:sz w:val="17"/>
          <w:szCs w:val="17"/>
          <w:color w:val="auto"/>
        </w:rPr>
        <w:t>CHECK THE APPROPRIATE BOX IF A MEMBER OF A GROUP</w:t>
      </w:r>
      <w:r>
        <w:rPr>
          <w:rFonts w:ascii="Arial" w:cs="Arial" w:eastAsia="Arial" w:hAnsi="Arial"/>
          <w:sz w:val="17"/>
          <w:szCs w:val="17"/>
          <w:b w:val="1"/>
          <w:bCs w:val="1"/>
          <w:color w:val="auto"/>
        </w:rPr>
        <w:t>*</w:t>
      </w:r>
    </w:p>
    <w:p>
      <w:pPr>
        <w:spacing w:after="0" w:line="1" w:lineRule="exact"/>
        <w:rPr>
          <w:rFonts w:ascii="Arial" w:cs="Arial" w:eastAsia="Arial" w:hAnsi="Arial"/>
          <w:sz w:val="34"/>
          <w:szCs w:val="34"/>
          <w:color w:val="auto"/>
          <w:vertAlign w:val="subscript"/>
        </w:rPr>
      </w:pPr>
    </w:p>
    <w:p>
      <w:pPr>
        <w:ind w:left="1040"/>
        <w:spacing w:after="0"/>
        <w:rPr>
          <w:rFonts w:ascii="Arial" w:cs="Arial" w:eastAsia="Arial" w:hAnsi="Arial"/>
          <w:sz w:val="34"/>
          <w:szCs w:val="34"/>
          <w:color w:val="auto"/>
          <w:vertAlign w:val="subscript"/>
        </w:rPr>
      </w:pPr>
      <w:r>
        <w:rPr>
          <w:rFonts w:ascii="Arial" w:cs="Arial" w:eastAsia="Arial" w:hAnsi="Arial"/>
          <w:sz w:val="18"/>
          <w:szCs w:val="18"/>
          <w:color w:val="auto"/>
        </w:rPr>
        <w:t>(a)</w:t>
      </w:r>
    </w:p>
    <w:p>
      <w:pPr>
        <w:spacing w:after="0" w:line="7" w:lineRule="exact"/>
        <w:rPr>
          <w:rFonts w:ascii="Arial" w:cs="Arial" w:eastAsia="Arial" w:hAnsi="Arial"/>
          <w:sz w:val="34"/>
          <w:szCs w:val="34"/>
          <w:color w:val="auto"/>
          <w:vertAlign w:val="subscript"/>
        </w:rPr>
      </w:pPr>
    </w:p>
    <w:p>
      <w:pPr>
        <w:ind w:left="1040"/>
        <w:spacing w:after="0"/>
        <w:rPr>
          <w:rFonts w:ascii="Arial" w:cs="Arial" w:eastAsia="Arial" w:hAnsi="Arial"/>
          <w:sz w:val="34"/>
          <w:szCs w:val="34"/>
          <w:color w:val="auto"/>
          <w:vertAlign w:val="subscript"/>
        </w:rPr>
      </w:pPr>
      <w:r>
        <w:rPr>
          <w:rFonts w:ascii="Arial" w:cs="Arial" w:eastAsia="Arial" w:hAnsi="Arial"/>
          <w:sz w:val="18"/>
          <w:szCs w:val="18"/>
          <w:color w:val="auto"/>
        </w:rPr>
        <w:t>(b)</w:t>
      </w:r>
    </w:p>
    <w:p>
      <w:pPr>
        <w:ind w:left="1040" w:hanging="1019"/>
        <w:spacing w:after="0" w:line="184" w:lineRule="auto"/>
        <w:tabs>
          <w:tab w:leader="none" w:pos="1040" w:val="left"/>
        </w:tabs>
        <w:numPr>
          <w:ilvl w:val="0"/>
          <w:numId w:val="9"/>
        </w:numPr>
        <w:rPr>
          <w:rFonts w:ascii="Arial" w:cs="Arial" w:eastAsia="Arial" w:hAnsi="Arial"/>
          <w:sz w:val="27"/>
          <w:szCs w:val="27"/>
          <w:color w:val="auto"/>
          <w:vertAlign w:val="subscript"/>
        </w:rPr>
      </w:pPr>
      <w:r>
        <w:rPr>
          <w:rFonts w:ascii="Arial" w:cs="Arial" w:eastAsia="Arial" w:hAnsi="Arial"/>
          <w:sz w:val="15"/>
          <w:szCs w:val="15"/>
          <w:color w:val="auto"/>
        </w:rPr>
        <w:t>SEC USE ONLY</w:t>
      </w:r>
    </w:p>
    <w:p>
      <w:pPr>
        <w:spacing w:after="0" w:line="289" w:lineRule="exact"/>
        <w:rPr>
          <w:sz w:val="20"/>
          <w:szCs w:val="20"/>
          <w:color w:val="auto"/>
        </w:rPr>
      </w:pPr>
    </w:p>
    <w:p>
      <w:pPr>
        <w:ind w:left="1040" w:hanging="1019"/>
        <w:spacing w:after="0"/>
        <w:tabs>
          <w:tab w:leader="none" w:pos="1040" w:val="left"/>
        </w:tabs>
        <w:numPr>
          <w:ilvl w:val="0"/>
          <w:numId w:val="10"/>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Delaware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top w:val="single" w:sz="8" w:color="auto"/>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8"/>
                <w:szCs w:val="8"/>
                <w:color w:val="auto"/>
              </w:rPr>
            </w:pPr>
          </w:p>
        </w:tc>
        <w:tc>
          <w:tcPr>
            <w:tcW w:w="8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28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280" w:type="dxa"/>
            <w:vAlign w:val="bottom"/>
            <w:tcBorders>
              <w:right w:val="single" w:sz="8" w:color="auto"/>
            </w:tcBorders>
            <w:vMerge w:val="continue"/>
          </w:tcPr>
          <w:p>
            <w:pPr>
              <w:spacing w:after="0"/>
              <w:rPr>
                <w:sz w:val="13"/>
                <w:szCs w:val="13"/>
                <w:color w:val="auto"/>
              </w:rPr>
            </w:pPr>
          </w:p>
        </w:tc>
        <w:tc>
          <w:tcPr>
            <w:tcW w:w="680" w:type="dxa"/>
            <w:vAlign w:val="bottom"/>
            <w:tcBorders>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6</w:t>
            </w: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vMerge w:val="continue"/>
          </w:tcPr>
          <w:p>
            <w:pPr>
              <w:spacing w:after="0"/>
              <w:rPr>
                <w:sz w:val="11"/>
                <w:szCs w:val="11"/>
                <w:color w:val="auto"/>
              </w:rPr>
            </w:pPr>
          </w:p>
        </w:tc>
        <w:tc>
          <w:tcPr>
            <w:tcW w:w="8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2,641,840*</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7</w:t>
            </w:r>
          </w:p>
        </w:tc>
        <w:tc>
          <w:tcPr>
            <w:tcW w:w="8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0"/>
        </w:trPr>
        <w:tc>
          <w:tcPr>
            <w:tcW w:w="228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8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280" w:type="dxa"/>
            <w:vAlign w:val="bottom"/>
            <w:tcBorders>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8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527"/>
              <w:spacing w:after="0"/>
              <w:rPr>
                <w:sz w:val="20"/>
                <w:szCs w:val="20"/>
                <w:color w:val="auto"/>
              </w:rPr>
            </w:pPr>
            <w:r>
              <w:rPr>
                <w:rFonts w:ascii="Arial" w:cs="Arial" w:eastAsia="Arial" w:hAnsi="Arial"/>
                <w:sz w:val="15"/>
                <w:szCs w:val="15"/>
                <w:color w:val="auto"/>
                <w:w w:val="71"/>
              </w:rPr>
              <w:t>8</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2,641,840*</w:t>
            </w:r>
          </w:p>
        </w:tc>
        <w:tc>
          <w:tcPr>
            <w:tcW w:w="0" w:type="dxa"/>
            <w:vAlign w:val="bottom"/>
          </w:tcPr>
          <w:p>
            <w:pPr>
              <w:spacing w:after="0"/>
              <w:rPr>
                <w:sz w:val="1"/>
                <w:szCs w:val="1"/>
                <w:color w:val="auto"/>
              </w:rPr>
            </w:pPr>
          </w:p>
        </w:tc>
      </w:tr>
      <w:tr>
        <w:trPr>
          <w:trHeight w:val="256"/>
        </w:trPr>
        <w:tc>
          <w:tcPr>
            <w:tcW w:w="228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8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567" w:right="339" w:bottom="1440" w:gutter="0" w:footer="0" w:header="0"/>
          <w:type w:val="continuous"/>
        </w:sectPr>
      </w:pPr>
    </w:p>
    <w:p>
      <w:pPr>
        <w:spacing w:after="0" w:line="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2,641,840*</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CHECK BOX IF THE AGGREGATE AMOUNT IN ROW (9) EXCLUDES CERTAIN SHARES</w:t>
      </w:r>
      <w:r>
        <w:rPr>
          <w:rFonts w:ascii="Arial" w:cs="Arial" w:eastAsia="Arial" w:hAnsi="Arial"/>
          <w:sz w:val="17"/>
          <w:szCs w:val="17"/>
          <w:b w:val="1"/>
          <w:bCs w:val="1"/>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6.1%*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ectPr>
          <w:pgSz w:w="11900" w:h="16838" w:orient="portrait"/>
          <w:cols w:equalWidth="0" w:num="2">
            <w:col w:w="320" w:space="720"/>
            <w:col w:w="10200"/>
          </w:cols>
          <w:pgMar w:left="320" w:top="567"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type w:val="continuous"/>
        </w:sectPr>
      </w:pPr>
    </w:p>
    <w:bookmarkStart w:id="3" w:name="page4"/>
    <w:bookmarkEnd w:id="3"/>
    <w:p>
      <w:pPr>
        <w:ind w:left="940"/>
        <w:spacing w:after="0"/>
        <w:rPr>
          <w:sz w:val="20"/>
          <w:szCs w:val="20"/>
          <w:color w:val="auto"/>
        </w:rPr>
      </w:pPr>
      <w:r>
        <w:rPr>
          <w:rFonts w:ascii="Arial" w:cs="Arial" w:eastAsia="Arial" w:hAnsi="Arial"/>
          <w:sz w:val="16"/>
          <w:szCs w:val="16"/>
          <w:b w:val="1"/>
          <w:bCs w:val="1"/>
          <w:color w:val="auto"/>
        </w:rPr>
        <w:t>CUSIP No. 69353Y103</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-164465</wp:posOffset>
            </wp:positionV>
            <wp:extent cx="7132320" cy="6257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257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4</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142" w:lineRule="exact"/>
        <w:rPr>
          <w:sz w:val="20"/>
          <w:szCs w:val="20"/>
          <w:color w:val="auto"/>
        </w:rPr>
      </w:pPr>
    </w:p>
    <w:p>
      <w:pPr>
        <w:sectPr>
          <w:pgSz w:w="11900" w:h="16838" w:orient="portrait"/>
          <w:cols w:equalWidth="0" w:num="3">
            <w:col w:w="4700" w:space="720"/>
            <w:col w:w="2540" w:space="720"/>
            <w:col w:w="2560"/>
          </w:cols>
          <w:pgMar w:left="320" w:top="567" w:right="339" w:bottom="1440" w:gutter="0" w:footer="0" w:header="0"/>
        </w:sectPr>
      </w:pPr>
    </w:p>
    <w:p>
      <w:pPr>
        <w:ind w:left="1040" w:hanging="10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 (ENTITIES ONLY)</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Viking Global Opportunities Portfolio GP LLC</w:t>
      </w:r>
    </w:p>
    <w:p>
      <w:pPr>
        <w:ind w:left="1040" w:hanging="1019"/>
        <w:spacing w:after="0" w:line="180" w:lineRule="auto"/>
        <w:tabs>
          <w:tab w:leader="none" w:pos="1040" w:val="left"/>
        </w:tabs>
        <w:numPr>
          <w:ilvl w:val="0"/>
          <w:numId w:val="12"/>
        </w:numPr>
        <w:rPr>
          <w:rFonts w:ascii="Arial" w:cs="Arial" w:eastAsia="Arial" w:hAnsi="Arial"/>
          <w:sz w:val="34"/>
          <w:szCs w:val="34"/>
          <w:color w:val="auto"/>
          <w:vertAlign w:val="subscript"/>
        </w:rPr>
      </w:pPr>
      <w:r>
        <w:rPr>
          <w:rFonts w:ascii="Arial" w:cs="Arial" w:eastAsia="Arial" w:hAnsi="Arial"/>
          <w:sz w:val="17"/>
          <w:szCs w:val="17"/>
          <w:color w:val="auto"/>
        </w:rPr>
        <w:t>CHECK THE APPROPRIATE BOX IF A MEMBER OF A GROUP</w:t>
      </w:r>
      <w:r>
        <w:rPr>
          <w:rFonts w:ascii="Arial" w:cs="Arial" w:eastAsia="Arial" w:hAnsi="Arial"/>
          <w:sz w:val="17"/>
          <w:szCs w:val="17"/>
          <w:b w:val="1"/>
          <w:bCs w:val="1"/>
          <w:color w:val="auto"/>
        </w:rPr>
        <w:t>*</w:t>
      </w:r>
    </w:p>
    <w:p>
      <w:pPr>
        <w:spacing w:after="0" w:line="1" w:lineRule="exact"/>
        <w:rPr>
          <w:rFonts w:ascii="Arial" w:cs="Arial" w:eastAsia="Arial" w:hAnsi="Arial"/>
          <w:sz w:val="34"/>
          <w:szCs w:val="34"/>
          <w:color w:val="auto"/>
          <w:vertAlign w:val="subscript"/>
        </w:rPr>
      </w:pPr>
    </w:p>
    <w:p>
      <w:pPr>
        <w:ind w:left="1040"/>
        <w:spacing w:after="0"/>
        <w:rPr>
          <w:rFonts w:ascii="Arial" w:cs="Arial" w:eastAsia="Arial" w:hAnsi="Arial"/>
          <w:sz w:val="34"/>
          <w:szCs w:val="34"/>
          <w:color w:val="auto"/>
          <w:vertAlign w:val="subscript"/>
        </w:rPr>
      </w:pPr>
      <w:r>
        <w:rPr>
          <w:rFonts w:ascii="Arial" w:cs="Arial" w:eastAsia="Arial" w:hAnsi="Arial"/>
          <w:sz w:val="18"/>
          <w:szCs w:val="18"/>
          <w:color w:val="auto"/>
        </w:rPr>
        <w:t>(a)</w:t>
      </w:r>
    </w:p>
    <w:p>
      <w:pPr>
        <w:spacing w:after="0" w:line="7" w:lineRule="exact"/>
        <w:rPr>
          <w:rFonts w:ascii="Arial" w:cs="Arial" w:eastAsia="Arial" w:hAnsi="Arial"/>
          <w:sz w:val="34"/>
          <w:szCs w:val="34"/>
          <w:color w:val="auto"/>
          <w:vertAlign w:val="subscript"/>
        </w:rPr>
      </w:pPr>
    </w:p>
    <w:p>
      <w:pPr>
        <w:ind w:left="1040"/>
        <w:spacing w:after="0"/>
        <w:rPr>
          <w:rFonts w:ascii="Arial" w:cs="Arial" w:eastAsia="Arial" w:hAnsi="Arial"/>
          <w:sz w:val="34"/>
          <w:szCs w:val="34"/>
          <w:color w:val="auto"/>
          <w:vertAlign w:val="subscript"/>
        </w:rPr>
      </w:pPr>
      <w:r>
        <w:rPr>
          <w:rFonts w:ascii="Arial" w:cs="Arial" w:eastAsia="Arial" w:hAnsi="Arial"/>
          <w:sz w:val="18"/>
          <w:szCs w:val="18"/>
          <w:color w:val="auto"/>
        </w:rPr>
        <w:t>(b)</w:t>
      </w:r>
    </w:p>
    <w:p>
      <w:pPr>
        <w:ind w:left="1040" w:hanging="1019"/>
        <w:spacing w:after="0" w:line="184" w:lineRule="auto"/>
        <w:tabs>
          <w:tab w:leader="none" w:pos="1040" w:val="left"/>
        </w:tabs>
        <w:numPr>
          <w:ilvl w:val="0"/>
          <w:numId w:val="13"/>
        </w:numPr>
        <w:rPr>
          <w:rFonts w:ascii="Arial" w:cs="Arial" w:eastAsia="Arial" w:hAnsi="Arial"/>
          <w:sz w:val="27"/>
          <w:szCs w:val="27"/>
          <w:color w:val="auto"/>
          <w:vertAlign w:val="subscript"/>
        </w:rPr>
      </w:pPr>
      <w:r>
        <w:rPr>
          <w:rFonts w:ascii="Arial" w:cs="Arial" w:eastAsia="Arial" w:hAnsi="Arial"/>
          <w:sz w:val="15"/>
          <w:szCs w:val="15"/>
          <w:color w:val="auto"/>
        </w:rPr>
        <w:t>SEC USE ONLY</w:t>
      </w:r>
    </w:p>
    <w:p>
      <w:pPr>
        <w:spacing w:after="0" w:line="289" w:lineRule="exact"/>
        <w:rPr>
          <w:sz w:val="20"/>
          <w:szCs w:val="20"/>
          <w:color w:val="auto"/>
        </w:rPr>
      </w:pPr>
    </w:p>
    <w:p>
      <w:pPr>
        <w:ind w:left="1040" w:hanging="1019"/>
        <w:spacing w:after="0"/>
        <w:tabs>
          <w:tab w:leader="none" w:pos="1040" w:val="left"/>
        </w:tabs>
        <w:numPr>
          <w:ilvl w:val="0"/>
          <w:numId w:val="14"/>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Delaware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top w:val="single" w:sz="8" w:color="auto"/>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8"/>
                <w:szCs w:val="8"/>
                <w:color w:val="auto"/>
              </w:rPr>
            </w:pPr>
          </w:p>
        </w:tc>
        <w:tc>
          <w:tcPr>
            <w:tcW w:w="8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28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280" w:type="dxa"/>
            <w:vAlign w:val="bottom"/>
            <w:tcBorders>
              <w:right w:val="single" w:sz="8" w:color="auto"/>
            </w:tcBorders>
            <w:vMerge w:val="continue"/>
          </w:tcPr>
          <w:p>
            <w:pPr>
              <w:spacing w:after="0"/>
              <w:rPr>
                <w:sz w:val="13"/>
                <w:szCs w:val="13"/>
                <w:color w:val="auto"/>
              </w:rPr>
            </w:pPr>
          </w:p>
        </w:tc>
        <w:tc>
          <w:tcPr>
            <w:tcW w:w="680" w:type="dxa"/>
            <w:vAlign w:val="bottom"/>
            <w:tcBorders>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6</w:t>
            </w: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vMerge w:val="continue"/>
          </w:tcPr>
          <w:p>
            <w:pPr>
              <w:spacing w:after="0"/>
              <w:rPr>
                <w:sz w:val="11"/>
                <w:szCs w:val="11"/>
                <w:color w:val="auto"/>
              </w:rPr>
            </w:pPr>
          </w:p>
        </w:tc>
        <w:tc>
          <w:tcPr>
            <w:tcW w:w="8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2,641,840*</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7</w:t>
            </w:r>
          </w:p>
        </w:tc>
        <w:tc>
          <w:tcPr>
            <w:tcW w:w="8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0"/>
        </w:trPr>
        <w:tc>
          <w:tcPr>
            <w:tcW w:w="228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8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280" w:type="dxa"/>
            <w:vAlign w:val="bottom"/>
            <w:tcBorders>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8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527"/>
              <w:spacing w:after="0"/>
              <w:rPr>
                <w:sz w:val="20"/>
                <w:szCs w:val="20"/>
                <w:color w:val="auto"/>
              </w:rPr>
            </w:pPr>
            <w:r>
              <w:rPr>
                <w:rFonts w:ascii="Arial" w:cs="Arial" w:eastAsia="Arial" w:hAnsi="Arial"/>
                <w:sz w:val="15"/>
                <w:szCs w:val="15"/>
                <w:color w:val="auto"/>
                <w:w w:val="71"/>
              </w:rPr>
              <w:t>8</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2,641,840*</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ind w:left="1040" w:right="3660" w:hanging="1019"/>
        <w:spacing w:after="0" w:line="298" w:lineRule="auto"/>
        <w:tabs>
          <w:tab w:leader="none" w:pos="1040" w:val="left"/>
        </w:tabs>
        <w:numPr>
          <w:ilvl w:val="0"/>
          <w:numId w:val="15"/>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 2,641,840*</w:t>
      </w:r>
    </w:p>
    <w:p>
      <w:pPr>
        <w:ind w:left="1040" w:hanging="1019"/>
        <w:spacing w:after="0" w:line="226" w:lineRule="auto"/>
        <w:tabs>
          <w:tab w:leader="none" w:pos="1040" w:val="left"/>
        </w:tabs>
        <w:numPr>
          <w:ilvl w:val="1"/>
          <w:numId w:val="16"/>
        </w:numPr>
        <w:rPr>
          <w:rFonts w:ascii="Arial" w:cs="Arial" w:eastAsia="Arial" w:hAnsi="Arial"/>
          <w:sz w:val="36"/>
          <w:szCs w:val="36"/>
          <w:color w:val="auto"/>
          <w:vertAlign w:val="subscript"/>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p>
      <w:pPr>
        <w:spacing w:after="0" w:line="255" w:lineRule="exact"/>
        <w:rPr>
          <w:rFonts w:ascii="Arial" w:cs="Arial" w:eastAsia="Arial" w:hAnsi="Arial"/>
          <w:sz w:val="36"/>
          <w:szCs w:val="36"/>
          <w:color w:val="auto"/>
          <w:vertAlign w:val="subscript"/>
        </w:rPr>
      </w:pPr>
    </w:p>
    <w:p>
      <w:pPr>
        <w:ind w:left="1040" w:right="5260" w:hanging="1019"/>
        <w:spacing w:after="0" w:line="303" w:lineRule="auto"/>
        <w:tabs>
          <w:tab w:leader="none" w:pos="1040" w:val="left"/>
        </w:tabs>
        <w:numPr>
          <w:ilvl w:val="1"/>
          <w:numId w:val="16"/>
        </w:numPr>
        <w:rPr>
          <w:rFonts w:ascii="Arial" w:cs="Arial" w:eastAsia="Arial" w:hAnsi="Arial"/>
          <w:sz w:val="36"/>
          <w:szCs w:val="36"/>
          <w:color w:val="auto"/>
          <w:vertAlign w:val="subscript"/>
        </w:rPr>
      </w:pPr>
      <w:r>
        <w:rPr>
          <w:rFonts w:ascii="Arial" w:cs="Arial" w:eastAsia="Arial" w:hAnsi="Arial"/>
          <w:sz w:val="18"/>
          <w:szCs w:val="18"/>
          <w:color w:val="auto"/>
        </w:rPr>
        <w:t>PERCENT OF CLASS REPRESENTED BY AMOUNT IN ROW 9 6.1%*</w:t>
      </w:r>
    </w:p>
    <w:p>
      <w:pPr>
        <w:spacing w:after="0" w:line="161" w:lineRule="exact"/>
        <w:rPr>
          <w:rFonts w:ascii="Arial" w:cs="Arial" w:eastAsia="Arial" w:hAnsi="Arial"/>
          <w:sz w:val="36"/>
          <w:szCs w:val="36"/>
          <w:color w:val="auto"/>
          <w:vertAlign w:val="subscript"/>
        </w:rPr>
      </w:pPr>
    </w:p>
    <w:p>
      <w:pPr>
        <w:ind w:left="1040" w:right="7700" w:hanging="1019"/>
        <w:spacing w:after="0" w:line="350" w:lineRule="auto"/>
        <w:tabs>
          <w:tab w:leader="none" w:pos="1040" w:val="left"/>
        </w:tabs>
        <w:numPr>
          <w:ilvl w:val="1"/>
          <w:numId w:val="16"/>
        </w:numPr>
        <w:rPr>
          <w:rFonts w:ascii="Arial" w:cs="Arial" w:eastAsia="Arial" w:hAnsi="Arial"/>
          <w:sz w:val="36"/>
          <w:szCs w:val="36"/>
          <w:color w:val="auto"/>
          <w:vertAlign w:val="subscript"/>
        </w:rPr>
      </w:pPr>
      <w:r>
        <w:rPr>
          <w:rFonts w:ascii="Arial" w:cs="Arial" w:eastAsia="Arial" w:hAnsi="Arial"/>
          <w:sz w:val="18"/>
          <w:szCs w:val="18"/>
          <w:color w:val="auto"/>
        </w:rPr>
        <w:t>TYPE OF REPORTING PERSON OO</w:t>
      </w:r>
    </w:p>
    <w:p>
      <w:pPr>
        <w:spacing w:after="0" w:line="52" w:lineRule="exact"/>
        <w:rPr>
          <w:rFonts w:ascii="Arial" w:cs="Arial" w:eastAsia="Arial" w:hAnsi="Arial"/>
          <w:sz w:val="36"/>
          <w:szCs w:val="36"/>
          <w:color w:val="auto"/>
          <w:vertAlign w:val="subscript"/>
        </w:rPr>
      </w:pPr>
    </w:p>
    <w:p>
      <w:pPr>
        <w:spacing w:after="0"/>
        <w:rPr>
          <w:rFonts w:ascii="Arial" w:cs="Arial" w:eastAsia="Arial" w:hAnsi="Arial"/>
          <w:sz w:val="36"/>
          <w:szCs w:val="36"/>
          <w:color w:val="auto"/>
          <w:vertAlign w:val="subscript"/>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type w:val="continuous"/>
        </w:sectPr>
      </w:pPr>
    </w:p>
    <w:bookmarkStart w:id="4" w:name="page5"/>
    <w:bookmarkEnd w:id="4"/>
    <w:p>
      <w:pPr>
        <w:ind w:left="940"/>
        <w:spacing w:after="0"/>
        <w:rPr>
          <w:sz w:val="20"/>
          <w:szCs w:val="20"/>
          <w:color w:val="auto"/>
        </w:rPr>
      </w:pPr>
      <w:r>
        <w:rPr>
          <w:rFonts w:ascii="Arial" w:cs="Arial" w:eastAsia="Arial" w:hAnsi="Arial"/>
          <w:sz w:val="16"/>
          <w:szCs w:val="16"/>
          <w:b w:val="1"/>
          <w:bCs w:val="1"/>
          <w:color w:val="auto"/>
        </w:rPr>
        <w:t>CUSIP No. 69353Y103</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-164465</wp:posOffset>
            </wp:positionV>
            <wp:extent cx="7132320" cy="6532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5</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142" w:lineRule="exact"/>
        <w:rPr>
          <w:sz w:val="20"/>
          <w:szCs w:val="20"/>
          <w:color w:val="auto"/>
        </w:rPr>
      </w:pPr>
    </w:p>
    <w:p>
      <w:pPr>
        <w:sectPr>
          <w:pgSz w:w="11900" w:h="16838" w:orient="portrait"/>
          <w:cols w:equalWidth="0" w:num="3">
            <w:col w:w="4700" w:space="720"/>
            <w:col w:w="2540" w:space="720"/>
            <w:col w:w="2560"/>
          </w:cols>
          <w:pgMar w:left="320" w:top="567" w:right="339" w:bottom="1440" w:gutter="0" w:footer="0" w:header="0"/>
        </w:sectPr>
      </w:pPr>
    </w:p>
    <w:p>
      <w:pPr>
        <w:ind w:left="1040" w:hanging="10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 (ENTITIES ONLY)</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Viking Global Opportunities Liquid Portfolio Sub-Master LP</w:t>
      </w:r>
    </w:p>
    <w:p>
      <w:pPr>
        <w:ind w:left="1040" w:hanging="1019"/>
        <w:spacing w:after="0" w:line="180" w:lineRule="auto"/>
        <w:tabs>
          <w:tab w:leader="none" w:pos="1040" w:val="left"/>
        </w:tabs>
        <w:numPr>
          <w:ilvl w:val="0"/>
          <w:numId w:val="18"/>
        </w:numPr>
        <w:rPr>
          <w:rFonts w:ascii="Arial" w:cs="Arial" w:eastAsia="Arial" w:hAnsi="Arial"/>
          <w:sz w:val="34"/>
          <w:szCs w:val="34"/>
          <w:color w:val="auto"/>
          <w:vertAlign w:val="subscript"/>
        </w:rPr>
      </w:pPr>
      <w:r>
        <w:rPr>
          <w:rFonts w:ascii="Arial" w:cs="Arial" w:eastAsia="Arial" w:hAnsi="Arial"/>
          <w:sz w:val="17"/>
          <w:szCs w:val="17"/>
          <w:color w:val="auto"/>
        </w:rPr>
        <w:t>CHECK THE APPROPRIATE BOX IF A MEMBER OF A GROUP</w:t>
      </w:r>
      <w:r>
        <w:rPr>
          <w:rFonts w:ascii="Arial" w:cs="Arial" w:eastAsia="Arial" w:hAnsi="Arial"/>
          <w:sz w:val="17"/>
          <w:szCs w:val="17"/>
          <w:b w:val="1"/>
          <w:bCs w:val="1"/>
          <w:color w:val="auto"/>
        </w:rPr>
        <w:t>*</w:t>
      </w:r>
    </w:p>
    <w:p>
      <w:pPr>
        <w:spacing w:after="0" w:line="1" w:lineRule="exact"/>
        <w:rPr>
          <w:rFonts w:ascii="Arial" w:cs="Arial" w:eastAsia="Arial" w:hAnsi="Arial"/>
          <w:sz w:val="34"/>
          <w:szCs w:val="34"/>
          <w:color w:val="auto"/>
          <w:vertAlign w:val="subscript"/>
        </w:rPr>
      </w:pPr>
    </w:p>
    <w:p>
      <w:pPr>
        <w:ind w:left="1040"/>
        <w:spacing w:after="0"/>
        <w:rPr>
          <w:rFonts w:ascii="Arial" w:cs="Arial" w:eastAsia="Arial" w:hAnsi="Arial"/>
          <w:sz w:val="34"/>
          <w:szCs w:val="34"/>
          <w:color w:val="auto"/>
          <w:vertAlign w:val="subscript"/>
        </w:rPr>
      </w:pPr>
      <w:r>
        <w:rPr>
          <w:rFonts w:ascii="Arial" w:cs="Arial" w:eastAsia="Arial" w:hAnsi="Arial"/>
          <w:sz w:val="18"/>
          <w:szCs w:val="18"/>
          <w:color w:val="auto"/>
        </w:rPr>
        <w:t>(a)</w:t>
      </w:r>
    </w:p>
    <w:p>
      <w:pPr>
        <w:spacing w:after="0" w:line="7" w:lineRule="exact"/>
        <w:rPr>
          <w:rFonts w:ascii="Arial" w:cs="Arial" w:eastAsia="Arial" w:hAnsi="Arial"/>
          <w:sz w:val="34"/>
          <w:szCs w:val="34"/>
          <w:color w:val="auto"/>
          <w:vertAlign w:val="subscript"/>
        </w:rPr>
      </w:pPr>
    </w:p>
    <w:p>
      <w:pPr>
        <w:ind w:left="1040"/>
        <w:spacing w:after="0"/>
        <w:rPr>
          <w:rFonts w:ascii="Arial" w:cs="Arial" w:eastAsia="Arial" w:hAnsi="Arial"/>
          <w:sz w:val="34"/>
          <w:szCs w:val="34"/>
          <w:color w:val="auto"/>
          <w:vertAlign w:val="subscript"/>
        </w:rPr>
      </w:pPr>
      <w:r>
        <w:rPr>
          <w:rFonts w:ascii="Arial" w:cs="Arial" w:eastAsia="Arial" w:hAnsi="Arial"/>
          <w:sz w:val="18"/>
          <w:szCs w:val="18"/>
          <w:color w:val="auto"/>
        </w:rPr>
        <w:t>(b)</w:t>
      </w:r>
    </w:p>
    <w:p>
      <w:pPr>
        <w:ind w:left="1040" w:hanging="1019"/>
        <w:spacing w:after="0" w:line="184" w:lineRule="auto"/>
        <w:tabs>
          <w:tab w:leader="none" w:pos="1040" w:val="left"/>
        </w:tabs>
        <w:numPr>
          <w:ilvl w:val="0"/>
          <w:numId w:val="19"/>
        </w:numPr>
        <w:rPr>
          <w:rFonts w:ascii="Arial" w:cs="Arial" w:eastAsia="Arial" w:hAnsi="Arial"/>
          <w:sz w:val="27"/>
          <w:szCs w:val="27"/>
          <w:color w:val="auto"/>
          <w:vertAlign w:val="subscript"/>
        </w:rPr>
      </w:pPr>
      <w:r>
        <w:rPr>
          <w:rFonts w:ascii="Arial" w:cs="Arial" w:eastAsia="Arial" w:hAnsi="Arial"/>
          <w:sz w:val="15"/>
          <w:szCs w:val="15"/>
          <w:color w:val="auto"/>
        </w:rPr>
        <w:t>SEC USE ONLY</w:t>
      </w:r>
    </w:p>
    <w:p>
      <w:pPr>
        <w:spacing w:after="0" w:line="289" w:lineRule="exact"/>
        <w:rPr>
          <w:sz w:val="20"/>
          <w:szCs w:val="20"/>
          <w:color w:val="auto"/>
        </w:rPr>
      </w:pPr>
    </w:p>
    <w:p>
      <w:pPr>
        <w:ind w:left="1040" w:hanging="1019"/>
        <w:spacing w:after="0"/>
        <w:tabs>
          <w:tab w:leader="none" w:pos="1040" w:val="left"/>
        </w:tabs>
        <w:numPr>
          <w:ilvl w:val="0"/>
          <w:numId w:val="20"/>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Cayman Islands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top w:val="single" w:sz="8" w:color="auto"/>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8"/>
                <w:szCs w:val="8"/>
                <w:color w:val="auto"/>
              </w:rPr>
            </w:pPr>
          </w:p>
        </w:tc>
        <w:tc>
          <w:tcPr>
            <w:tcW w:w="8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28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280" w:type="dxa"/>
            <w:vAlign w:val="bottom"/>
            <w:tcBorders>
              <w:right w:val="single" w:sz="8" w:color="auto"/>
            </w:tcBorders>
            <w:vMerge w:val="continue"/>
          </w:tcPr>
          <w:p>
            <w:pPr>
              <w:spacing w:after="0"/>
              <w:rPr>
                <w:sz w:val="13"/>
                <w:szCs w:val="13"/>
                <w:color w:val="auto"/>
              </w:rPr>
            </w:pPr>
          </w:p>
        </w:tc>
        <w:tc>
          <w:tcPr>
            <w:tcW w:w="680" w:type="dxa"/>
            <w:vAlign w:val="bottom"/>
            <w:tcBorders>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6</w:t>
            </w: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vMerge w:val="continue"/>
          </w:tcPr>
          <w:p>
            <w:pPr>
              <w:spacing w:after="0"/>
              <w:rPr>
                <w:sz w:val="11"/>
                <w:szCs w:val="11"/>
                <w:color w:val="auto"/>
              </w:rPr>
            </w:pPr>
          </w:p>
        </w:tc>
        <w:tc>
          <w:tcPr>
            <w:tcW w:w="8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555,556*</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7</w:t>
            </w:r>
          </w:p>
        </w:tc>
        <w:tc>
          <w:tcPr>
            <w:tcW w:w="8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0"/>
        </w:trPr>
        <w:tc>
          <w:tcPr>
            <w:tcW w:w="228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8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280" w:type="dxa"/>
            <w:vAlign w:val="bottom"/>
            <w:tcBorders>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8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527"/>
              <w:spacing w:after="0"/>
              <w:rPr>
                <w:sz w:val="20"/>
                <w:szCs w:val="20"/>
                <w:color w:val="auto"/>
              </w:rPr>
            </w:pPr>
            <w:r>
              <w:rPr>
                <w:rFonts w:ascii="Arial" w:cs="Arial" w:eastAsia="Arial" w:hAnsi="Arial"/>
                <w:sz w:val="15"/>
                <w:szCs w:val="15"/>
                <w:color w:val="auto"/>
                <w:w w:val="71"/>
              </w:rPr>
              <w:t>8</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555,556*</w:t>
            </w:r>
          </w:p>
        </w:tc>
        <w:tc>
          <w:tcPr>
            <w:tcW w:w="0" w:type="dxa"/>
            <w:vAlign w:val="bottom"/>
          </w:tcPr>
          <w:p>
            <w:pPr>
              <w:spacing w:after="0"/>
              <w:rPr>
                <w:sz w:val="1"/>
                <w:szCs w:val="1"/>
                <w:color w:val="auto"/>
              </w:rPr>
            </w:pPr>
          </w:p>
        </w:tc>
      </w:tr>
      <w:tr>
        <w:trPr>
          <w:trHeight w:val="473"/>
        </w:trPr>
        <w:tc>
          <w:tcPr>
            <w:tcW w:w="22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567" w:right="339" w:bottom="1440" w:gutter="0" w:footer="0" w:header="0"/>
          <w:type w:val="continuous"/>
        </w:sectPr>
      </w:pPr>
    </w:p>
    <w:p>
      <w:pPr>
        <w:spacing w:after="0" w:line="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555,556*</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CHECK BOX IF THE AGGREGATE AMOUNT IN ROW (9) EXCLUDES CERTAIN SHARES</w:t>
      </w:r>
      <w:r>
        <w:rPr>
          <w:rFonts w:ascii="Arial" w:cs="Arial" w:eastAsia="Arial" w:hAnsi="Arial"/>
          <w:sz w:val="17"/>
          <w:szCs w:val="17"/>
          <w:b w:val="1"/>
          <w:bCs w:val="1"/>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PN</w:t>
      </w:r>
    </w:p>
    <w:p>
      <w:pPr>
        <w:spacing w:after="0" w:line="200" w:lineRule="exact"/>
        <w:rPr>
          <w:sz w:val="20"/>
          <w:szCs w:val="20"/>
          <w:color w:val="auto"/>
        </w:rPr>
      </w:pPr>
    </w:p>
    <w:p>
      <w:pPr>
        <w:sectPr>
          <w:pgSz w:w="11900" w:h="16838" w:orient="portrait"/>
          <w:cols w:equalWidth="0" w:num="2">
            <w:col w:w="320" w:space="720"/>
            <w:col w:w="10200"/>
          </w:cols>
          <w:pgMar w:left="320" w:top="567"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type w:val="continuous"/>
        </w:sectPr>
      </w:pPr>
    </w:p>
    <w:bookmarkStart w:id="5" w:name="page6"/>
    <w:bookmarkEnd w:id="5"/>
    <w:p>
      <w:pPr>
        <w:ind w:left="940"/>
        <w:spacing w:after="0"/>
        <w:rPr>
          <w:sz w:val="20"/>
          <w:szCs w:val="20"/>
          <w:color w:val="auto"/>
        </w:rPr>
      </w:pPr>
      <w:r>
        <w:rPr>
          <w:rFonts w:ascii="Arial" w:cs="Arial" w:eastAsia="Arial" w:hAnsi="Arial"/>
          <w:sz w:val="16"/>
          <w:szCs w:val="16"/>
          <w:b w:val="1"/>
          <w:bCs w:val="1"/>
          <w:color w:val="auto"/>
        </w:rPr>
        <w:t>CUSIP No. 69353Y103</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-164465</wp:posOffset>
            </wp:positionV>
            <wp:extent cx="7132320" cy="5674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749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6</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142" w:lineRule="exact"/>
        <w:rPr>
          <w:sz w:val="20"/>
          <w:szCs w:val="20"/>
          <w:color w:val="auto"/>
        </w:rPr>
      </w:pPr>
    </w:p>
    <w:p>
      <w:pPr>
        <w:sectPr>
          <w:pgSz w:w="11900" w:h="16838" w:orient="portrait"/>
          <w:cols w:equalWidth="0" w:num="3">
            <w:col w:w="4700" w:space="720"/>
            <w:col w:w="2540" w:space="720"/>
            <w:col w:w="2560"/>
          </w:cols>
          <w:pgMar w:left="320" w:top="567" w:right="339" w:bottom="1440" w:gutter="0" w:footer="0" w:header="0"/>
        </w:sectPr>
      </w:pPr>
    </w:p>
    <w:p>
      <w:pPr>
        <w:ind w:left="1040" w:hanging="10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Viking Global Opportunities Illiquid Investments Sub-Master LP</w:t>
      </w:r>
    </w:p>
    <w:p>
      <w:pPr>
        <w:ind w:left="1040" w:hanging="1019"/>
        <w:spacing w:after="0" w:line="180" w:lineRule="auto"/>
        <w:tabs>
          <w:tab w:leader="none" w:pos="1040" w:val="left"/>
        </w:tabs>
        <w:numPr>
          <w:ilvl w:val="0"/>
          <w:numId w:val="22"/>
        </w:numPr>
        <w:rPr>
          <w:rFonts w:ascii="Arial" w:cs="Arial" w:eastAsia="Arial" w:hAnsi="Arial"/>
          <w:sz w:val="34"/>
          <w:szCs w:val="34"/>
          <w:color w:val="auto"/>
          <w:vertAlign w:val="subscript"/>
        </w:rPr>
      </w:pPr>
      <w:r>
        <w:rPr>
          <w:rFonts w:ascii="Arial" w:cs="Arial" w:eastAsia="Arial" w:hAnsi="Arial"/>
          <w:sz w:val="17"/>
          <w:szCs w:val="17"/>
          <w:color w:val="auto"/>
        </w:rPr>
        <w:t>CHECK THE APPROPRIATE BOX IF A MEMBER OF A GROUP</w:t>
      </w:r>
      <w:r>
        <w:rPr>
          <w:rFonts w:ascii="Arial" w:cs="Arial" w:eastAsia="Arial" w:hAnsi="Arial"/>
          <w:sz w:val="17"/>
          <w:szCs w:val="17"/>
          <w:b w:val="1"/>
          <w:bCs w:val="1"/>
          <w:color w:val="auto"/>
        </w:rPr>
        <w:t>*</w:t>
      </w:r>
    </w:p>
    <w:p>
      <w:pPr>
        <w:spacing w:after="0" w:line="1" w:lineRule="exact"/>
        <w:rPr>
          <w:rFonts w:ascii="Arial" w:cs="Arial" w:eastAsia="Arial" w:hAnsi="Arial"/>
          <w:sz w:val="34"/>
          <w:szCs w:val="34"/>
          <w:color w:val="auto"/>
          <w:vertAlign w:val="subscript"/>
        </w:rPr>
      </w:pPr>
    </w:p>
    <w:p>
      <w:pPr>
        <w:ind w:left="1040"/>
        <w:spacing w:after="0"/>
        <w:rPr>
          <w:rFonts w:ascii="Arial" w:cs="Arial" w:eastAsia="Arial" w:hAnsi="Arial"/>
          <w:sz w:val="34"/>
          <w:szCs w:val="34"/>
          <w:color w:val="auto"/>
          <w:vertAlign w:val="subscript"/>
        </w:rPr>
      </w:pPr>
      <w:r>
        <w:rPr>
          <w:rFonts w:ascii="Arial" w:cs="Arial" w:eastAsia="Arial" w:hAnsi="Arial"/>
          <w:sz w:val="18"/>
          <w:szCs w:val="18"/>
          <w:color w:val="auto"/>
        </w:rPr>
        <w:t>(a)</w:t>
      </w:r>
    </w:p>
    <w:p>
      <w:pPr>
        <w:spacing w:after="0" w:line="7" w:lineRule="exact"/>
        <w:rPr>
          <w:rFonts w:ascii="Arial" w:cs="Arial" w:eastAsia="Arial" w:hAnsi="Arial"/>
          <w:sz w:val="34"/>
          <w:szCs w:val="34"/>
          <w:color w:val="auto"/>
          <w:vertAlign w:val="subscript"/>
        </w:rPr>
      </w:pPr>
    </w:p>
    <w:p>
      <w:pPr>
        <w:ind w:left="1040"/>
        <w:spacing w:after="0"/>
        <w:rPr>
          <w:rFonts w:ascii="Arial" w:cs="Arial" w:eastAsia="Arial" w:hAnsi="Arial"/>
          <w:sz w:val="34"/>
          <w:szCs w:val="34"/>
          <w:color w:val="auto"/>
          <w:vertAlign w:val="subscript"/>
        </w:rPr>
      </w:pPr>
      <w:r>
        <w:rPr>
          <w:rFonts w:ascii="Arial" w:cs="Arial" w:eastAsia="Arial" w:hAnsi="Arial"/>
          <w:sz w:val="18"/>
          <w:szCs w:val="18"/>
          <w:color w:val="auto"/>
        </w:rPr>
        <w:t>(b)</w:t>
      </w:r>
    </w:p>
    <w:p>
      <w:pPr>
        <w:ind w:left="1040" w:hanging="1019"/>
        <w:spacing w:after="0" w:line="184" w:lineRule="auto"/>
        <w:tabs>
          <w:tab w:leader="none" w:pos="1040" w:val="left"/>
        </w:tabs>
        <w:numPr>
          <w:ilvl w:val="0"/>
          <w:numId w:val="23"/>
        </w:numPr>
        <w:rPr>
          <w:rFonts w:ascii="Arial" w:cs="Arial" w:eastAsia="Arial" w:hAnsi="Arial"/>
          <w:sz w:val="27"/>
          <w:szCs w:val="27"/>
          <w:color w:val="auto"/>
          <w:vertAlign w:val="subscript"/>
        </w:rPr>
      </w:pPr>
      <w:r>
        <w:rPr>
          <w:rFonts w:ascii="Arial" w:cs="Arial" w:eastAsia="Arial" w:hAnsi="Arial"/>
          <w:sz w:val="15"/>
          <w:szCs w:val="15"/>
          <w:color w:val="auto"/>
        </w:rPr>
        <w:t>SEC USE ONLY</w:t>
      </w:r>
    </w:p>
    <w:p>
      <w:pPr>
        <w:spacing w:after="0" w:line="289" w:lineRule="exact"/>
        <w:rPr>
          <w:sz w:val="20"/>
          <w:szCs w:val="20"/>
          <w:color w:val="auto"/>
        </w:rPr>
      </w:pPr>
    </w:p>
    <w:p>
      <w:pPr>
        <w:ind w:left="1040" w:hanging="1019"/>
        <w:spacing w:after="0"/>
        <w:tabs>
          <w:tab w:leader="none" w:pos="1040" w:val="left"/>
        </w:tabs>
        <w:numPr>
          <w:ilvl w:val="0"/>
          <w:numId w:val="24"/>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Cayman Islands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8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
        </w:trPr>
        <w:tc>
          <w:tcPr>
            <w:tcW w:w="2280" w:type="dxa"/>
            <w:vAlign w:val="bottom"/>
            <w:tcBorders>
              <w:right w:val="single" w:sz="8" w:color="auto"/>
            </w:tcBorders>
            <w:vMerge w:val="continue"/>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jc w:val="right"/>
              <w:ind w:right="527"/>
              <w:spacing w:after="0"/>
              <w:rPr>
                <w:sz w:val="20"/>
                <w:szCs w:val="20"/>
                <w:color w:val="auto"/>
              </w:rPr>
            </w:pPr>
            <w:r>
              <w:rPr>
                <w:rFonts w:ascii="Arial" w:cs="Arial" w:eastAsia="Arial" w:hAnsi="Arial"/>
                <w:sz w:val="15"/>
                <w:szCs w:val="15"/>
                <w:color w:val="auto"/>
                <w:w w:val="71"/>
              </w:rPr>
              <w:t>6</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2,086,284*</w:t>
            </w: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9"/>
                <w:szCs w:val="9"/>
                <w:color w:val="auto"/>
              </w:rPr>
            </w:pPr>
          </w:p>
        </w:tc>
        <w:tc>
          <w:tcPr>
            <w:tcW w:w="82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vMerge w:val="continue"/>
          </w:tcPr>
          <w:p>
            <w:pPr>
              <w:spacing w:after="0"/>
              <w:rPr>
                <w:sz w:val="19"/>
                <w:szCs w:val="19"/>
                <w:color w:val="auto"/>
              </w:rPr>
            </w:pPr>
          </w:p>
        </w:tc>
        <w:tc>
          <w:tcPr>
            <w:tcW w:w="680" w:type="dxa"/>
            <w:vAlign w:val="bottom"/>
            <w:tcBorders>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7</w:t>
            </w:r>
          </w:p>
        </w:tc>
        <w:tc>
          <w:tcPr>
            <w:tcW w:w="8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28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5"/>
                <w:szCs w:val="15"/>
                <w:color w:val="auto"/>
              </w:rPr>
            </w:pPr>
          </w:p>
        </w:tc>
        <w:tc>
          <w:tcPr>
            <w:tcW w:w="8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280" w:type="dxa"/>
            <w:vAlign w:val="bottom"/>
            <w:tcBorders>
              <w:right w:val="single" w:sz="8" w:color="auto"/>
            </w:tcBorders>
            <w:vMerge w:val="continue"/>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2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8</w:t>
            </w: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9"/>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vMerge w:val="continue"/>
          </w:tcPr>
          <w:p>
            <w:pPr>
              <w:spacing w:after="0"/>
              <w:rPr>
                <w:sz w:val="19"/>
                <w:szCs w:val="19"/>
                <w:color w:val="auto"/>
              </w:rPr>
            </w:pPr>
          </w:p>
        </w:tc>
        <w:tc>
          <w:tcPr>
            <w:tcW w:w="8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2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2,086,284*</w:t>
            </w:r>
          </w:p>
        </w:tc>
        <w:tc>
          <w:tcPr>
            <w:tcW w:w="0" w:type="dxa"/>
            <w:vAlign w:val="bottom"/>
          </w:tcPr>
          <w:p>
            <w:pPr>
              <w:spacing w:after="0"/>
              <w:rPr>
                <w:sz w:val="1"/>
                <w:szCs w:val="1"/>
                <w:color w:val="auto"/>
              </w:rPr>
            </w:pPr>
          </w:p>
        </w:tc>
      </w:tr>
      <w:tr>
        <w:trPr>
          <w:trHeight w:val="68"/>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ind w:left="1040" w:hanging="1019"/>
        <w:spacing w:after="0" w:line="180" w:lineRule="auto"/>
        <w:tabs>
          <w:tab w:leader="none" w:pos="1040" w:val="left"/>
        </w:tabs>
        <w:numPr>
          <w:ilvl w:val="0"/>
          <w:numId w:val="25"/>
        </w:numPr>
        <w:rPr>
          <w:rFonts w:ascii="Arial" w:cs="Arial" w:eastAsia="Arial" w:hAnsi="Arial"/>
          <w:sz w:val="25"/>
          <w:szCs w:val="25"/>
          <w:color w:val="auto"/>
          <w:vertAlign w:val="subscript"/>
        </w:rPr>
      </w:pPr>
      <w:r>
        <w:rPr>
          <w:rFonts w:ascii="Arial" w:cs="Arial" w:eastAsia="Arial" w:hAnsi="Arial"/>
          <w:sz w:val="14"/>
          <w:szCs w:val="14"/>
          <w:color w:val="auto"/>
        </w:rPr>
        <w:t>AGGREGATE AMOUNT BENEFICIALLY OWNED BY EACH REPORTING PERSON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2,086,284*</w:t>
      </w:r>
    </w:p>
    <w:p>
      <w:pPr>
        <w:ind w:left="1040" w:hanging="1019"/>
        <w:spacing w:after="0" w:line="180" w:lineRule="auto"/>
        <w:tabs>
          <w:tab w:leader="none" w:pos="1040" w:val="left"/>
        </w:tabs>
        <w:numPr>
          <w:ilvl w:val="1"/>
          <w:numId w:val="26"/>
        </w:numPr>
        <w:rPr>
          <w:rFonts w:ascii="Arial" w:cs="Arial" w:eastAsia="Arial" w:hAnsi="Arial"/>
          <w:sz w:val="34"/>
          <w:szCs w:val="34"/>
          <w:color w:val="auto"/>
          <w:vertAlign w:val="subscript"/>
        </w:rPr>
      </w:pPr>
      <w:r>
        <w:rPr>
          <w:rFonts w:ascii="Arial" w:cs="Arial" w:eastAsia="Arial" w:hAnsi="Arial"/>
          <w:sz w:val="17"/>
          <w:szCs w:val="17"/>
          <w:color w:val="auto"/>
        </w:rPr>
        <w:t>CHECK BOX IF THE AGGREGATE AMOUNT IN ROW (9) EXCLUDES CERTAIN SHARES</w:t>
      </w:r>
      <w:r>
        <w:rPr>
          <w:rFonts w:ascii="Arial" w:cs="Arial" w:eastAsia="Arial" w:hAnsi="Arial"/>
          <w:sz w:val="17"/>
          <w:szCs w:val="17"/>
          <w:b w:val="1"/>
          <w:bCs w:val="1"/>
          <w:color w:val="auto"/>
        </w:rPr>
        <w:t>*</w:t>
      </w:r>
    </w:p>
    <w:p>
      <w:pPr>
        <w:spacing w:after="0" w:line="255" w:lineRule="exact"/>
        <w:rPr>
          <w:rFonts w:ascii="Arial" w:cs="Arial" w:eastAsia="Arial" w:hAnsi="Arial"/>
          <w:sz w:val="34"/>
          <w:szCs w:val="34"/>
          <w:color w:val="auto"/>
          <w:vertAlign w:val="subscript"/>
        </w:rPr>
      </w:pPr>
    </w:p>
    <w:p>
      <w:pPr>
        <w:ind w:left="1040" w:right="5260" w:hanging="1019"/>
        <w:spacing w:after="0" w:line="256" w:lineRule="auto"/>
        <w:tabs>
          <w:tab w:leader="none" w:pos="1040" w:val="left"/>
        </w:tabs>
        <w:numPr>
          <w:ilvl w:val="1"/>
          <w:numId w:val="26"/>
        </w:numPr>
        <w:rPr>
          <w:rFonts w:ascii="Arial" w:cs="Arial" w:eastAsia="Arial" w:hAnsi="Arial"/>
          <w:sz w:val="36"/>
          <w:szCs w:val="36"/>
          <w:color w:val="auto"/>
          <w:vertAlign w:val="subscript"/>
        </w:rPr>
      </w:pPr>
      <w:r>
        <w:rPr>
          <w:rFonts w:ascii="Arial" w:cs="Arial" w:eastAsia="Arial" w:hAnsi="Arial"/>
          <w:sz w:val="18"/>
          <w:szCs w:val="18"/>
          <w:color w:val="auto"/>
        </w:rPr>
        <w:t>PERCENT OF CLASS REPRESENTED BY AMOUNT IN ROW 9 4.9%*</w:t>
      </w:r>
    </w:p>
    <w:p>
      <w:pPr>
        <w:spacing w:after="0" w:line="35" w:lineRule="exact"/>
        <w:rPr>
          <w:rFonts w:ascii="Arial" w:cs="Arial" w:eastAsia="Arial" w:hAnsi="Arial"/>
          <w:sz w:val="36"/>
          <w:szCs w:val="36"/>
          <w:color w:val="auto"/>
          <w:vertAlign w:val="subscript"/>
        </w:rPr>
      </w:pPr>
    </w:p>
    <w:p>
      <w:pPr>
        <w:ind w:left="1040" w:right="7620" w:hanging="1019"/>
        <w:spacing w:after="0" w:line="355" w:lineRule="auto"/>
        <w:tabs>
          <w:tab w:leader="none" w:pos="1040" w:val="left"/>
        </w:tabs>
        <w:numPr>
          <w:ilvl w:val="1"/>
          <w:numId w:val="26"/>
        </w:numPr>
        <w:rPr>
          <w:rFonts w:ascii="Arial" w:cs="Arial" w:eastAsia="Arial" w:hAnsi="Arial"/>
          <w:sz w:val="36"/>
          <w:szCs w:val="36"/>
          <w:color w:val="auto"/>
          <w:vertAlign w:val="subscript"/>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r>
        <w:rPr>
          <w:rFonts w:ascii="Arial" w:cs="Arial" w:eastAsia="Arial" w:hAnsi="Arial"/>
          <w:sz w:val="18"/>
          <w:szCs w:val="18"/>
          <w:color w:val="auto"/>
        </w:rPr>
        <w:t xml:space="preserve"> PN</w:t>
      </w:r>
    </w:p>
    <w:p>
      <w:pPr>
        <w:spacing w:after="0" w:line="44" w:lineRule="exact"/>
        <w:rPr>
          <w:rFonts w:ascii="Arial" w:cs="Arial" w:eastAsia="Arial" w:hAnsi="Arial"/>
          <w:sz w:val="36"/>
          <w:szCs w:val="36"/>
          <w:color w:val="auto"/>
          <w:vertAlign w:val="subscript"/>
        </w:rPr>
      </w:pPr>
    </w:p>
    <w:p>
      <w:pPr>
        <w:spacing w:after="0"/>
        <w:rPr>
          <w:rFonts w:ascii="Arial" w:cs="Arial" w:eastAsia="Arial" w:hAnsi="Arial"/>
          <w:sz w:val="36"/>
          <w:szCs w:val="36"/>
          <w:color w:val="auto"/>
          <w:vertAlign w:val="subscript"/>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type w:val="continuous"/>
        </w:sectPr>
      </w:pPr>
    </w:p>
    <w:bookmarkStart w:id="6" w:name="page7"/>
    <w:bookmarkEnd w:id="6"/>
    <w:p>
      <w:pPr>
        <w:ind w:left="940"/>
        <w:spacing w:after="0"/>
        <w:rPr>
          <w:sz w:val="20"/>
          <w:szCs w:val="20"/>
          <w:color w:val="auto"/>
        </w:rPr>
      </w:pPr>
      <w:r>
        <w:rPr>
          <w:rFonts w:ascii="Arial" w:cs="Arial" w:eastAsia="Arial" w:hAnsi="Arial"/>
          <w:sz w:val="16"/>
          <w:szCs w:val="16"/>
          <w:b w:val="1"/>
          <w:bCs w:val="1"/>
          <w:color w:val="auto"/>
        </w:rPr>
        <w:t>CUSIP No. 69353Y103</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-164465</wp:posOffset>
            </wp:positionV>
            <wp:extent cx="7132320" cy="5674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6749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7</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142" w:lineRule="exact"/>
        <w:rPr>
          <w:sz w:val="20"/>
          <w:szCs w:val="20"/>
          <w:color w:val="auto"/>
        </w:rPr>
      </w:pPr>
    </w:p>
    <w:p>
      <w:pPr>
        <w:sectPr>
          <w:pgSz w:w="11900" w:h="16838" w:orient="portrait"/>
          <w:cols w:equalWidth="0" w:num="3">
            <w:col w:w="4700" w:space="720"/>
            <w:col w:w="2540" w:space="720"/>
            <w:col w:w="2560"/>
          </w:cols>
          <w:pgMar w:left="320" w:top="567" w:right="339" w:bottom="1440" w:gutter="0" w:footer="0" w:header="0"/>
        </w:sectPr>
      </w:pPr>
    </w:p>
    <w:p>
      <w:pPr>
        <w:ind w:left="1040" w:hanging="10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5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 Andreas Halvorsen</w:t>
      </w:r>
    </w:p>
    <w:p>
      <w:pPr>
        <w:ind w:left="1040" w:hanging="1019"/>
        <w:spacing w:after="0" w:line="182" w:lineRule="auto"/>
        <w:tabs>
          <w:tab w:leader="none" w:pos="1040" w:val="left"/>
        </w:tabs>
        <w:numPr>
          <w:ilvl w:val="0"/>
          <w:numId w:val="28"/>
        </w:numPr>
        <w:rPr>
          <w:rFonts w:ascii="Arial" w:cs="Arial" w:eastAsia="Arial" w:hAnsi="Arial"/>
          <w:sz w:val="32"/>
          <w:szCs w:val="32"/>
          <w:color w:val="auto"/>
          <w:vertAlign w:val="subscript"/>
        </w:rPr>
      </w:pPr>
      <w:r>
        <w:rPr>
          <w:rFonts w:ascii="Arial" w:cs="Arial" w:eastAsia="Arial" w:hAnsi="Arial"/>
          <w:sz w:val="16"/>
          <w:szCs w:val="16"/>
          <w:color w:val="auto"/>
        </w:rPr>
        <w:t>CHECK THE APPROPRIATE BOX IF A MEMBER OF A GROUP</w:t>
      </w:r>
      <w:r>
        <w:rPr>
          <w:rFonts w:ascii="Arial" w:cs="Arial" w:eastAsia="Arial" w:hAnsi="Arial"/>
          <w:sz w:val="16"/>
          <w:szCs w:val="16"/>
          <w:b w:val="1"/>
          <w:bCs w:val="1"/>
          <w:color w:val="auto"/>
        </w:rPr>
        <w:t>*</w:t>
      </w:r>
    </w:p>
    <w:p>
      <w:pPr>
        <w:spacing w:after="0" w:line="2" w:lineRule="exact"/>
        <w:rPr>
          <w:rFonts w:ascii="Arial" w:cs="Arial" w:eastAsia="Arial" w:hAnsi="Arial"/>
          <w:sz w:val="32"/>
          <w:szCs w:val="32"/>
          <w:color w:val="auto"/>
          <w:vertAlign w:val="subscript"/>
        </w:rPr>
      </w:pPr>
    </w:p>
    <w:p>
      <w:pPr>
        <w:ind w:left="1040"/>
        <w:spacing w:after="0"/>
        <w:rPr>
          <w:rFonts w:ascii="Arial" w:cs="Arial" w:eastAsia="Arial" w:hAnsi="Arial"/>
          <w:sz w:val="32"/>
          <w:szCs w:val="32"/>
          <w:color w:val="auto"/>
          <w:vertAlign w:val="subscript"/>
        </w:rPr>
      </w:pPr>
      <w:r>
        <w:rPr>
          <w:rFonts w:ascii="Arial" w:cs="Arial" w:eastAsia="Arial" w:hAnsi="Arial"/>
          <w:sz w:val="18"/>
          <w:szCs w:val="18"/>
          <w:color w:val="auto"/>
        </w:rPr>
        <w:t>(a)</w:t>
      </w:r>
    </w:p>
    <w:p>
      <w:pPr>
        <w:spacing w:after="0" w:line="7" w:lineRule="exact"/>
        <w:rPr>
          <w:rFonts w:ascii="Arial" w:cs="Arial" w:eastAsia="Arial" w:hAnsi="Arial"/>
          <w:sz w:val="32"/>
          <w:szCs w:val="32"/>
          <w:color w:val="auto"/>
          <w:vertAlign w:val="subscript"/>
        </w:rPr>
      </w:pPr>
    </w:p>
    <w:p>
      <w:pPr>
        <w:ind w:left="1040"/>
        <w:spacing w:after="0"/>
        <w:rPr>
          <w:rFonts w:ascii="Arial" w:cs="Arial" w:eastAsia="Arial" w:hAnsi="Arial"/>
          <w:sz w:val="32"/>
          <w:szCs w:val="32"/>
          <w:color w:val="auto"/>
          <w:vertAlign w:val="subscript"/>
        </w:rPr>
      </w:pPr>
      <w:r>
        <w:rPr>
          <w:rFonts w:ascii="Arial" w:cs="Arial" w:eastAsia="Arial" w:hAnsi="Arial"/>
          <w:sz w:val="18"/>
          <w:szCs w:val="18"/>
          <w:color w:val="auto"/>
        </w:rPr>
        <w:t>(b)</w:t>
      </w:r>
    </w:p>
    <w:p>
      <w:pPr>
        <w:ind w:left="1040" w:hanging="1019"/>
        <w:spacing w:after="0" w:line="184" w:lineRule="auto"/>
        <w:tabs>
          <w:tab w:leader="none" w:pos="1040" w:val="left"/>
        </w:tabs>
        <w:numPr>
          <w:ilvl w:val="0"/>
          <w:numId w:val="29"/>
        </w:numPr>
        <w:rPr>
          <w:rFonts w:ascii="Arial" w:cs="Arial" w:eastAsia="Arial" w:hAnsi="Arial"/>
          <w:sz w:val="27"/>
          <w:szCs w:val="27"/>
          <w:color w:val="auto"/>
          <w:vertAlign w:val="subscript"/>
        </w:rPr>
      </w:pPr>
      <w:r>
        <w:rPr>
          <w:rFonts w:ascii="Arial" w:cs="Arial" w:eastAsia="Arial" w:hAnsi="Arial"/>
          <w:sz w:val="15"/>
          <w:szCs w:val="15"/>
          <w:color w:val="auto"/>
        </w:rPr>
        <w:t>SEC USE ONLY</w:t>
      </w:r>
    </w:p>
    <w:p>
      <w:pPr>
        <w:spacing w:after="0" w:line="289" w:lineRule="exact"/>
        <w:rPr>
          <w:sz w:val="20"/>
          <w:szCs w:val="20"/>
          <w:color w:val="auto"/>
        </w:rPr>
      </w:pPr>
    </w:p>
    <w:p>
      <w:pPr>
        <w:ind w:left="1040" w:hanging="1019"/>
        <w:spacing w:after="0"/>
        <w:tabs>
          <w:tab w:leader="none" w:pos="1040" w:val="left"/>
        </w:tabs>
        <w:numPr>
          <w:ilvl w:val="0"/>
          <w:numId w:val="30"/>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Norway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8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2280" w:type="dxa"/>
            <w:vAlign w:val="bottom"/>
            <w:tcBorders>
              <w:right w:val="single" w:sz="8" w:color="auto"/>
            </w:tcBorders>
            <w:vMerge w:val="continue"/>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jc w:val="right"/>
              <w:ind w:right="527"/>
              <w:spacing w:after="0"/>
              <w:rPr>
                <w:sz w:val="20"/>
                <w:szCs w:val="20"/>
                <w:color w:val="auto"/>
              </w:rPr>
            </w:pPr>
            <w:r>
              <w:rPr>
                <w:rFonts w:ascii="Arial" w:cs="Arial" w:eastAsia="Arial" w:hAnsi="Arial"/>
                <w:sz w:val="15"/>
                <w:szCs w:val="15"/>
                <w:color w:val="auto"/>
                <w:w w:val="71"/>
              </w:rPr>
              <w:t>6</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2,641,840*</w:t>
            </w: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9"/>
                <w:szCs w:val="9"/>
                <w:color w:val="auto"/>
              </w:rPr>
            </w:pPr>
          </w:p>
        </w:tc>
        <w:tc>
          <w:tcPr>
            <w:tcW w:w="82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vMerge w:val="continue"/>
          </w:tcPr>
          <w:p>
            <w:pPr>
              <w:spacing w:after="0"/>
              <w:rPr>
                <w:sz w:val="19"/>
                <w:szCs w:val="19"/>
                <w:color w:val="auto"/>
              </w:rPr>
            </w:pPr>
          </w:p>
        </w:tc>
        <w:tc>
          <w:tcPr>
            <w:tcW w:w="680" w:type="dxa"/>
            <w:vAlign w:val="bottom"/>
            <w:tcBorders>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7</w:t>
            </w:r>
          </w:p>
        </w:tc>
        <w:tc>
          <w:tcPr>
            <w:tcW w:w="8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28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5"/>
                <w:szCs w:val="15"/>
                <w:color w:val="auto"/>
              </w:rPr>
            </w:pPr>
          </w:p>
        </w:tc>
        <w:tc>
          <w:tcPr>
            <w:tcW w:w="8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280" w:type="dxa"/>
            <w:vAlign w:val="bottom"/>
            <w:tcBorders>
              <w:right w:val="single" w:sz="8" w:color="auto"/>
            </w:tcBorders>
            <w:vMerge w:val="continue"/>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2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8</w:t>
            </w: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9"/>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vMerge w:val="continue"/>
          </w:tcPr>
          <w:p>
            <w:pPr>
              <w:spacing w:after="0"/>
              <w:rPr>
                <w:sz w:val="19"/>
                <w:szCs w:val="19"/>
                <w:color w:val="auto"/>
              </w:rPr>
            </w:pPr>
          </w:p>
        </w:tc>
        <w:tc>
          <w:tcPr>
            <w:tcW w:w="8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2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2,641,840*</w:t>
            </w:r>
          </w:p>
        </w:tc>
        <w:tc>
          <w:tcPr>
            <w:tcW w:w="0" w:type="dxa"/>
            <w:vAlign w:val="bottom"/>
          </w:tcPr>
          <w:p>
            <w:pPr>
              <w:spacing w:after="0"/>
              <w:rPr>
                <w:sz w:val="1"/>
                <w:szCs w:val="1"/>
                <w:color w:val="auto"/>
              </w:rPr>
            </w:pPr>
          </w:p>
        </w:tc>
      </w:tr>
      <w:tr>
        <w:trPr>
          <w:trHeight w:val="68"/>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ind w:left="1040" w:hanging="1019"/>
        <w:spacing w:after="0" w:line="180" w:lineRule="auto"/>
        <w:tabs>
          <w:tab w:leader="none" w:pos="1040" w:val="left"/>
        </w:tabs>
        <w:numPr>
          <w:ilvl w:val="0"/>
          <w:numId w:val="31"/>
        </w:numPr>
        <w:rPr>
          <w:rFonts w:ascii="Arial" w:cs="Arial" w:eastAsia="Arial" w:hAnsi="Arial"/>
          <w:sz w:val="25"/>
          <w:szCs w:val="25"/>
          <w:color w:val="auto"/>
          <w:vertAlign w:val="subscript"/>
        </w:rPr>
      </w:pPr>
      <w:r>
        <w:rPr>
          <w:rFonts w:ascii="Arial" w:cs="Arial" w:eastAsia="Arial" w:hAnsi="Arial"/>
          <w:sz w:val="14"/>
          <w:szCs w:val="14"/>
          <w:color w:val="auto"/>
        </w:rPr>
        <w:t>AGGREGATE AMOUNT BENEFICIALLY OWNED BY EACH REPORTING PERSON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2,641,840*</w:t>
      </w:r>
    </w:p>
    <w:p>
      <w:pPr>
        <w:ind w:left="1040" w:hanging="1019"/>
        <w:spacing w:after="0" w:line="182" w:lineRule="auto"/>
        <w:tabs>
          <w:tab w:leader="none" w:pos="1040" w:val="left"/>
        </w:tabs>
        <w:numPr>
          <w:ilvl w:val="1"/>
          <w:numId w:val="32"/>
        </w:numPr>
        <w:rPr>
          <w:rFonts w:ascii="Arial" w:cs="Arial" w:eastAsia="Arial" w:hAnsi="Arial"/>
          <w:sz w:val="32"/>
          <w:szCs w:val="32"/>
          <w:color w:val="auto"/>
          <w:vertAlign w:val="subscript"/>
        </w:rPr>
      </w:pPr>
      <w:r>
        <w:rPr>
          <w:rFonts w:ascii="Arial" w:cs="Arial" w:eastAsia="Arial" w:hAnsi="Arial"/>
          <w:sz w:val="16"/>
          <w:szCs w:val="16"/>
          <w:color w:val="auto"/>
        </w:rPr>
        <w:t>CHECK BOX IF THE AGGREGATE AMOUNT IN ROW (9) EXCLUDES CERTAIN SHARES</w:t>
      </w:r>
      <w:r>
        <w:rPr>
          <w:rFonts w:ascii="Arial" w:cs="Arial" w:eastAsia="Arial" w:hAnsi="Arial"/>
          <w:sz w:val="16"/>
          <w:szCs w:val="16"/>
          <w:b w:val="1"/>
          <w:bCs w:val="1"/>
          <w:color w:val="auto"/>
        </w:rPr>
        <w:t>*</w:t>
      </w:r>
    </w:p>
    <w:p>
      <w:pPr>
        <w:spacing w:after="0" w:line="256" w:lineRule="exact"/>
        <w:rPr>
          <w:rFonts w:ascii="Arial" w:cs="Arial" w:eastAsia="Arial" w:hAnsi="Arial"/>
          <w:sz w:val="32"/>
          <w:szCs w:val="32"/>
          <w:color w:val="auto"/>
          <w:vertAlign w:val="subscript"/>
        </w:rPr>
      </w:pPr>
    </w:p>
    <w:p>
      <w:pPr>
        <w:ind w:left="1040" w:right="5260" w:hanging="1019"/>
        <w:spacing w:after="0" w:line="256" w:lineRule="auto"/>
        <w:tabs>
          <w:tab w:leader="none" w:pos="1040" w:val="left"/>
        </w:tabs>
        <w:numPr>
          <w:ilvl w:val="1"/>
          <w:numId w:val="32"/>
        </w:numPr>
        <w:rPr>
          <w:rFonts w:ascii="Arial" w:cs="Arial" w:eastAsia="Arial" w:hAnsi="Arial"/>
          <w:sz w:val="36"/>
          <w:szCs w:val="36"/>
          <w:color w:val="auto"/>
          <w:vertAlign w:val="subscript"/>
        </w:rPr>
      </w:pPr>
      <w:r>
        <w:rPr>
          <w:rFonts w:ascii="Arial" w:cs="Arial" w:eastAsia="Arial" w:hAnsi="Arial"/>
          <w:sz w:val="18"/>
          <w:szCs w:val="18"/>
          <w:color w:val="auto"/>
        </w:rPr>
        <w:t>PERCENT OF CLASS REPRESENTED BY AMOUNT IN ROW 9 6.1%*</w:t>
      </w:r>
    </w:p>
    <w:p>
      <w:pPr>
        <w:spacing w:after="0" w:line="22" w:lineRule="exact"/>
        <w:rPr>
          <w:rFonts w:ascii="Arial" w:cs="Arial" w:eastAsia="Arial" w:hAnsi="Arial"/>
          <w:sz w:val="36"/>
          <w:szCs w:val="36"/>
          <w:color w:val="auto"/>
          <w:vertAlign w:val="subscript"/>
        </w:rPr>
      </w:pPr>
    </w:p>
    <w:p>
      <w:pPr>
        <w:ind w:left="1040" w:right="7620" w:hanging="1019"/>
        <w:spacing w:after="0" w:line="355" w:lineRule="auto"/>
        <w:tabs>
          <w:tab w:leader="none" w:pos="1040" w:val="left"/>
        </w:tabs>
        <w:numPr>
          <w:ilvl w:val="1"/>
          <w:numId w:val="32"/>
        </w:numPr>
        <w:rPr>
          <w:rFonts w:ascii="Arial" w:cs="Arial" w:eastAsia="Arial" w:hAnsi="Arial"/>
          <w:sz w:val="36"/>
          <w:szCs w:val="36"/>
          <w:color w:val="auto"/>
          <w:vertAlign w:val="subscript"/>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r>
        <w:rPr>
          <w:rFonts w:ascii="Arial" w:cs="Arial" w:eastAsia="Arial" w:hAnsi="Arial"/>
          <w:sz w:val="18"/>
          <w:szCs w:val="18"/>
          <w:color w:val="auto"/>
        </w:rPr>
        <w:t xml:space="preserve"> IN</w:t>
      </w:r>
    </w:p>
    <w:p>
      <w:pPr>
        <w:spacing w:after="0" w:line="44" w:lineRule="exact"/>
        <w:rPr>
          <w:rFonts w:ascii="Arial" w:cs="Arial" w:eastAsia="Arial" w:hAnsi="Arial"/>
          <w:sz w:val="36"/>
          <w:szCs w:val="36"/>
          <w:color w:val="auto"/>
          <w:vertAlign w:val="subscript"/>
        </w:rPr>
      </w:pPr>
    </w:p>
    <w:p>
      <w:pPr>
        <w:spacing w:after="0"/>
        <w:rPr>
          <w:rFonts w:ascii="Arial" w:cs="Arial" w:eastAsia="Arial" w:hAnsi="Arial"/>
          <w:sz w:val="36"/>
          <w:szCs w:val="36"/>
          <w:color w:val="auto"/>
          <w:vertAlign w:val="subscript"/>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type w:val="continuous"/>
        </w:sectPr>
      </w:pPr>
    </w:p>
    <w:bookmarkStart w:id="7" w:name="page8"/>
    <w:bookmarkEnd w:id="7"/>
    <w:p>
      <w:pPr>
        <w:ind w:left="940"/>
        <w:spacing w:after="0"/>
        <w:rPr>
          <w:sz w:val="20"/>
          <w:szCs w:val="20"/>
          <w:color w:val="auto"/>
        </w:rPr>
      </w:pPr>
      <w:r>
        <w:rPr>
          <w:rFonts w:ascii="Arial" w:cs="Arial" w:eastAsia="Arial" w:hAnsi="Arial"/>
          <w:sz w:val="16"/>
          <w:szCs w:val="16"/>
          <w:b w:val="1"/>
          <w:bCs w:val="1"/>
          <w:color w:val="auto"/>
        </w:rPr>
        <w:t>CUSIP No. 69353Y103</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-164465</wp:posOffset>
            </wp:positionV>
            <wp:extent cx="7132320" cy="5674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6749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8</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142" w:lineRule="exact"/>
        <w:rPr>
          <w:sz w:val="20"/>
          <w:szCs w:val="20"/>
          <w:color w:val="auto"/>
        </w:rPr>
      </w:pPr>
    </w:p>
    <w:p>
      <w:pPr>
        <w:sectPr>
          <w:pgSz w:w="11900" w:h="16838" w:orient="portrait"/>
          <w:cols w:equalWidth="0" w:num="3">
            <w:col w:w="4700" w:space="720"/>
            <w:col w:w="2540" w:space="720"/>
            <w:col w:w="2560"/>
          </w:cols>
          <w:pgMar w:left="320" w:top="567" w:right="339" w:bottom="1440" w:gutter="0" w:footer="0" w:header="0"/>
        </w:sectPr>
      </w:pPr>
    </w:p>
    <w:p>
      <w:pPr>
        <w:ind w:left="1040" w:hanging="10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5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David C. Ott</w:t>
      </w:r>
    </w:p>
    <w:p>
      <w:pPr>
        <w:ind w:left="1040" w:hanging="1019"/>
        <w:spacing w:after="0" w:line="182" w:lineRule="auto"/>
        <w:tabs>
          <w:tab w:leader="none" w:pos="1040" w:val="left"/>
        </w:tabs>
        <w:numPr>
          <w:ilvl w:val="0"/>
          <w:numId w:val="34"/>
        </w:numPr>
        <w:rPr>
          <w:rFonts w:ascii="Arial" w:cs="Arial" w:eastAsia="Arial" w:hAnsi="Arial"/>
          <w:sz w:val="32"/>
          <w:szCs w:val="32"/>
          <w:color w:val="auto"/>
          <w:vertAlign w:val="subscript"/>
        </w:rPr>
      </w:pPr>
      <w:r>
        <w:rPr>
          <w:rFonts w:ascii="Arial" w:cs="Arial" w:eastAsia="Arial" w:hAnsi="Arial"/>
          <w:sz w:val="16"/>
          <w:szCs w:val="16"/>
          <w:color w:val="auto"/>
        </w:rPr>
        <w:t>CHECK THE APPROPRIATE BOX IF A MEMBER OF A GROUP</w:t>
      </w:r>
      <w:r>
        <w:rPr>
          <w:rFonts w:ascii="Arial" w:cs="Arial" w:eastAsia="Arial" w:hAnsi="Arial"/>
          <w:sz w:val="16"/>
          <w:szCs w:val="16"/>
          <w:b w:val="1"/>
          <w:bCs w:val="1"/>
          <w:color w:val="auto"/>
        </w:rPr>
        <w:t>*</w:t>
      </w:r>
    </w:p>
    <w:p>
      <w:pPr>
        <w:spacing w:after="0" w:line="2" w:lineRule="exact"/>
        <w:rPr>
          <w:rFonts w:ascii="Arial" w:cs="Arial" w:eastAsia="Arial" w:hAnsi="Arial"/>
          <w:sz w:val="32"/>
          <w:szCs w:val="32"/>
          <w:color w:val="auto"/>
          <w:vertAlign w:val="subscript"/>
        </w:rPr>
      </w:pPr>
    </w:p>
    <w:p>
      <w:pPr>
        <w:ind w:left="1040"/>
        <w:spacing w:after="0"/>
        <w:rPr>
          <w:rFonts w:ascii="Arial" w:cs="Arial" w:eastAsia="Arial" w:hAnsi="Arial"/>
          <w:sz w:val="32"/>
          <w:szCs w:val="32"/>
          <w:color w:val="auto"/>
          <w:vertAlign w:val="subscript"/>
        </w:rPr>
      </w:pPr>
      <w:r>
        <w:rPr>
          <w:rFonts w:ascii="Arial" w:cs="Arial" w:eastAsia="Arial" w:hAnsi="Arial"/>
          <w:sz w:val="18"/>
          <w:szCs w:val="18"/>
          <w:color w:val="auto"/>
        </w:rPr>
        <w:t>(a)</w:t>
      </w:r>
    </w:p>
    <w:p>
      <w:pPr>
        <w:spacing w:after="0" w:line="7" w:lineRule="exact"/>
        <w:rPr>
          <w:rFonts w:ascii="Arial" w:cs="Arial" w:eastAsia="Arial" w:hAnsi="Arial"/>
          <w:sz w:val="32"/>
          <w:szCs w:val="32"/>
          <w:color w:val="auto"/>
          <w:vertAlign w:val="subscript"/>
        </w:rPr>
      </w:pPr>
    </w:p>
    <w:p>
      <w:pPr>
        <w:ind w:left="1040"/>
        <w:spacing w:after="0"/>
        <w:rPr>
          <w:rFonts w:ascii="Arial" w:cs="Arial" w:eastAsia="Arial" w:hAnsi="Arial"/>
          <w:sz w:val="32"/>
          <w:szCs w:val="32"/>
          <w:color w:val="auto"/>
          <w:vertAlign w:val="subscript"/>
        </w:rPr>
      </w:pPr>
      <w:r>
        <w:rPr>
          <w:rFonts w:ascii="Arial" w:cs="Arial" w:eastAsia="Arial" w:hAnsi="Arial"/>
          <w:sz w:val="18"/>
          <w:szCs w:val="18"/>
          <w:color w:val="auto"/>
        </w:rPr>
        <w:t>(b)</w:t>
      </w:r>
    </w:p>
    <w:p>
      <w:pPr>
        <w:ind w:left="1040" w:hanging="1019"/>
        <w:spacing w:after="0" w:line="184" w:lineRule="auto"/>
        <w:tabs>
          <w:tab w:leader="none" w:pos="1040" w:val="left"/>
        </w:tabs>
        <w:numPr>
          <w:ilvl w:val="0"/>
          <w:numId w:val="35"/>
        </w:numPr>
        <w:rPr>
          <w:rFonts w:ascii="Arial" w:cs="Arial" w:eastAsia="Arial" w:hAnsi="Arial"/>
          <w:sz w:val="27"/>
          <w:szCs w:val="27"/>
          <w:color w:val="auto"/>
          <w:vertAlign w:val="subscript"/>
        </w:rPr>
      </w:pPr>
      <w:r>
        <w:rPr>
          <w:rFonts w:ascii="Arial" w:cs="Arial" w:eastAsia="Arial" w:hAnsi="Arial"/>
          <w:sz w:val="15"/>
          <w:szCs w:val="15"/>
          <w:color w:val="auto"/>
        </w:rPr>
        <w:t>SEC USE ONLY</w:t>
      </w:r>
    </w:p>
    <w:p>
      <w:pPr>
        <w:spacing w:after="0" w:line="289" w:lineRule="exact"/>
        <w:rPr>
          <w:sz w:val="20"/>
          <w:szCs w:val="20"/>
          <w:color w:val="auto"/>
        </w:rPr>
      </w:pPr>
    </w:p>
    <w:p>
      <w:pPr>
        <w:ind w:left="1040" w:hanging="1019"/>
        <w:spacing w:after="0"/>
        <w:tabs>
          <w:tab w:leader="none" w:pos="1040" w:val="left"/>
        </w:tabs>
        <w:numPr>
          <w:ilvl w:val="0"/>
          <w:numId w:val="36"/>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United States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8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11"/>
                <w:szCs w:val="11"/>
                <w:color w:val="auto"/>
              </w:rPr>
            </w:pPr>
          </w:p>
        </w:tc>
        <w:tc>
          <w:tcPr>
            <w:tcW w:w="8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280" w:type="dxa"/>
            <w:vAlign w:val="bottom"/>
            <w:tcBorders>
              <w:right w:val="single" w:sz="8" w:color="auto"/>
            </w:tcBorders>
            <w:vMerge w:val="continue"/>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28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6</w:t>
            </w: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9"/>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vMerge w:val="continue"/>
          </w:tcPr>
          <w:p>
            <w:pPr>
              <w:spacing w:after="0"/>
              <w:rPr>
                <w:sz w:val="16"/>
                <w:szCs w:val="16"/>
                <w:color w:val="auto"/>
              </w:rPr>
            </w:pPr>
          </w:p>
        </w:tc>
        <w:tc>
          <w:tcPr>
            <w:tcW w:w="8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2,641,840*</w:t>
            </w:r>
          </w:p>
        </w:tc>
        <w:tc>
          <w:tcPr>
            <w:tcW w:w="0" w:type="dxa"/>
            <w:vAlign w:val="bottom"/>
          </w:tcPr>
          <w:p>
            <w:pPr>
              <w:spacing w:after="0"/>
              <w:rPr>
                <w:sz w:val="1"/>
                <w:szCs w:val="1"/>
                <w:color w:val="auto"/>
              </w:rPr>
            </w:pPr>
          </w:p>
        </w:tc>
      </w:tr>
      <w:tr>
        <w:trPr>
          <w:trHeight w:val="291"/>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jc w:val="right"/>
              <w:ind w:right="527"/>
              <w:spacing w:after="0"/>
              <w:rPr>
                <w:sz w:val="20"/>
                <w:szCs w:val="20"/>
                <w:color w:val="auto"/>
              </w:rPr>
            </w:pPr>
            <w:r>
              <w:rPr>
                <w:rFonts w:ascii="Arial" w:cs="Arial" w:eastAsia="Arial" w:hAnsi="Arial"/>
                <w:sz w:val="15"/>
                <w:szCs w:val="15"/>
                <w:color w:val="auto"/>
                <w:w w:val="71"/>
              </w:rPr>
              <w:t>7</w:t>
            </w:r>
          </w:p>
        </w:tc>
        <w:tc>
          <w:tcPr>
            <w:tcW w:w="8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22"/>
                <w:szCs w:val="22"/>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8"/>
                <w:szCs w:val="8"/>
                <w:color w:val="auto"/>
              </w:rPr>
            </w:pPr>
          </w:p>
        </w:tc>
        <w:tc>
          <w:tcPr>
            <w:tcW w:w="8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280" w:type="dxa"/>
            <w:vAlign w:val="bottom"/>
            <w:tcBorders>
              <w:right w:val="single" w:sz="8" w:color="auto"/>
            </w:tcBorders>
            <w:vMerge w:val="continue"/>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2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8</w:t>
            </w: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2,641,840*</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ind w:left="1040" w:hanging="1019"/>
        <w:spacing w:after="0" w:line="180" w:lineRule="auto"/>
        <w:tabs>
          <w:tab w:leader="none" w:pos="1040" w:val="left"/>
        </w:tabs>
        <w:numPr>
          <w:ilvl w:val="0"/>
          <w:numId w:val="37"/>
        </w:numPr>
        <w:rPr>
          <w:rFonts w:ascii="Arial" w:cs="Arial" w:eastAsia="Arial" w:hAnsi="Arial"/>
          <w:sz w:val="25"/>
          <w:szCs w:val="25"/>
          <w:color w:val="auto"/>
          <w:vertAlign w:val="subscript"/>
        </w:rPr>
      </w:pPr>
      <w:r>
        <w:rPr>
          <w:rFonts w:ascii="Arial" w:cs="Arial" w:eastAsia="Arial" w:hAnsi="Arial"/>
          <w:sz w:val="14"/>
          <w:szCs w:val="14"/>
          <w:color w:val="auto"/>
        </w:rPr>
        <w:t>AGGREGATE AMOUNT BENEFICIALLY OWNED BY EACH REPORTING PERSON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2,641,840*</w:t>
      </w:r>
    </w:p>
    <w:p>
      <w:pPr>
        <w:ind w:left="1040" w:hanging="1019"/>
        <w:spacing w:after="0" w:line="182" w:lineRule="auto"/>
        <w:tabs>
          <w:tab w:leader="none" w:pos="1040" w:val="left"/>
        </w:tabs>
        <w:numPr>
          <w:ilvl w:val="1"/>
          <w:numId w:val="38"/>
        </w:numPr>
        <w:rPr>
          <w:rFonts w:ascii="Arial" w:cs="Arial" w:eastAsia="Arial" w:hAnsi="Arial"/>
          <w:sz w:val="32"/>
          <w:szCs w:val="32"/>
          <w:color w:val="auto"/>
          <w:vertAlign w:val="subscript"/>
        </w:rPr>
      </w:pPr>
      <w:r>
        <w:rPr>
          <w:rFonts w:ascii="Arial" w:cs="Arial" w:eastAsia="Arial" w:hAnsi="Arial"/>
          <w:sz w:val="16"/>
          <w:szCs w:val="16"/>
          <w:color w:val="auto"/>
        </w:rPr>
        <w:t>CHECK BOX IF THE AGGREGATE AMOUNT IN ROW (9) EXCLUDES CERTAIN SHARES</w:t>
      </w:r>
      <w:r>
        <w:rPr>
          <w:rFonts w:ascii="Arial" w:cs="Arial" w:eastAsia="Arial" w:hAnsi="Arial"/>
          <w:sz w:val="16"/>
          <w:szCs w:val="16"/>
          <w:b w:val="1"/>
          <w:bCs w:val="1"/>
          <w:color w:val="auto"/>
        </w:rPr>
        <w:t>*</w:t>
      </w:r>
    </w:p>
    <w:p>
      <w:pPr>
        <w:spacing w:after="0" w:line="256" w:lineRule="exact"/>
        <w:rPr>
          <w:rFonts w:ascii="Arial" w:cs="Arial" w:eastAsia="Arial" w:hAnsi="Arial"/>
          <w:sz w:val="32"/>
          <w:szCs w:val="32"/>
          <w:color w:val="auto"/>
          <w:vertAlign w:val="subscript"/>
        </w:rPr>
      </w:pPr>
    </w:p>
    <w:p>
      <w:pPr>
        <w:ind w:left="1040" w:right="5260" w:hanging="1019"/>
        <w:spacing w:after="0" w:line="256" w:lineRule="auto"/>
        <w:tabs>
          <w:tab w:leader="none" w:pos="1040" w:val="left"/>
        </w:tabs>
        <w:numPr>
          <w:ilvl w:val="1"/>
          <w:numId w:val="38"/>
        </w:numPr>
        <w:rPr>
          <w:rFonts w:ascii="Arial" w:cs="Arial" w:eastAsia="Arial" w:hAnsi="Arial"/>
          <w:sz w:val="36"/>
          <w:szCs w:val="36"/>
          <w:color w:val="auto"/>
          <w:vertAlign w:val="subscript"/>
        </w:rPr>
      </w:pPr>
      <w:r>
        <w:rPr>
          <w:rFonts w:ascii="Arial" w:cs="Arial" w:eastAsia="Arial" w:hAnsi="Arial"/>
          <w:sz w:val="18"/>
          <w:szCs w:val="18"/>
          <w:color w:val="auto"/>
        </w:rPr>
        <w:t>PERCENT OF CLASS REPRESENTED BY AMOUNT IN ROW 9 6.1%*</w:t>
      </w:r>
    </w:p>
    <w:p>
      <w:pPr>
        <w:spacing w:after="0" w:line="22" w:lineRule="exact"/>
        <w:rPr>
          <w:rFonts w:ascii="Arial" w:cs="Arial" w:eastAsia="Arial" w:hAnsi="Arial"/>
          <w:sz w:val="36"/>
          <w:szCs w:val="36"/>
          <w:color w:val="auto"/>
          <w:vertAlign w:val="subscript"/>
        </w:rPr>
      </w:pPr>
    </w:p>
    <w:p>
      <w:pPr>
        <w:ind w:left="1040" w:right="7620" w:hanging="1019"/>
        <w:spacing w:after="0" w:line="355" w:lineRule="auto"/>
        <w:tabs>
          <w:tab w:leader="none" w:pos="1040" w:val="left"/>
        </w:tabs>
        <w:numPr>
          <w:ilvl w:val="1"/>
          <w:numId w:val="38"/>
        </w:numPr>
        <w:rPr>
          <w:rFonts w:ascii="Arial" w:cs="Arial" w:eastAsia="Arial" w:hAnsi="Arial"/>
          <w:sz w:val="36"/>
          <w:szCs w:val="36"/>
          <w:color w:val="auto"/>
          <w:vertAlign w:val="subscript"/>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r>
        <w:rPr>
          <w:rFonts w:ascii="Arial" w:cs="Arial" w:eastAsia="Arial" w:hAnsi="Arial"/>
          <w:sz w:val="18"/>
          <w:szCs w:val="18"/>
          <w:color w:val="auto"/>
        </w:rPr>
        <w:t xml:space="preserve"> IN</w:t>
      </w:r>
    </w:p>
    <w:p>
      <w:pPr>
        <w:spacing w:after="0" w:line="44" w:lineRule="exact"/>
        <w:rPr>
          <w:rFonts w:ascii="Arial" w:cs="Arial" w:eastAsia="Arial" w:hAnsi="Arial"/>
          <w:sz w:val="36"/>
          <w:szCs w:val="36"/>
          <w:color w:val="auto"/>
          <w:vertAlign w:val="subscript"/>
        </w:rPr>
      </w:pPr>
    </w:p>
    <w:p>
      <w:pPr>
        <w:spacing w:after="0"/>
        <w:rPr>
          <w:rFonts w:ascii="Arial" w:cs="Arial" w:eastAsia="Arial" w:hAnsi="Arial"/>
          <w:sz w:val="36"/>
          <w:szCs w:val="36"/>
          <w:color w:val="auto"/>
          <w:vertAlign w:val="subscript"/>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type w:val="continuous"/>
        </w:sectPr>
      </w:pPr>
    </w:p>
    <w:bookmarkStart w:id="8" w:name="page9"/>
    <w:bookmarkEnd w:id="8"/>
    <w:p>
      <w:pPr>
        <w:ind w:left="940"/>
        <w:spacing w:after="0"/>
        <w:rPr>
          <w:sz w:val="20"/>
          <w:szCs w:val="20"/>
          <w:color w:val="auto"/>
        </w:rPr>
      </w:pPr>
      <w:r>
        <w:rPr>
          <w:rFonts w:ascii="Arial" w:cs="Arial" w:eastAsia="Arial" w:hAnsi="Arial"/>
          <w:sz w:val="16"/>
          <w:szCs w:val="16"/>
          <w:b w:val="1"/>
          <w:bCs w:val="1"/>
          <w:color w:val="auto"/>
        </w:rPr>
        <w:t>CUSIP No. 69353Y103</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-164465</wp:posOffset>
            </wp:positionV>
            <wp:extent cx="7132320" cy="5657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657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9</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Pages</w:t>
      </w:r>
    </w:p>
    <w:p>
      <w:pPr>
        <w:spacing w:after="0" w:line="142" w:lineRule="exact"/>
        <w:rPr>
          <w:sz w:val="20"/>
          <w:szCs w:val="20"/>
          <w:color w:val="auto"/>
        </w:rPr>
      </w:pPr>
    </w:p>
    <w:p>
      <w:pPr>
        <w:sectPr>
          <w:pgSz w:w="11900" w:h="16838" w:orient="portrait"/>
          <w:cols w:equalWidth="0" w:num="3">
            <w:col w:w="4700" w:space="720"/>
            <w:col w:w="2540" w:space="720"/>
            <w:col w:w="2560"/>
          </w:cols>
          <w:pgMar w:left="320" w:top="567" w:right="339" w:bottom="1440" w:gutter="0" w:footer="0" w:header="0"/>
        </w:sectPr>
      </w:pPr>
    </w:p>
    <w:p>
      <w:pPr>
        <w:ind w:left="1040" w:hanging="10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5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Rose S. Shabet</w:t>
      </w:r>
    </w:p>
    <w:p>
      <w:pPr>
        <w:ind w:left="1040" w:hanging="1019"/>
        <w:spacing w:after="0" w:line="182" w:lineRule="auto"/>
        <w:tabs>
          <w:tab w:leader="none" w:pos="1040" w:val="left"/>
        </w:tabs>
        <w:numPr>
          <w:ilvl w:val="0"/>
          <w:numId w:val="40"/>
        </w:numPr>
        <w:rPr>
          <w:rFonts w:ascii="Arial" w:cs="Arial" w:eastAsia="Arial" w:hAnsi="Arial"/>
          <w:sz w:val="32"/>
          <w:szCs w:val="32"/>
          <w:color w:val="auto"/>
          <w:vertAlign w:val="subscript"/>
        </w:rPr>
      </w:pPr>
      <w:r>
        <w:rPr>
          <w:rFonts w:ascii="Arial" w:cs="Arial" w:eastAsia="Arial" w:hAnsi="Arial"/>
          <w:sz w:val="16"/>
          <w:szCs w:val="16"/>
          <w:color w:val="auto"/>
        </w:rPr>
        <w:t>CHECK THE APPROPRIATE BOX IF A MEMBER OF A GROUP</w:t>
      </w:r>
      <w:r>
        <w:rPr>
          <w:rFonts w:ascii="Arial" w:cs="Arial" w:eastAsia="Arial" w:hAnsi="Arial"/>
          <w:sz w:val="16"/>
          <w:szCs w:val="16"/>
          <w:b w:val="1"/>
          <w:bCs w:val="1"/>
          <w:color w:val="auto"/>
        </w:rPr>
        <w:t>*</w:t>
      </w:r>
    </w:p>
    <w:p>
      <w:pPr>
        <w:spacing w:after="0" w:line="2" w:lineRule="exact"/>
        <w:rPr>
          <w:rFonts w:ascii="Arial" w:cs="Arial" w:eastAsia="Arial" w:hAnsi="Arial"/>
          <w:sz w:val="32"/>
          <w:szCs w:val="32"/>
          <w:color w:val="auto"/>
          <w:vertAlign w:val="subscript"/>
        </w:rPr>
      </w:pPr>
    </w:p>
    <w:p>
      <w:pPr>
        <w:ind w:left="1040"/>
        <w:spacing w:after="0"/>
        <w:rPr>
          <w:rFonts w:ascii="Arial" w:cs="Arial" w:eastAsia="Arial" w:hAnsi="Arial"/>
          <w:sz w:val="32"/>
          <w:szCs w:val="32"/>
          <w:color w:val="auto"/>
          <w:vertAlign w:val="subscript"/>
        </w:rPr>
      </w:pPr>
      <w:r>
        <w:rPr>
          <w:rFonts w:ascii="Arial" w:cs="Arial" w:eastAsia="Arial" w:hAnsi="Arial"/>
          <w:sz w:val="18"/>
          <w:szCs w:val="18"/>
          <w:color w:val="auto"/>
        </w:rPr>
        <w:t>(a)</w:t>
      </w:r>
    </w:p>
    <w:p>
      <w:pPr>
        <w:spacing w:after="0" w:line="7" w:lineRule="exact"/>
        <w:rPr>
          <w:rFonts w:ascii="Arial" w:cs="Arial" w:eastAsia="Arial" w:hAnsi="Arial"/>
          <w:sz w:val="32"/>
          <w:szCs w:val="32"/>
          <w:color w:val="auto"/>
          <w:vertAlign w:val="subscript"/>
        </w:rPr>
      </w:pPr>
    </w:p>
    <w:p>
      <w:pPr>
        <w:ind w:left="1040"/>
        <w:spacing w:after="0"/>
        <w:rPr>
          <w:rFonts w:ascii="Arial" w:cs="Arial" w:eastAsia="Arial" w:hAnsi="Arial"/>
          <w:sz w:val="32"/>
          <w:szCs w:val="32"/>
          <w:color w:val="auto"/>
          <w:vertAlign w:val="subscript"/>
        </w:rPr>
      </w:pPr>
      <w:r>
        <w:rPr>
          <w:rFonts w:ascii="Arial" w:cs="Arial" w:eastAsia="Arial" w:hAnsi="Arial"/>
          <w:sz w:val="18"/>
          <w:szCs w:val="18"/>
          <w:color w:val="auto"/>
        </w:rPr>
        <w:t>(b)</w:t>
      </w:r>
    </w:p>
    <w:p>
      <w:pPr>
        <w:ind w:left="1040" w:hanging="1019"/>
        <w:spacing w:after="0" w:line="184" w:lineRule="auto"/>
        <w:tabs>
          <w:tab w:leader="none" w:pos="1040" w:val="left"/>
        </w:tabs>
        <w:numPr>
          <w:ilvl w:val="0"/>
          <w:numId w:val="41"/>
        </w:numPr>
        <w:rPr>
          <w:rFonts w:ascii="Arial" w:cs="Arial" w:eastAsia="Arial" w:hAnsi="Arial"/>
          <w:sz w:val="27"/>
          <w:szCs w:val="27"/>
          <w:color w:val="auto"/>
          <w:vertAlign w:val="subscript"/>
        </w:rPr>
      </w:pPr>
      <w:r>
        <w:rPr>
          <w:rFonts w:ascii="Arial" w:cs="Arial" w:eastAsia="Arial" w:hAnsi="Arial"/>
          <w:sz w:val="15"/>
          <w:szCs w:val="15"/>
          <w:color w:val="auto"/>
        </w:rPr>
        <w:t>SEC USE ONLY</w:t>
      </w:r>
    </w:p>
    <w:p>
      <w:pPr>
        <w:spacing w:after="0" w:line="289" w:lineRule="exact"/>
        <w:rPr>
          <w:sz w:val="20"/>
          <w:szCs w:val="20"/>
          <w:color w:val="auto"/>
        </w:rPr>
      </w:pPr>
    </w:p>
    <w:p>
      <w:pPr>
        <w:ind w:left="1040" w:hanging="1019"/>
        <w:spacing w:after="0"/>
        <w:tabs>
          <w:tab w:leader="none" w:pos="1040" w:val="left"/>
        </w:tabs>
        <w:numPr>
          <w:ilvl w:val="0"/>
          <w:numId w:val="42"/>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United States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8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11"/>
                <w:szCs w:val="11"/>
                <w:color w:val="auto"/>
              </w:rPr>
            </w:pPr>
          </w:p>
        </w:tc>
        <w:tc>
          <w:tcPr>
            <w:tcW w:w="8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8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28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6</w:t>
            </w: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vMerge w:val="continue"/>
          </w:tcPr>
          <w:p>
            <w:pPr>
              <w:spacing w:after="0"/>
              <w:rPr>
                <w:sz w:val="15"/>
                <w:szCs w:val="15"/>
                <w:color w:val="auto"/>
              </w:rPr>
            </w:pPr>
          </w:p>
        </w:tc>
        <w:tc>
          <w:tcPr>
            <w:tcW w:w="8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28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2,641,840*</w:t>
            </w:r>
          </w:p>
        </w:tc>
        <w:tc>
          <w:tcPr>
            <w:tcW w:w="0" w:type="dxa"/>
            <w:vAlign w:val="bottom"/>
          </w:tcPr>
          <w:p>
            <w:pPr>
              <w:spacing w:after="0"/>
              <w:rPr>
                <w:sz w:val="1"/>
                <w:szCs w:val="1"/>
                <w:color w:val="auto"/>
              </w:rPr>
            </w:pPr>
          </w:p>
        </w:tc>
      </w:tr>
      <w:tr>
        <w:trPr>
          <w:trHeight w:val="290"/>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jc w:val="right"/>
              <w:ind w:right="527"/>
              <w:spacing w:after="0"/>
              <w:rPr>
                <w:sz w:val="20"/>
                <w:szCs w:val="20"/>
                <w:color w:val="auto"/>
              </w:rPr>
            </w:pPr>
            <w:r>
              <w:rPr>
                <w:rFonts w:ascii="Arial" w:cs="Arial" w:eastAsia="Arial" w:hAnsi="Arial"/>
                <w:sz w:val="15"/>
                <w:szCs w:val="15"/>
                <w:color w:val="auto"/>
                <w:w w:val="71"/>
              </w:rPr>
              <w:t>7</w:t>
            </w:r>
          </w:p>
        </w:tc>
        <w:tc>
          <w:tcPr>
            <w:tcW w:w="8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23"/>
                <w:szCs w:val="23"/>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7"/>
                <w:szCs w:val="7"/>
                <w:color w:val="auto"/>
              </w:rPr>
            </w:pPr>
          </w:p>
        </w:tc>
        <w:tc>
          <w:tcPr>
            <w:tcW w:w="8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vMerge w:val="restart"/>
          </w:tcPr>
          <w:p>
            <w:pPr>
              <w:jc w:val="right"/>
              <w:ind w:right="527"/>
              <w:spacing w:after="0"/>
              <w:rPr>
                <w:sz w:val="20"/>
                <w:szCs w:val="20"/>
                <w:color w:val="auto"/>
              </w:rPr>
            </w:pPr>
            <w:r>
              <w:rPr>
                <w:rFonts w:ascii="Arial" w:cs="Arial" w:eastAsia="Arial" w:hAnsi="Arial"/>
                <w:sz w:val="15"/>
                <w:szCs w:val="15"/>
                <w:color w:val="auto"/>
                <w:w w:val="71"/>
              </w:rPr>
              <w:t>8</w:t>
            </w: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2"/>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vMerge w:val="continue"/>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28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28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2,641,840*</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ind w:left="1040" w:hanging="1019"/>
        <w:spacing w:after="0" w:line="180" w:lineRule="auto"/>
        <w:tabs>
          <w:tab w:leader="none" w:pos="1040" w:val="left"/>
        </w:tabs>
        <w:numPr>
          <w:ilvl w:val="0"/>
          <w:numId w:val="43"/>
        </w:numPr>
        <w:rPr>
          <w:rFonts w:ascii="Arial" w:cs="Arial" w:eastAsia="Arial" w:hAnsi="Arial"/>
          <w:sz w:val="25"/>
          <w:szCs w:val="25"/>
          <w:color w:val="auto"/>
          <w:vertAlign w:val="subscript"/>
        </w:rPr>
      </w:pPr>
      <w:r>
        <w:rPr>
          <w:rFonts w:ascii="Arial" w:cs="Arial" w:eastAsia="Arial" w:hAnsi="Arial"/>
          <w:sz w:val="14"/>
          <w:szCs w:val="14"/>
          <w:color w:val="auto"/>
        </w:rPr>
        <w:t>AGGREGATE AMOUNT BENEFICIALLY OWNED BY EACH REPORTING PERSON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2,641,840*</w:t>
      </w:r>
    </w:p>
    <w:p>
      <w:pPr>
        <w:ind w:left="1040" w:hanging="1019"/>
        <w:spacing w:after="0" w:line="182" w:lineRule="auto"/>
        <w:tabs>
          <w:tab w:leader="none" w:pos="1040" w:val="left"/>
        </w:tabs>
        <w:numPr>
          <w:ilvl w:val="1"/>
          <w:numId w:val="44"/>
        </w:numPr>
        <w:rPr>
          <w:rFonts w:ascii="Arial" w:cs="Arial" w:eastAsia="Arial" w:hAnsi="Arial"/>
          <w:sz w:val="32"/>
          <w:szCs w:val="32"/>
          <w:color w:val="auto"/>
          <w:vertAlign w:val="subscript"/>
        </w:rPr>
      </w:pPr>
      <w:r>
        <w:rPr>
          <w:rFonts w:ascii="Arial" w:cs="Arial" w:eastAsia="Arial" w:hAnsi="Arial"/>
          <w:sz w:val="16"/>
          <w:szCs w:val="16"/>
          <w:color w:val="auto"/>
        </w:rPr>
        <w:t>CHECK BOX IF THE AGGREGATE AMOUNT IN ROW (9) EXCLUDES CERTAIN SHARES</w:t>
      </w:r>
      <w:r>
        <w:rPr>
          <w:rFonts w:ascii="Arial" w:cs="Arial" w:eastAsia="Arial" w:hAnsi="Arial"/>
          <w:sz w:val="16"/>
          <w:szCs w:val="16"/>
          <w:b w:val="1"/>
          <w:bCs w:val="1"/>
          <w:color w:val="auto"/>
        </w:rPr>
        <w:t>*</w:t>
      </w:r>
    </w:p>
    <w:p>
      <w:pPr>
        <w:spacing w:after="0" w:line="256" w:lineRule="exact"/>
        <w:rPr>
          <w:rFonts w:ascii="Arial" w:cs="Arial" w:eastAsia="Arial" w:hAnsi="Arial"/>
          <w:sz w:val="32"/>
          <w:szCs w:val="32"/>
          <w:color w:val="auto"/>
          <w:vertAlign w:val="subscript"/>
        </w:rPr>
      </w:pPr>
    </w:p>
    <w:p>
      <w:pPr>
        <w:ind w:left="1040" w:right="5260" w:hanging="1019"/>
        <w:spacing w:after="0" w:line="256" w:lineRule="auto"/>
        <w:tabs>
          <w:tab w:leader="none" w:pos="1040" w:val="left"/>
        </w:tabs>
        <w:numPr>
          <w:ilvl w:val="1"/>
          <w:numId w:val="44"/>
        </w:numPr>
        <w:rPr>
          <w:rFonts w:ascii="Arial" w:cs="Arial" w:eastAsia="Arial" w:hAnsi="Arial"/>
          <w:sz w:val="36"/>
          <w:szCs w:val="36"/>
          <w:color w:val="auto"/>
          <w:vertAlign w:val="subscript"/>
        </w:rPr>
      </w:pPr>
      <w:r>
        <w:rPr>
          <w:rFonts w:ascii="Arial" w:cs="Arial" w:eastAsia="Arial" w:hAnsi="Arial"/>
          <w:sz w:val="18"/>
          <w:szCs w:val="18"/>
          <w:color w:val="auto"/>
        </w:rPr>
        <w:t>PERCENT OF CLASS REPRESENTED BY AMOUNT IN ROW 9 6.1%*</w:t>
      </w:r>
    </w:p>
    <w:p>
      <w:pPr>
        <w:spacing w:after="0" w:line="22" w:lineRule="exact"/>
        <w:rPr>
          <w:rFonts w:ascii="Arial" w:cs="Arial" w:eastAsia="Arial" w:hAnsi="Arial"/>
          <w:sz w:val="36"/>
          <w:szCs w:val="36"/>
          <w:color w:val="auto"/>
          <w:vertAlign w:val="subscript"/>
        </w:rPr>
      </w:pPr>
    </w:p>
    <w:p>
      <w:pPr>
        <w:ind w:left="1040" w:right="7620" w:hanging="1019"/>
        <w:spacing w:after="0" w:line="355" w:lineRule="auto"/>
        <w:tabs>
          <w:tab w:leader="none" w:pos="1040" w:val="left"/>
        </w:tabs>
        <w:numPr>
          <w:ilvl w:val="1"/>
          <w:numId w:val="44"/>
        </w:numPr>
        <w:rPr>
          <w:rFonts w:ascii="Arial" w:cs="Arial" w:eastAsia="Arial" w:hAnsi="Arial"/>
          <w:sz w:val="36"/>
          <w:szCs w:val="36"/>
          <w:color w:val="auto"/>
          <w:vertAlign w:val="subscript"/>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r>
        <w:rPr>
          <w:rFonts w:ascii="Arial" w:cs="Arial" w:eastAsia="Arial" w:hAnsi="Arial"/>
          <w:sz w:val="18"/>
          <w:szCs w:val="18"/>
          <w:color w:val="auto"/>
        </w:rPr>
        <w:t xml:space="preserve"> IN</w:t>
      </w:r>
    </w:p>
    <w:p>
      <w:pPr>
        <w:spacing w:after="0" w:line="44" w:lineRule="exact"/>
        <w:rPr>
          <w:rFonts w:ascii="Arial" w:cs="Arial" w:eastAsia="Arial" w:hAnsi="Arial"/>
          <w:sz w:val="36"/>
          <w:szCs w:val="36"/>
          <w:color w:val="auto"/>
          <w:vertAlign w:val="subscript"/>
        </w:rPr>
      </w:pPr>
    </w:p>
    <w:p>
      <w:pPr>
        <w:spacing w:after="0"/>
        <w:rPr>
          <w:rFonts w:ascii="Arial" w:cs="Arial" w:eastAsia="Arial" w:hAnsi="Arial"/>
          <w:sz w:val="36"/>
          <w:szCs w:val="36"/>
          <w:color w:val="auto"/>
          <w:vertAlign w:val="subscript"/>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000" w:type="dxa"/>
            <w:vAlign w:val="bottom"/>
            <w:gridSpan w:val="5"/>
          </w:tcPr>
          <w:p>
            <w:pPr>
              <w:spacing w:after="0"/>
              <w:rPr>
                <w:sz w:val="20"/>
                <w:szCs w:val="20"/>
                <w:color w:val="auto"/>
              </w:rPr>
            </w:pPr>
            <w:r>
              <w:rPr>
                <w:rFonts w:ascii="Arial" w:cs="Arial" w:eastAsia="Arial" w:hAnsi="Arial"/>
                <w:sz w:val="18"/>
                <w:szCs w:val="18"/>
                <w:color w:val="auto"/>
              </w:rPr>
              <w:t>Name of Issuer:</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0" w:type="dxa"/>
            <w:vAlign w:val="bottom"/>
            <w:gridSpan w:val="5"/>
          </w:tcPr>
          <w:p>
            <w:pPr>
              <w:spacing w:after="0"/>
              <w:rPr>
                <w:sz w:val="20"/>
                <w:szCs w:val="20"/>
                <w:color w:val="auto"/>
              </w:rPr>
            </w:pPr>
            <w:r>
              <w:rPr>
                <w:rFonts w:ascii="Arial" w:cs="Arial" w:eastAsia="Arial" w:hAnsi="Arial"/>
                <w:sz w:val="18"/>
                <w:szCs w:val="18"/>
                <w:color w:val="auto"/>
              </w:rPr>
              <w:t>PMV Pharmaceuticals Inc.</w:t>
            </w:r>
          </w:p>
        </w:tc>
      </w:tr>
      <w:tr>
        <w:trPr>
          <w:trHeight w:val="392"/>
        </w:trPr>
        <w:tc>
          <w:tcPr>
            <w:tcW w:w="1300" w:type="dxa"/>
            <w:vAlign w:val="bottom"/>
            <w:gridSpan w:val="3"/>
          </w:tcPr>
          <w:p>
            <w:pPr>
              <w:spacing w:after="0"/>
              <w:rPr>
                <w:sz w:val="20"/>
                <w:szCs w:val="20"/>
                <w:color w:val="auto"/>
              </w:rPr>
            </w:pPr>
            <w:r>
              <w:rPr>
                <w:rFonts w:ascii="Arial" w:cs="Arial" w:eastAsia="Arial" w:hAnsi="Arial"/>
                <w:sz w:val="18"/>
                <w:szCs w:val="18"/>
                <w:color w:val="auto"/>
              </w:rPr>
              <w:t>Item 1(b).</w:t>
            </w:r>
          </w:p>
        </w:tc>
        <w:tc>
          <w:tcPr>
            <w:tcW w:w="8000" w:type="dxa"/>
            <w:vAlign w:val="bottom"/>
            <w:gridSpan w:val="5"/>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222"/>
        </w:trPr>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4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8 Clarke Drive, Suite 3</w:t>
            </w:r>
          </w:p>
        </w:tc>
        <w:tc>
          <w:tcPr>
            <w:tcW w:w="4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0" w:type="dxa"/>
            <w:vAlign w:val="bottom"/>
            <w:gridSpan w:val="5"/>
          </w:tcPr>
          <w:p>
            <w:pPr>
              <w:spacing w:after="0"/>
              <w:rPr>
                <w:sz w:val="20"/>
                <w:szCs w:val="20"/>
                <w:color w:val="auto"/>
              </w:rPr>
            </w:pPr>
            <w:r>
              <w:rPr>
                <w:rFonts w:ascii="Arial" w:cs="Arial" w:eastAsia="Arial" w:hAnsi="Arial"/>
                <w:sz w:val="18"/>
                <w:szCs w:val="18"/>
                <w:color w:val="auto"/>
              </w:rPr>
              <w:t>Cranbury, NJ 08512</w:t>
            </w:r>
          </w:p>
        </w:tc>
      </w:tr>
      <w:tr>
        <w:trPr>
          <w:trHeight w:val="391"/>
        </w:trPr>
        <w:tc>
          <w:tcPr>
            <w:tcW w:w="1300" w:type="dxa"/>
            <w:vAlign w:val="bottom"/>
            <w:gridSpan w:val="3"/>
          </w:tcPr>
          <w:p>
            <w:pPr>
              <w:spacing w:after="0"/>
              <w:rPr>
                <w:sz w:val="20"/>
                <w:szCs w:val="20"/>
                <w:color w:val="auto"/>
              </w:rPr>
            </w:pPr>
            <w:r>
              <w:rPr>
                <w:rFonts w:ascii="Arial" w:cs="Arial" w:eastAsia="Arial" w:hAnsi="Arial"/>
                <w:sz w:val="18"/>
                <w:szCs w:val="18"/>
                <w:color w:val="auto"/>
              </w:rPr>
              <w:t>Item 2(a).</w:t>
            </w:r>
          </w:p>
        </w:tc>
        <w:tc>
          <w:tcPr>
            <w:tcW w:w="8000" w:type="dxa"/>
            <w:vAlign w:val="bottom"/>
            <w:gridSpan w:val="5"/>
          </w:tcPr>
          <w:p>
            <w:pPr>
              <w:spacing w:after="0"/>
              <w:rPr>
                <w:sz w:val="20"/>
                <w:szCs w:val="20"/>
                <w:color w:val="auto"/>
              </w:rPr>
            </w:pPr>
            <w:r>
              <w:rPr>
                <w:rFonts w:ascii="Arial" w:cs="Arial" w:eastAsia="Arial" w:hAnsi="Arial"/>
                <w:sz w:val="18"/>
                <w:szCs w:val="18"/>
                <w:color w:val="auto"/>
              </w:rPr>
              <w:t>Name of Person Filing:</w:t>
            </w:r>
          </w:p>
        </w:tc>
      </w:tr>
      <w:tr>
        <w:trPr>
          <w:trHeight w:val="20"/>
        </w:trPr>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r>
      <w:tr>
        <w:trPr>
          <w:trHeight w:val="438"/>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0" w:type="dxa"/>
            <w:vAlign w:val="bottom"/>
            <w:gridSpan w:val="5"/>
          </w:tcPr>
          <w:p>
            <w:pPr>
              <w:spacing w:after="0"/>
              <w:rPr>
                <w:sz w:val="20"/>
                <w:szCs w:val="20"/>
                <w:color w:val="auto"/>
              </w:rPr>
            </w:pPr>
            <w:r>
              <w:rPr>
                <w:rFonts w:ascii="Arial" w:cs="Arial" w:eastAsia="Arial" w:hAnsi="Arial"/>
                <w:sz w:val="18"/>
                <w:szCs w:val="18"/>
                <w:color w:val="auto"/>
              </w:rPr>
              <w:t>Viking Global Investors LP (“VGI”),</w:t>
            </w:r>
          </w:p>
        </w:tc>
      </w:tr>
      <w:tr>
        <w:trPr>
          <w:trHeight w:val="216"/>
        </w:trPr>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0" w:type="dxa"/>
            <w:vAlign w:val="bottom"/>
            <w:gridSpan w:val="5"/>
          </w:tcPr>
          <w:p>
            <w:pPr>
              <w:spacing w:after="0"/>
              <w:rPr>
                <w:sz w:val="20"/>
                <w:szCs w:val="20"/>
                <w:color w:val="auto"/>
              </w:rPr>
            </w:pPr>
            <w:r>
              <w:rPr>
                <w:rFonts w:ascii="Arial" w:cs="Arial" w:eastAsia="Arial" w:hAnsi="Arial"/>
                <w:sz w:val="18"/>
                <w:szCs w:val="18"/>
                <w:color w:val="auto"/>
              </w:rPr>
              <w:t>Viking Global Opportunities GP LLC (“Opportunities GP”),</w:t>
            </w:r>
          </w:p>
        </w:tc>
      </w:tr>
      <w:tr>
        <w:trPr>
          <w:trHeight w:val="216"/>
        </w:trPr>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0" w:type="dxa"/>
            <w:vAlign w:val="bottom"/>
            <w:gridSpan w:val="5"/>
          </w:tcPr>
          <w:p>
            <w:pPr>
              <w:spacing w:after="0"/>
              <w:rPr>
                <w:sz w:val="20"/>
                <w:szCs w:val="20"/>
                <w:color w:val="auto"/>
              </w:rPr>
            </w:pPr>
            <w:r>
              <w:rPr>
                <w:rFonts w:ascii="Arial" w:cs="Arial" w:eastAsia="Arial" w:hAnsi="Arial"/>
                <w:sz w:val="18"/>
                <w:szCs w:val="18"/>
                <w:color w:val="auto"/>
              </w:rPr>
              <w:t>Viking Global Opportunities Portfolio GP LLC (“Opportunities Portfolio GP”),</w:t>
            </w:r>
          </w:p>
        </w:tc>
      </w:tr>
      <w:tr>
        <w:trPr>
          <w:trHeight w:val="216"/>
        </w:trPr>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0" w:type="dxa"/>
            <w:vAlign w:val="bottom"/>
            <w:gridSpan w:val="5"/>
          </w:tcPr>
          <w:p>
            <w:pPr>
              <w:spacing w:after="0"/>
              <w:rPr>
                <w:sz w:val="20"/>
                <w:szCs w:val="20"/>
                <w:color w:val="auto"/>
              </w:rPr>
            </w:pPr>
            <w:r>
              <w:rPr>
                <w:rFonts w:ascii="Arial" w:cs="Arial" w:eastAsia="Arial" w:hAnsi="Arial"/>
                <w:sz w:val="18"/>
                <w:szCs w:val="18"/>
                <w:color w:val="auto"/>
              </w:rPr>
              <w:t>Viking Global Opportunities Liquid Portfolio Sub-Master LP ("VGOL”),</w:t>
            </w:r>
          </w:p>
        </w:tc>
      </w:tr>
      <w:tr>
        <w:trPr>
          <w:trHeight w:val="216"/>
        </w:trPr>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0" w:type="dxa"/>
            <w:vAlign w:val="bottom"/>
            <w:gridSpan w:val="5"/>
          </w:tcPr>
          <w:p>
            <w:pPr>
              <w:spacing w:after="0"/>
              <w:rPr>
                <w:sz w:val="20"/>
                <w:szCs w:val="20"/>
                <w:color w:val="auto"/>
              </w:rPr>
            </w:pPr>
            <w:r>
              <w:rPr>
                <w:rFonts w:ascii="Arial" w:cs="Arial" w:eastAsia="Arial" w:hAnsi="Arial"/>
                <w:sz w:val="18"/>
                <w:szCs w:val="18"/>
                <w:color w:val="auto"/>
              </w:rPr>
              <w:t>Viking Global Opportunities Illiquid Investments Sub-Master LP ("VGOP"),</w:t>
            </w:r>
          </w:p>
        </w:tc>
      </w:tr>
      <w:tr>
        <w:trPr>
          <w:trHeight w:val="230"/>
        </w:trPr>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0" w:type="dxa"/>
            <w:vAlign w:val="bottom"/>
            <w:gridSpan w:val="5"/>
          </w:tcPr>
          <w:p>
            <w:pPr>
              <w:spacing w:after="0"/>
              <w:rPr>
                <w:sz w:val="20"/>
                <w:szCs w:val="20"/>
                <w:color w:val="auto"/>
              </w:rPr>
            </w:pPr>
            <w:r>
              <w:rPr>
                <w:rFonts w:ascii="Arial" w:cs="Arial" w:eastAsia="Arial" w:hAnsi="Arial"/>
                <w:sz w:val="18"/>
                <w:szCs w:val="18"/>
                <w:color w:val="auto"/>
              </w:rPr>
              <w:t>O. Andreas Halvorsen, David C. Ott and Rose S. Shabet (collectively, the "Reporting Persons")</w:t>
            </w:r>
          </w:p>
        </w:tc>
      </w:tr>
      <w:tr>
        <w:trPr>
          <w:trHeight w:val="418"/>
        </w:trPr>
        <w:tc>
          <w:tcPr>
            <w:tcW w:w="1300" w:type="dxa"/>
            <w:vAlign w:val="bottom"/>
            <w:gridSpan w:val="3"/>
          </w:tcPr>
          <w:p>
            <w:pPr>
              <w:spacing w:after="0"/>
              <w:rPr>
                <w:sz w:val="20"/>
                <w:szCs w:val="20"/>
                <w:color w:val="auto"/>
              </w:rPr>
            </w:pPr>
            <w:r>
              <w:rPr>
                <w:rFonts w:ascii="Arial" w:cs="Arial" w:eastAsia="Arial" w:hAnsi="Arial"/>
                <w:sz w:val="18"/>
                <w:szCs w:val="18"/>
                <w:color w:val="auto"/>
              </w:rPr>
              <w:t>Item 2(b).</w:t>
            </w:r>
          </w:p>
        </w:tc>
        <w:tc>
          <w:tcPr>
            <w:tcW w:w="8000" w:type="dxa"/>
            <w:vAlign w:val="bottom"/>
            <w:gridSpan w:val="5"/>
          </w:tcPr>
          <w:p>
            <w:pPr>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453"/>
        </w:trPr>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8000" w:type="dxa"/>
            <w:vAlign w:val="bottom"/>
            <w:gridSpan w:val="5"/>
          </w:tcPr>
          <w:p>
            <w:pPr>
              <w:spacing w:after="0"/>
              <w:rPr>
                <w:sz w:val="20"/>
                <w:szCs w:val="20"/>
                <w:color w:val="auto"/>
              </w:rPr>
            </w:pPr>
            <w:r>
              <w:rPr>
                <w:rFonts w:ascii="Arial" w:cs="Arial" w:eastAsia="Arial" w:hAnsi="Arial"/>
                <w:sz w:val="18"/>
                <w:szCs w:val="18"/>
                <w:color w:val="auto"/>
                <w:w w:val="89"/>
              </w:rPr>
              <w:t>The business address of each of the Reporting Persons is: 55 Railroad Avenue, Greenwich, Connecticut 06830.</w:t>
            </w:r>
          </w:p>
        </w:tc>
      </w:tr>
      <w:tr>
        <w:trPr>
          <w:trHeight w:val="391"/>
        </w:trPr>
        <w:tc>
          <w:tcPr>
            <w:tcW w:w="1300" w:type="dxa"/>
            <w:vAlign w:val="bottom"/>
            <w:gridSpan w:val="3"/>
          </w:tcPr>
          <w:p>
            <w:pPr>
              <w:spacing w:after="0"/>
              <w:rPr>
                <w:sz w:val="20"/>
                <w:szCs w:val="20"/>
                <w:color w:val="auto"/>
              </w:rPr>
            </w:pPr>
            <w:r>
              <w:rPr>
                <w:rFonts w:ascii="Arial" w:cs="Arial" w:eastAsia="Arial" w:hAnsi="Arial"/>
                <w:sz w:val="18"/>
                <w:szCs w:val="18"/>
                <w:color w:val="auto"/>
              </w:rPr>
              <w:t>Item (c).</w:t>
            </w:r>
          </w:p>
        </w:tc>
        <w:tc>
          <w:tcPr>
            <w:tcW w:w="8000" w:type="dxa"/>
            <w:vAlign w:val="bottom"/>
            <w:gridSpan w:val="5"/>
          </w:tcPr>
          <w:p>
            <w:pPr>
              <w:spacing w:after="0"/>
              <w:rPr>
                <w:sz w:val="20"/>
                <w:szCs w:val="20"/>
                <w:color w:val="auto"/>
              </w:rPr>
            </w:pPr>
            <w:r>
              <w:rPr>
                <w:rFonts w:ascii="Arial" w:cs="Arial" w:eastAsia="Arial" w:hAnsi="Arial"/>
                <w:sz w:val="18"/>
                <w:szCs w:val="18"/>
                <w:color w:val="auto"/>
              </w:rPr>
              <w:t>Citizenship:</w:t>
            </w:r>
          </w:p>
        </w:tc>
      </w:tr>
      <w:tr>
        <w:trPr>
          <w:trHeight w:val="20"/>
        </w:trPr>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VGI is a Delaware limited partnership; Opportunities GP and Opportunities Portfolio GP are Delaware limited liability companies; VGOL and VGOP are Cayman Islands exempted limited partnerships; O. Andreas Halvorsen is a citizen of Norway; and David C. Ott and Rose S. Shabet are citizens of the United States.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2(d)</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Titles of Classes of Securities</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par value $0.00001 per share (“Common Stock”)</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CUSIP NUMBER: 69353Y103</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If This Statement is Filed Pursuant to Rule 13d-1(b), or 13d-2(b) or (c), Check Whether the Person Filing is a</w:t>
      </w:r>
      <w:r>
        <w:rPr>
          <w:rFonts w:ascii="Arial" w:cs="Arial" w:eastAsia="Arial" w:hAnsi="Arial"/>
          <w:sz w:val="16"/>
          <w:szCs w:val="16"/>
          <w:color w:val="auto"/>
        </w:rPr>
        <w:t>:</w:t>
      </w:r>
    </w:p>
    <w:p>
      <w:pPr>
        <w:spacing w:after="0" w:line="219" w:lineRule="exact"/>
        <w:rPr>
          <w:sz w:val="20"/>
          <w:szCs w:val="20"/>
          <w:color w:val="auto"/>
        </w:rPr>
      </w:pPr>
    </w:p>
    <w:p>
      <w:pPr>
        <w:ind w:left="1820" w:hanging="516"/>
        <w:spacing w:after="0" w:line="207" w:lineRule="exact"/>
        <w:tabs>
          <w:tab w:leader="none" w:pos="18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820" w:hanging="516"/>
        <w:spacing w:after="0" w:line="207" w:lineRule="exact"/>
        <w:tabs>
          <w:tab w:leader="none" w:pos="18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820" w:hanging="516"/>
        <w:spacing w:after="0" w:line="207" w:lineRule="exact"/>
        <w:tabs>
          <w:tab w:leader="none" w:pos="18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820" w:hanging="516"/>
        <w:spacing w:after="0" w:line="207" w:lineRule="exact"/>
        <w:tabs>
          <w:tab w:leader="none" w:pos="18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bookmarkStart w:id="10" w:name="page11"/>
    <w:bookmarkEnd w:id="10"/>
    <w:p>
      <w:pPr>
        <w:ind w:left="1780" w:hanging="476"/>
        <w:spacing w:after="0" w:line="196" w:lineRule="exact"/>
        <w:tabs>
          <w:tab w:leader="none" w:pos="1780" w:val="left"/>
        </w:tabs>
        <w:numPr>
          <w:ilvl w:val="0"/>
          <w:numId w:val="46"/>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Investment Adviser registered under Section 203 of the Investment Advisers Act of 1940: see Rule 13d-1(b)(1)(ii)(E)</w:t>
      </w:r>
    </w:p>
    <w:p>
      <w:pPr>
        <w:spacing w:after="0" w:line="236" w:lineRule="exact"/>
        <w:rPr>
          <w:rFonts w:ascii="Arial" w:cs="Arial" w:eastAsia="Arial" w:hAnsi="Arial"/>
          <w:sz w:val="17"/>
          <w:szCs w:val="17"/>
          <w:color w:val="auto"/>
        </w:rPr>
      </w:pPr>
    </w:p>
    <w:p>
      <w:pPr>
        <w:ind w:left="1800" w:right="140" w:hanging="496"/>
        <w:spacing w:after="0" w:line="239" w:lineRule="exact"/>
        <w:tabs>
          <w:tab w:leader="none" w:pos="1809"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Pension Fund which is subject to the provisions of the Employee Retirement Income Security Act of 1974 or Endowment Fund; see Rule 13d-1(b)(1)(ii)(F)</w:t>
      </w:r>
    </w:p>
    <w:p>
      <w:pPr>
        <w:spacing w:after="0" w:line="170" w:lineRule="exact"/>
        <w:rPr>
          <w:rFonts w:ascii="Arial" w:cs="Arial" w:eastAsia="Arial" w:hAnsi="Arial"/>
          <w:sz w:val="18"/>
          <w:szCs w:val="18"/>
          <w:color w:val="auto"/>
        </w:rPr>
      </w:pPr>
    </w:p>
    <w:p>
      <w:pPr>
        <w:ind w:left="1780" w:hanging="476"/>
        <w:spacing w:after="0" w:line="207" w:lineRule="exact"/>
        <w:tabs>
          <w:tab w:leader="none" w:pos="178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in accordance with Rule 13d-1(b)(1)(ii)(G).</w:t>
      </w:r>
    </w:p>
    <w:p>
      <w:pPr>
        <w:spacing w:after="0" w:line="225" w:lineRule="exact"/>
        <w:rPr>
          <w:rFonts w:ascii="Arial" w:cs="Arial" w:eastAsia="Arial" w:hAnsi="Arial"/>
          <w:sz w:val="18"/>
          <w:szCs w:val="18"/>
          <w:color w:val="auto"/>
        </w:rPr>
      </w:pPr>
    </w:p>
    <w:p>
      <w:pPr>
        <w:ind w:left="1780" w:hanging="476"/>
        <w:spacing w:after="0" w:line="207" w:lineRule="exact"/>
        <w:tabs>
          <w:tab w:leader="none" w:pos="178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225" w:lineRule="exact"/>
        <w:rPr>
          <w:rFonts w:ascii="Arial" w:cs="Arial" w:eastAsia="Arial" w:hAnsi="Arial"/>
          <w:sz w:val="18"/>
          <w:szCs w:val="18"/>
          <w:color w:val="auto"/>
        </w:rPr>
      </w:pPr>
    </w:p>
    <w:p>
      <w:pPr>
        <w:ind w:left="1800" w:hanging="496"/>
        <w:spacing w:after="0" w:line="239" w:lineRule="exact"/>
        <w:tabs>
          <w:tab w:leader="none" w:pos="1799"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780" w:hanging="476"/>
        <w:spacing w:after="0" w:line="184" w:lineRule="exact"/>
        <w:tabs>
          <w:tab w:leader="none" w:pos="1780" w:val="left"/>
        </w:tabs>
        <w:numPr>
          <w:ilvl w:val="0"/>
          <w:numId w:val="46"/>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Non-U.S. institution in accordance with Rule 240.13d-1(b)(1)(ii)(J). If filing as a non-U.S. institution in accordance with Rule</w:t>
      </w:r>
    </w:p>
    <w:p>
      <w:pPr>
        <w:spacing w:after="0" w:line="80" w:lineRule="exact"/>
        <w:rPr>
          <w:rFonts w:ascii="Arial" w:cs="Arial" w:eastAsia="Arial" w:hAnsi="Arial"/>
          <w:sz w:val="16"/>
          <w:szCs w:val="16"/>
          <w:color w:val="auto"/>
        </w:rPr>
      </w:pPr>
    </w:p>
    <w:p>
      <w:pPr>
        <w:ind w:left="1800"/>
        <w:spacing w:after="0"/>
        <w:rPr>
          <w:rFonts w:ascii="Arial" w:cs="Arial" w:eastAsia="Arial" w:hAnsi="Arial"/>
          <w:sz w:val="16"/>
          <w:szCs w:val="16"/>
          <w:color w:val="auto"/>
        </w:rPr>
      </w:pPr>
      <w:r>
        <w:rPr>
          <w:rFonts w:ascii="Arial" w:cs="Arial" w:eastAsia="Arial" w:hAnsi="Arial"/>
          <w:sz w:val="18"/>
          <w:szCs w:val="18"/>
          <w:color w:val="auto"/>
        </w:rPr>
        <w:t>240.13d-1(b)(1)(ii)(J), please specify the type of institution:</w:t>
      </w:r>
    </w:p>
    <w:p>
      <w:pPr>
        <w:spacing w:after="0" w:line="176" w:lineRule="exact"/>
        <w:rPr>
          <w:rFonts w:ascii="Arial" w:cs="Arial" w:eastAsia="Arial" w:hAnsi="Arial"/>
          <w:sz w:val="16"/>
          <w:szCs w:val="16"/>
          <w:color w:val="auto"/>
        </w:rPr>
      </w:pPr>
    </w:p>
    <w:p>
      <w:pPr>
        <w:ind w:left="1780" w:hanging="476"/>
        <w:spacing w:after="0" w:line="207" w:lineRule="exact"/>
        <w:tabs>
          <w:tab w:leader="none" w:pos="178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w:t>
      </w:r>
    </w:p>
    <w:p>
      <w:pPr>
        <w:spacing w:after="0" w:line="3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VGI</w:t>
      </w:r>
    </w:p>
    <w:p>
      <w:pPr>
        <w:spacing w:after="0" w:line="225" w:lineRule="exact"/>
        <w:rPr>
          <w:sz w:val="20"/>
          <w:szCs w:val="20"/>
          <w:color w:val="auto"/>
        </w:rPr>
      </w:pPr>
    </w:p>
    <w:p>
      <w:pPr>
        <w:ind w:left="1800" w:hanging="496"/>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 beneficially owned: 2,641,840</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Percent of Class: 6.1%</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440" w:hanging="488"/>
        <w:spacing w:after="0"/>
        <w:tabs>
          <w:tab w:leader="none" w:pos="24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2480" w:hanging="528"/>
        <w:spacing w:after="0"/>
        <w:tabs>
          <w:tab w:leader="none" w:pos="2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Shared power to vote or to direct the vote: 2,641,840</w:t>
      </w:r>
    </w:p>
    <w:p>
      <w:pPr>
        <w:spacing w:after="0" w:line="9" w:lineRule="exact"/>
        <w:rPr>
          <w:rFonts w:ascii="Arial" w:cs="Arial" w:eastAsia="Arial" w:hAnsi="Arial"/>
          <w:sz w:val="18"/>
          <w:szCs w:val="18"/>
          <w:color w:val="auto"/>
        </w:rPr>
      </w:pPr>
    </w:p>
    <w:p>
      <w:pPr>
        <w:ind w:left="2540" w:hanging="588"/>
        <w:spacing w:after="0"/>
        <w:tabs>
          <w:tab w:leader="none" w:pos="2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2520" w:hanging="568"/>
        <w:spacing w:after="0"/>
        <w:tabs>
          <w:tab w:leader="none" w:pos="25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2,641,840</w:t>
      </w:r>
    </w:p>
    <w:p>
      <w:pPr>
        <w:spacing w:after="0" w:line="211" w:lineRule="exact"/>
        <w:rPr>
          <w:sz w:val="20"/>
          <w:szCs w:val="20"/>
          <w:color w:val="auto"/>
        </w:rPr>
      </w:pPr>
    </w:p>
    <w:p>
      <w:pPr>
        <w:ind w:left="1960" w:right="240"/>
        <w:spacing w:after="0" w:line="277" w:lineRule="auto"/>
        <w:rPr>
          <w:sz w:val="20"/>
          <w:szCs w:val="20"/>
          <w:color w:val="auto"/>
        </w:rPr>
      </w:pPr>
      <w:r>
        <w:rPr>
          <w:rFonts w:ascii="Arial" w:cs="Arial" w:eastAsia="Arial" w:hAnsi="Arial"/>
          <w:sz w:val="18"/>
          <w:szCs w:val="18"/>
          <w:color w:val="auto"/>
        </w:rPr>
        <w:t>VGI provides managerial services to VGOL and VGOP. VGI has the authority to dispose of and vote the shares of Common Stock.</w:t>
      </w:r>
    </w:p>
    <w:p>
      <w:pPr>
        <w:spacing w:after="0" w:line="170" w:lineRule="exact"/>
        <w:rPr>
          <w:sz w:val="20"/>
          <w:szCs w:val="20"/>
          <w:color w:val="auto"/>
        </w:rPr>
      </w:pPr>
    </w:p>
    <w:p>
      <w:pPr>
        <w:ind w:left="1960" w:right="20"/>
        <w:spacing w:after="0" w:line="342" w:lineRule="auto"/>
        <w:rPr>
          <w:sz w:val="20"/>
          <w:szCs w:val="20"/>
          <w:color w:val="auto"/>
        </w:rPr>
      </w:pPr>
      <w:r>
        <w:rPr>
          <w:rFonts w:ascii="Arial" w:cs="Arial" w:eastAsia="Arial" w:hAnsi="Arial"/>
          <w:sz w:val="16"/>
          <w:szCs w:val="16"/>
          <w:color w:val="auto"/>
        </w:rPr>
        <w:t>Based on Rule 13d-3 of the Securities Exchange Act of 1934, as amended (the "Act"), VGI may be deemed to beneficially own the shares of Common Stock directly held by VGOL and VGOP. VGI does not directly own any shares of Common Stock.</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Opportunities GP</w:t>
      </w:r>
    </w:p>
    <w:p>
      <w:pPr>
        <w:spacing w:after="0" w:line="225" w:lineRule="exact"/>
        <w:rPr>
          <w:sz w:val="20"/>
          <w:szCs w:val="20"/>
          <w:color w:val="auto"/>
        </w:rPr>
      </w:pPr>
    </w:p>
    <w:p>
      <w:pPr>
        <w:ind w:left="1800" w:hanging="496"/>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 beneficially owned: 2,641,840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660" w:right="439" w:bottom="1440" w:gutter="0" w:footer="0" w:header="0"/>
        </w:sectPr>
      </w:pPr>
    </w:p>
    <w:bookmarkStart w:id="11" w:name="page12"/>
    <w:bookmarkEnd w:id="11"/>
    <w:p>
      <w:pPr>
        <w:ind w:left="1164" w:hanging="516"/>
        <w:spacing w:after="0"/>
        <w:tabs>
          <w:tab w:leader="none" w:pos="11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Percent of Class: 6.1%</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784" w:hanging="488"/>
        <w:spacing w:after="0"/>
        <w:tabs>
          <w:tab w:leader="none" w:pos="1784" w:val="left"/>
        </w:tabs>
        <w:numPr>
          <w:ilvl w:val="1"/>
          <w:numId w:val="4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824" w:hanging="528"/>
        <w:spacing w:after="0"/>
        <w:tabs>
          <w:tab w:leader="none" w:pos="1824" w:val="left"/>
        </w:tabs>
        <w:numPr>
          <w:ilvl w:val="1"/>
          <w:numId w:val="49"/>
        </w:numPr>
        <w:rPr>
          <w:rFonts w:ascii="Arial" w:cs="Arial" w:eastAsia="Arial" w:hAnsi="Arial"/>
          <w:sz w:val="18"/>
          <w:szCs w:val="18"/>
          <w:color w:val="auto"/>
        </w:rPr>
      </w:pPr>
      <w:r>
        <w:rPr>
          <w:rFonts w:ascii="Arial" w:cs="Arial" w:eastAsia="Arial" w:hAnsi="Arial"/>
          <w:sz w:val="18"/>
          <w:szCs w:val="18"/>
          <w:color w:val="auto"/>
        </w:rPr>
        <w:t>Shared power to vote or to direct the vote: 2,641,840</w:t>
      </w:r>
    </w:p>
    <w:p>
      <w:pPr>
        <w:spacing w:after="0" w:line="9" w:lineRule="exact"/>
        <w:rPr>
          <w:rFonts w:ascii="Arial" w:cs="Arial" w:eastAsia="Arial" w:hAnsi="Arial"/>
          <w:sz w:val="18"/>
          <w:szCs w:val="18"/>
          <w:color w:val="auto"/>
        </w:rPr>
      </w:pPr>
    </w:p>
    <w:p>
      <w:pPr>
        <w:ind w:left="1884" w:hanging="588"/>
        <w:spacing w:after="0"/>
        <w:tabs>
          <w:tab w:leader="none" w:pos="1884" w:val="left"/>
        </w:tabs>
        <w:numPr>
          <w:ilvl w:val="1"/>
          <w:numId w:val="4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864" w:hanging="568"/>
        <w:spacing w:after="0"/>
        <w:tabs>
          <w:tab w:leader="none" w:pos="1864" w:val="left"/>
        </w:tabs>
        <w:numPr>
          <w:ilvl w:val="1"/>
          <w:numId w:val="4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2,641,840</w:t>
      </w:r>
    </w:p>
    <w:p>
      <w:pPr>
        <w:spacing w:after="0" w:line="211" w:lineRule="exact"/>
        <w:rPr>
          <w:sz w:val="20"/>
          <w:szCs w:val="20"/>
          <w:color w:val="auto"/>
        </w:rPr>
      </w:pPr>
    </w:p>
    <w:p>
      <w:pPr>
        <w:ind w:left="1304"/>
        <w:spacing w:after="0" w:line="286" w:lineRule="auto"/>
        <w:rPr>
          <w:sz w:val="20"/>
          <w:szCs w:val="20"/>
          <w:color w:val="auto"/>
        </w:rPr>
      </w:pPr>
      <w:r>
        <w:rPr>
          <w:rFonts w:ascii="Arial" w:cs="Arial" w:eastAsia="Arial" w:hAnsi="Arial"/>
          <w:sz w:val="17"/>
          <w:szCs w:val="17"/>
          <w:color w:val="auto"/>
        </w:rPr>
        <w:t>Opportunities GP serves as the sole member of Opportunities Portfolio GP and has the authority to dispose of and vote the shares of Common Stock controlled by Opportunities Portfolio GP, which consists of the shares of Common Stock directly held by VGOL and VGOP. Opportunities GP does not directly own any shares of Common Stock.</w:t>
      </w:r>
    </w:p>
    <w:p>
      <w:pPr>
        <w:spacing w:after="0" w:line="165" w:lineRule="exact"/>
        <w:rPr>
          <w:sz w:val="20"/>
          <w:szCs w:val="20"/>
          <w:color w:val="auto"/>
        </w:rPr>
      </w:pPr>
    </w:p>
    <w:p>
      <w:pPr>
        <w:ind w:left="1304" w:right="240"/>
        <w:spacing w:after="0" w:line="277" w:lineRule="auto"/>
        <w:rPr>
          <w:sz w:val="20"/>
          <w:szCs w:val="20"/>
          <w:color w:val="auto"/>
        </w:rPr>
      </w:pPr>
      <w:r>
        <w:rPr>
          <w:rFonts w:ascii="Arial" w:cs="Arial" w:eastAsia="Arial" w:hAnsi="Arial"/>
          <w:sz w:val="18"/>
          <w:szCs w:val="18"/>
          <w:color w:val="auto"/>
        </w:rPr>
        <w:t>Based on Rule 13d-3 of the Act, Opportunities GP may be deemed to beneficially own the shares of Common Stock directly held by VGOL and VGOP.</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C. Opportunities Portfolio GP</w:t>
      </w:r>
    </w:p>
    <w:p>
      <w:pPr>
        <w:spacing w:after="0" w:line="225" w:lineRule="exact"/>
        <w:rPr>
          <w:sz w:val="20"/>
          <w:szCs w:val="20"/>
          <w:color w:val="auto"/>
        </w:rPr>
      </w:pPr>
    </w:p>
    <w:p>
      <w:pPr>
        <w:ind w:left="1144" w:hanging="496"/>
        <w:spacing w:after="0"/>
        <w:tabs>
          <w:tab w:leader="none" w:pos="11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 beneficially owned: 2,641,840</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Percent of Class: 6.1%</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0"/>
          <w:numId w:val="5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784" w:hanging="488"/>
        <w:spacing w:after="0"/>
        <w:tabs>
          <w:tab w:leader="none" w:pos="1784" w:val="left"/>
        </w:tabs>
        <w:numPr>
          <w:ilvl w:val="1"/>
          <w:numId w:val="5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824" w:hanging="528"/>
        <w:spacing w:after="0"/>
        <w:tabs>
          <w:tab w:leader="none" w:pos="1824" w:val="left"/>
        </w:tabs>
        <w:numPr>
          <w:ilvl w:val="1"/>
          <w:numId w:val="50"/>
        </w:numPr>
        <w:rPr>
          <w:rFonts w:ascii="Arial" w:cs="Arial" w:eastAsia="Arial" w:hAnsi="Arial"/>
          <w:sz w:val="18"/>
          <w:szCs w:val="18"/>
          <w:color w:val="auto"/>
        </w:rPr>
      </w:pPr>
      <w:r>
        <w:rPr>
          <w:rFonts w:ascii="Arial" w:cs="Arial" w:eastAsia="Arial" w:hAnsi="Arial"/>
          <w:sz w:val="18"/>
          <w:szCs w:val="18"/>
          <w:color w:val="auto"/>
        </w:rPr>
        <w:t>Shared power to vote or to direct the vote: 2,641,840</w:t>
      </w:r>
    </w:p>
    <w:p>
      <w:pPr>
        <w:spacing w:after="0" w:line="9" w:lineRule="exact"/>
        <w:rPr>
          <w:rFonts w:ascii="Arial" w:cs="Arial" w:eastAsia="Arial" w:hAnsi="Arial"/>
          <w:sz w:val="18"/>
          <w:szCs w:val="18"/>
          <w:color w:val="auto"/>
        </w:rPr>
      </w:pPr>
    </w:p>
    <w:p>
      <w:pPr>
        <w:ind w:left="1884" w:hanging="588"/>
        <w:spacing w:after="0"/>
        <w:tabs>
          <w:tab w:leader="none" w:pos="1884" w:val="left"/>
        </w:tabs>
        <w:numPr>
          <w:ilvl w:val="1"/>
          <w:numId w:val="5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864" w:hanging="568"/>
        <w:spacing w:after="0"/>
        <w:tabs>
          <w:tab w:leader="none" w:pos="1864" w:val="left"/>
        </w:tabs>
        <w:numPr>
          <w:ilvl w:val="1"/>
          <w:numId w:val="5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2,641,840</w:t>
      </w:r>
    </w:p>
    <w:p>
      <w:pPr>
        <w:spacing w:after="0" w:line="211" w:lineRule="exact"/>
        <w:rPr>
          <w:sz w:val="20"/>
          <w:szCs w:val="20"/>
          <w:color w:val="auto"/>
        </w:rPr>
      </w:pPr>
    </w:p>
    <w:p>
      <w:pPr>
        <w:ind w:left="1304" w:right="60"/>
        <w:spacing w:after="0" w:line="263" w:lineRule="auto"/>
        <w:rPr>
          <w:sz w:val="20"/>
          <w:szCs w:val="20"/>
          <w:color w:val="auto"/>
        </w:rPr>
      </w:pPr>
      <w:r>
        <w:rPr>
          <w:rFonts w:ascii="Arial" w:cs="Arial" w:eastAsia="Arial" w:hAnsi="Arial"/>
          <w:sz w:val="18"/>
          <w:szCs w:val="18"/>
          <w:color w:val="auto"/>
        </w:rPr>
        <w:t>Opportunities Portfolio GP serves as the general partner of VGOL and VGOP and has the authority to dispose of and vote the shares of Common Stock directly owned by VGOL and VGOP. Opportunities Portfolio GP does not directly own any shares of Common Stock.</w:t>
      </w:r>
    </w:p>
    <w:p>
      <w:pPr>
        <w:spacing w:after="0" w:line="184" w:lineRule="exact"/>
        <w:rPr>
          <w:sz w:val="20"/>
          <w:szCs w:val="20"/>
          <w:color w:val="auto"/>
        </w:rPr>
      </w:pPr>
    </w:p>
    <w:p>
      <w:pPr>
        <w:ind w:left="1304" w:right="160"/>
        <w:spacing w:after="0" w:line="277" w:lineRule="auto"/>
        <w:rPr>
          <w:sz w:val="20"/>
          <w:szCs w:val="20"/>
          <w:color w:val="auto"/>
        </w:rPr>
      </w:pPr>
      <w:r>
        <w:rPr>
          <w:rFonts w:ascii="Arial" w:cs="Arial" w:eastAsia="Arial" w:hAnsi="Arial"/>
          <w:sz w:val="18"/>
          <w:szCs w:val="18"/>
          <w:color w:val="auto"/>
        </w:rPr>
        <w:t>Based on Rule 13d-3 of the Act, Opportunities Portfolio GP may be deemed to beneficially own the shares of Common Stock directly held by VGOL and VGOP.</w:t>
      </w:r>
    </w:p>
    <w:p>
      <w:pPr>
        <w:spacing w:after="0" w:line="170" w:lineRule="exact"/>
        <w:rPr>
          <w:sz w:val="20"/>
          <w:szCs w:val="20"/>
          <w:color w:val="auto"/>
        </w:rPr>
      </w:pPr>
    </w:p>
    <w:p>
      <w:pPr>
        <w:ind w:left="224" w:hanging="224"/>
        <w:spacing w:after="0"/>
        <w:tabs>
          <w:tab w:leader="none" w:pos="2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VGOL</w:t>
      </w:r>
    </w:p>
    <w:p>
      <w:pPr>
        <w:spacing w:after="0" w:line="225" w:lineRule="exact"/>
        <w:rPr>
          <w:rFonts w:ascii="Arial" w:cs="Arial" w:eastAsia="Arial" w:hAnsi="Arial"/>
          <w:sz w:val="18"/>
          <w:szCs w:val="18"/>
          <w:color w:val="auto"/>
        </w:rPr>
      </w:pPr>
    </w:p>
    <w:p>
      <w:pPr>
        <w:ind w:left="1144" w:hanging="496"/>
        <w:spacing w:after="0"/>
        <w:tabs>
          <w:tab w:leader="none" w:pos="1144" w:val="left"/>
        </w:tabs>
        <w:numPr>
          <w:ilvl w:val="1"/>
          <w:numId w:val="51"/>
        </w:numPr>
        <w:rPr>
          <w:rFonts w:ascii="Arial" w:cs="Arial" w:eastAsia="Arial" w:hAnsi="Arial"/>
          <w:sz w:val="18"/>
          <w:szCs w:val="18"/>
          <w:color w:val="auto"/>
        </w:rPr>
      </w:pPr>
      <w:r>
        <w:rPr>
          <w:rFonts w:ascii="Arial" w:cs="Arial" w:eastAsia="Arial" w:hAnsi="Arial"/>
          <w:sz w:val="18"/>
          <w:szCs w:val="18"/>
          <w:color w:val="auto"/>
        </w:rPr>
        <w:t>Amount beneficially owned: 555,556</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1"/>
          <w:numId w:val="51"/>
        </w:numPr>
        <w:rPr>
          <w:rFonts w:ascii="Arial" w:cs="Arial" w:eastAsia="Arial" w:hAnsi="Arial"/>
          <w:sz w:val="18"/>
          <w:szCs w:val="18"/>
          <w:color w:val="auto"/>
        </w:rPr>
      </w:pPr>
      <w:r>
        <w:rPr>
          <w:rFonts w:ascii="Arial" w:cs="Arial" w:eastAsia="Arial" w:hAnsi="Arial"/>
          <w:sz w:val="18"/>
          <w:szCs w:val="18"/>
          <w:color w:val="auto"/>
        </w:rPr>
        <w:t>Percent of Class: 1.3%</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1"/>
          <w:numId w:val="5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306070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4"/>
          </w:cols>
          <w:pgMar w:left="976" w:top="476" w:right="419" w:bottom="1440" w:gutter="0" w:footer="0" w:header="0"/>
        </w:sectPr>
      </w:pPr>
    </w:p>
    <w:bookmarkStart w:id="12" w:name="page13"/>
    <w:bookmarkEnd w:id="12"/>
    <w:p>
      <w:pPr>
        <w:ind w:left="1784" w:hanging="488"/>
        <w:spacing w:after="0"/>
        <w:tabs>
          <w:tab w:leader="none" w:pos="1784"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824" w:hanging="528"/>
        <w:spacing w:after="0"/>
        <w:tabs>
          <w:tab w:leader="none" w:pos="18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Shared power to vote or to direct the vote: 555,556</w:t>
      </w:r>
    </w:p>
    <w:p>
      <w:pPr>
        <w:spacing w:after="0" w:line="9" w:lineRule="exact"/>
        <w:rPr>
          <w:rFonts w:ascii="Arial" w:cs="Arial" w:eastAsia="Arial" w:hAnsi="Arial"/>
          <w:sz w:val="18"/>
          <w:szCs w:val="18"/>
          <w:color w:val="auto"/>
        </w:rPr>
      </w:pPr>
    </w:p>
    <w:p>
      <w:pPr>
        <w:ind w:left="1884" w:hanging="588"/>
        <w:spacing w:after="0"/>
        <w:tabs>
          <w:tab w:leader="none" w:pos="1884"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864" w:hanging="568"/>
        <w:spacing w:after="0"/>
        <w:tabs>
          <w:tab w:leader="none" w:pos="18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555,556</w:t>
      </w:r>
    </w:p>
    <w:p>
      <w:pPr>
        <w:spacing w:after="0" w:line="211" w:lineRule="exact"/>
        <w:rPr>
          <w:sz w:val="20"/>
          <w:szCs w:val="20"/>
          <w:color w:val="auto"/>
        </w:rPr>
      </w:pPr>
    </w:p>
    <w:p>
      <w:pPr>
        <w:ind w:left="1304"/>
        <w:spacing w:after="0" w:line="293" w:lineRule="auto"/>
        <w:rPr>
          <w:sz w:val="20"/>
          <w:szCs w:val="20"/>
          <w:color w:val="auto"/>
        </w:rPr>
      </w:pPr>
      <w:r>
        <w:rPr>
          <w:rFonts w:ascii="Arial" w:cs="Arial" w:eastAsia="Arial" w:hAnsi="Arial"/>
          <w:sz w:val="16"/>
          <w:szCs w:val="16"/>
          <w:color w:val="auto"/>
        </w:rPr>
        <w:t>VGOL has the authority to dispose of and vote the shares of Common Stock directly owned by it, which power may be exercised by its general partner, Opportunities Portfolio GP, and by VGI, an affiliate of Opportunities Portfolio GP, which provides managerial services to VGOL. 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VGOL.</w:t>
      </w:r>
    </w:p>
    <w:p>
      <w:pPr>
        <w:spacing w:after="0" w:line="164" w:lineRule="exact"/>
        <w:rPr>
          <w:sz w:val="20"/>
          <w:szCs w:val="20"/>
          <w:color w:val="auto"/>
        </w:rPr>
      </w:pPr>
    </w:p>
    <w:p>
      <w:pPr>
        <w:ind w:left="204" w:hanging="204"/>
        <w:spacing w:after="0"/>
        <w:tabs>
          <w:tab w:leader="none" w:pos="204" w:val="left"/>
        </w:tabs>
        <w:numPr>
          <w:ilvl w:val="0"/>
          <w:numId w:val="53"/>
        </w:numPr>
        <w:rPr>
          <w:rFonts w:ascii="Arial" w:cs="Arial" w:eastAsia="Arial" w:hAnsi="Arial"/>
          <w:sz w:val="18"/>
          <w:szCs w:val="18"/>
          <w:color w:val="auto"/>
        </w:rPr>
      </w:pPr>
      <w:r>
        <w:rPr>
          <w:rFonts w:ascii="Arial" w:cs="Arial" w:eastAsia="Arial" w:hAnsi="Arial"/>
          <w:sz w:val="18"/>
          <w:szCs w:val="18"/>
          <w:color w:val="auto"/>
        </w:rPr>
        <w:t>VGOP</w:t>
      </w:r>
    </w:p>
    <w:p>
      <w:pPr>
        <w:spacing w:after="0" w:line="225" w:lineRule="exact"/>
        <w:rPr>
          <w:rFonts w:ascii="Arial" w:cs="Arial" w:eastAsia="Arial" w:hAnsi="Arial"/>
          <w:sz w:val="18"/>
          <w:szCs w:val="18"/>
          <w:color w:val="auto"/>
        </w:rPr>
      </w:pPr>
    </w:p>
    <w:p>
      <w:pPr>
        <w:ind w:left="1144" w:hanging="496"/>
        <w:spacing w:after="0"/>
        <w:tabs>
          <w:tab w:leader="none" w:pos="1144" w:val="left"/>
        </w:tabs>
        <w:numPr>
          <w:ilvl w:val="1"/>
          <w:numId w:val="53"/>
        </w:numPr>
        <w:rPr>
          <w:rFonts w:ascii="Arial" w:cs="Arial" w:eastAsia="Arial" w:hAnsi="Arial"/>
          <w:sz w:val="18"/>
          <w:szCs w:val="18"/>
          <w:color w:val="auto"/>
        </w:rPr>
      </w:pPr>
      <w:r>
        <w:rPr>
          <w:rFonts w:ascii="Arial" w:cs="Arial" w:eastAsia="Arial" w:hAnsi="Arial"/>
          <w:sz w:val="18"/>
          <w:szCs w:val="18"/>
          <w:color w:val="auto"/>
        </w:rPr>
        <w:t>Amount beneficially owned: 2,086,284</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Percent of Class: 4.9%</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784" w:hanging="488"/>
        <w:spacing w:after="0"/>
        <w:tabs>
          <w:tab w:leader="none" w:pos="1784" w:val="left"/>
        </w:tabs>
        <w:numPr>
          <w:ilvl w:val="2"/>
          <w:numId w:val="5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824" w:hanging="528"/>
        <w:spacing w:after="0"/>
        <w:tabs>
          <w:tab w:leader="none" w:pos="1824" w:val="left"/>
        </w:tabs>
        <w:numPr>
          <w:ilvl w:val="2"/>
          <w:numId w:val="53"/>
        </w:numPr>
        <w:rPr>
          <w:rFonts w:ascii="Arial" w:cs="Arial" w:eastAsia="Arial" w:hAnsi="Arial"/>
          <w:sz w:val="18"/>
          <w:szCs w:val="18"/>
          <w:color w:val="auto"/>
        </w:rPr>
      </w:pPr>
      <w:r>
        <w:rPr>
          <w:rFonts w:ascii="Arial" w:cs="Arial" w:eastAsia="Arial" w:hAnsi="Arial"/>
          <w:sz w:val="18"/>
          <w:szCs w:val="18"/>
          <w:color w:val="auto"/>
        </w:rPr>
        <w:t>Shared power to vote or to direct the vote: 2,086,284</w:t>
      </w:r>
    </w:p>
    <w:p>
      <w:pPr>
        <w:spacing w:after="0" w:line="9" w:lineRule="exact"/>
        <w:rPr>
          <w:rFonts w:ascii="Arial" w:cs="Arial" w:eastAsia="Arial" w:hAnsi="Arial"/>
          <w:sz w:val="18"/>
          <w:szCs w:val="18"/>
          <w:color w:val="auto"/>
        </w:rPr>
      </w:pPr>
    </w:p>
    <w:p>
      <w:pPr>
        <w:ind w:left="1884" w:hanging="588"/>
        <w:spacing w:after="0"/>
        <w:tabs>
          <w:tab w:leader="none" w:pos="1884" w:val="left"/>
        </w:tabs>
        <w:numPr>
          <w:ilvl w:val="2"/>
          <w:numId w:val="5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864" w:hanging="568"/>
        <w:spacing w:after="0"/>
        <w:tabs>
          <w:tab w:leader="none" w:pos="1864" w:val="left"/>
        </w:tabs>
        <w:numPr>
          <w:ilvl w:val="2"/>
          <w:numId w:val="5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2,086,284</w:t>
      </w:r>
    </w:p>
    <w:p>
      <w:pPr>
        <w:spacing w:after="0" w:line="211" w:lineRule="exact"/>
        <w:rPr>
          <w:sz w:val="20"/>
          <w:szCs w:val="20"/>
          <w:color w:val="auto"/>
        </w:rPr>
      </w:pPr>
    </w:p>
    <w:p>
      <w:pPr>
        <w:ind w:left="1304"/>
        <w:spacing w:after="0" w:line="293" w:lineRule="auto"/>
        <w:rPr>
          <w:sz w:val="20"/>
          <w:szCs w:val="20"/>
          <w:color w:val="auto"/>
        </w:rPr>
      </w:pPr>
      <w:r>
        <w:rPr>
          <w:rFonts w:ascii="Arial" w:cs="Arial" w:eastAsia="Arial" w:hAnsi="Arial"/>
          <w:sz w:val="16"/>
          <w:szCs w:val="16"/>
          <w:color w:val="auto"/>
        </w:rPr>
        <w:t>VGOP has the authority to dispose of and vote the shares of Common Stock directly owned by it, which power may be exercised by its general partner, Opportunities Portfolio GP, and by VGI, an affiliate of Opportunities Portfolio GP, which provides managerial services to VGOP. 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VGOP.</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8"/>
          <w:szCs w:val="18"/>
          <w:color w:val="auto"/>
        </w:rPr>
        <w:t>F. O. Andreas Halvorsen, David C. Ott and Rose S. Shabet</w:t>
      </w:r>
    </w:p>
    <w:p>
      <w:pPr>
        <w:spacing w:after="0" w:line="225" w:lineRule="exact"/>
        <w:rPr>
          <w:sz w:val="20"/>
          <w:szCs w:val="20"/>
          <w:color w:val="auto"/>
        </w:rPr>
      </w:pPr>
    </w:p>
    <w:p>
      <w:pPr>
        <w:ind w:left="1144" w:hanging="496"/>
        <w:spacing w:after="0"/>
        <w:tabs>
          <w:tab w:leader="none" w:pos="1144"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 beneficially owned: 2,641,840</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Percent of Class: 6.1%</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306070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4"/>
          </w:cols>
          <w:pgMar w:left="976" w:top="476" w:right="579" w:bottom="1440" w:gutter="0" w:footer="0" w:header="0"/>
        </w:sectPr>
      </w:pPr>
    </w:p>
    <w:bookmarkStart w:id="13" w:name="page14"/>
    <w:bookmarkEnd w:id="13"/>
    <w:p>
      <w:pPr>
        <w:ind w:left="2440" w:hanging="488"/>
        <w:spacing w:after="0"/>
        <w:tabs>
          <w:tab w:leader="none" w:pos="2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2480" w:hanging="528"/>
        <w:spacing w:after="0"/>
        <w:tabs>
          <w:tab w:leader="none" w:pos="2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Shared power to vote or to direct the vote: 2,641,840</w:t>
      </w:r>
    </w:p>
    <w:p>
      <w:pPr>
        <w:spacing w:after="0" w:line="9" w:lineRule="exact"/>
        <w:rPr>
          <w:rFonts w:ascii="Arial" w:cs="Arial" w:eastAsia="Arial" w:hAnsi="Arial"/>
          <w:sz w:val="18"/>
          <w:szCs w:val="18"/>
          <w:color w:val="auto"/>
        </w:rPr>
      </w:pPr>
    </w:p>
    <w:p>
      <w:pPr>
        <w:ind w:left="2540" w:hanging="588"/>
        <w:spacing w:after="0"/>
        <w:tabs>
          <w:tab w:leader="none" w:pos="2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2520" w:hanging="568"/>
        <w:spacing w:after="0"/>
        <w:tabs>
          <w:tab w:leader="none" w:pos="2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2,641,840</w:t>
      </w:r>
    </w:p>
    <w:p>
      <w:pPr>
        <w:spacing w:after="0" w:line="211" w:lineRule="exact"/>
        <w:rPr>
          <w:sz w:val="20"/>
          <w:szCs w:val="20"/>
          <w:color w:val="auto"/>
        </w:rPr>
      </w:pPr>
    </w:p>
    <w:p>
      <w:pPr>
        <w:ind w:left="1960"/>
        <w:spacing w:after="0" w:line="286" w:lineRule="auto"/>
        <w:rPr>
          <w:sz w:val="20"/>
          <w:szCs w:val="20"/>
          <w:color w:val="auto"/>
        </w:rPr>
      </w:pPr>
      <w:r>
        <w:rPr>
          <w:rFonts w:ascii="Arial" w:cs="Arial" w:eastAsia="Arial" w:hAnsi="Arial"/>
          <w:sz w:val="17"/>
          <w:szCs w:val="17"/>
          <w:color w:val="auto"/>
        </w:rPr>
        <w:t>Mr. Halvorsen, Mr. Ott and Ms. Shabet, as Executive Committee Members of Viking Global Partners LLC, general partner of VGI and Opportunities GP have shared authority to dispose of and vote the shares of Common Stock beneficially owned by VGI and Opportunities GP. None of Mr. Halvorsen, Mr. Ott and Ms. Shabet directly owns any shares of Common Stock.</w:t>
      </w:r>
    </w:p>
    <w:p>
      <w:pPr>
        <w:spacing w:after="0" w:line="165" w:lineRule="exact"/>
        <w:rPr>
          <w:sz w:val="20"/>
          <w:szCs w:val="20"/>
          <w:color w:val="auto"/>
        </w:rPr>
      </w:pPr>
    </w:p>
    <w:p>
      <w:pPr>
        <w:ind w:left="1960" w:right="140"/>
        <w:spacing w:after="0" w:line="277" w:lineRule="auto"/>
        <w:rPr>
          <w:sz w:val="20"/>
          <w:szCs w:val="20"/>
          <w:color w:val="auto"/>
        </w:rPr>
      </w:pPr>
      <w:r>
        <w:rPr>
          <w:rFonts w:ascii="Arial" w:cs="Arial" w:eastAsia="Arial" w:hAnsi="Arial"/>
          <w:sz w:val="18"/>
          <w:szCs w:val="18"/>
          <w:color w:val="auto"/>
        </w:rPr>
        <w:t>Based on Rule 13d-3 of the Act, each may be deemed to beneficially own the shares of Common Stock directly held by VGOL and VGOP.</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225"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Persons have ceased to be the beneficial owner of more than five percent of the class of securities, check the following [ ].</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 Person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225"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10</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Certification</w:t>
      </w:r>
      <w:r>
        <w:rPr>
          <w:rFonts w:ascii="Arial" w:cs="Arial" w:eastAsia="Arial" w:hAnsi="Arial"/>
          <w:sz w:val="16"/>
          <w:szCs w:val="16"/>
          <w:color w:val="auto"/>
        </w:rPr>
        <w:t>. (if filing pursuant to Rule 13d-1(c))</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After reasonable inquiry and to the best of our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2020</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O. ANDREAS HALVORSEN</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O. Andreas Halvorsen - individually and as an Executive Committee</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Member of VIKING GLOBAL PARTNERS LLC, on behalf of VIKING</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GLOBAL INVESTORS LP, and as an Executive Committee Member of</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VIKING GLOBAL OPPORTUNITIES GP LLC, on behalf of itself and</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VIKING GLOBAL OPPORTUNITIES PORTFOLIO GP LLC, VIKING</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GLOBAL OPPORTUNITIES LIQUID PORTFOLIO SUB-MASTER LP, and</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VIKING GLOBAL OPPORTUNITIES ILLIQUID INVESTMENTS SUB-</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MASTER LP</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DAVID C. OTT</w:t>
      </w:r>
    </w:p>
    <w:p>
      <w:pPr>
        <w:spacing w:after="0" w:line="225" w:lineRule="exact"/>
        <w:rPr>
          <w:sz w:val="20"/>
          <w:szCs w:val="20"/>
          <w:color w:val="auto"/>
        </w:rPr>
      </w:pPr>
    </w:p>
    <w:p>
      <w:pPr>
        <w:ind w:left="5520"/>
        <w:spacing w:after="0" w:line="272" w:lineRule="auto"/>
        <w:rPr>
          <w:sz w:val="20"/>
          <w:szCs w:val="20"/>
          <w:color w:val="auto"/>
        </w:rPr>
      </w:pPr>
      <w:r>
        <w:rPr>
          <w:rFonts w:ascii="Arial" w:cs="Arial" w:eastAsia="Arial" w:hAnsi="Arial"/>
          <w:sz w:val="17"/>
          <w:szCs w:val="17"/>
          <w:color w:val="auto"/>
        </w:rPr>
        <w:t>By: David C. Ott - individually and as an Executive Committee Member of VIKING GLOBAL PARTNERS LLC, on behalf of VIKING GLOBAL INVESTORS LP, and as an Executive Committee Member of VIKING GLOBAL OPPORTUNITIES GP LLC, on behalf of itself and VIKING GLOBAL OPPORTUNITIES PORTFOLIO GP LLC, VIKING GLOBAL OPPORTUNITIES LIQUID PORTFOLIO SUB-MASTER LP, and VIKING GLOBAL OPPORTUNITIES ILLIQUID INVESTMENTS SUB-MASTER LP</w:t>
      </w:r>
    </w:p>
    <w:p>
      <w:pPr>
        <w:spacing w:after="0" w:line="1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ROSE S. SHABET</w:t>
      </w:r>
    </w:p>
    <w:p>
      <w:pPr>
        <w:spacing w:after="0" w:line="225" w:lineRule="exact"/>
        <w:rPr>
          <w:sz w:val="20"/>
          <w:szCs w:val="20"/>
          <w:color w:val="auto"/>
        </w:rPr>
      </w:pPr>
    </w:p>
    <w:p>
      <w:pPr>
        <w:ind w:left="5520"/>
        <w:spacing w:after="0" w:line="272" w:lineRule="auto"/>
        <w:rPr>
          <w:sz w:val="20"/>
          <w:szCs w:val="20"/>
          <w:color w:val="auto"/>
        </w:rPr>
      </w:pPr>
      <w:r>
        <w:rPr>
          <w:rFonts w:ascii="Arial" w:cs="Arial" w:eastAsia="Arial" w:hAnsi="Arial"/>
          <w:sz w:val="17"/>
          <w:szCs w:val="17"/>
          <w:color w:val="auto"/>
        </w:rPr>
        <w:t>By: Rose S. Shabet - individually and as an Executive Committee Member of VIKING GLOBAL PARTNERS LLC, on behalf of VIKING GLOBAL INVESTORS LP, and as an Executive Committee Member of VIKING GLOBAL OPPORTUNITIES GP LLC, on behalf of itself and VIKING GLOBAL OPPORTUNITIES PORTFOLIO GP LLC, VIKING GLOBAL OPPORTUNITIES LIQUID PORTFOLIO SUB-MASTER LP, and VIKING GLOBAL OPPORTUNITIES ILLIQUID INVESTMENTS SUB-MASTER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lvl w:ilvl="1">
      <w:lvlJc w:val="left"/>
      <w:lvlText w:val="☒"/>
      <w:numFmt w:val="bullet"/>
      <w:start w:val="1"/>
    </w:lvl>
  </w:abstractNum>
  <w:abstractNum w:abstractNumId="2">
    <w:nsid w:val="2901D82"/>
    <w:multiLevelType w:val="hybridMultilevel"/>
    <w:lvl w:ilvl="0">
      <w:lvlJc w:val="left"/>
      <w:lvlText w:val="1"/>
      <w:numFmt w:val="bullet"/>
      <w:start w:val="1"/>
    </w:lvl>
  </w:abstractNum>
  <w:abstractNum w:abstractNumId="3">
    <w:nsid w:val="3A95F874"/>
    <w:multiLevelType w:val="hybridMultilevel"/>
    <w:lvl w:ilvl="0">
      <w:lvlJc w:val="left"/>
      <w:lvlText w:val="2"/>
      <w:numFmt w:val="bullet"/>
      <w:start w:val="1"/>
    </w:lvl>
  </w:abstractNum>
  <w:abstractNum w:abstractNumId="4">
    <w:nsid w:val="8138641"/>
    <w:multiLevelType w:val="hybridMultilevel"/>
    <w:lvl w:ilvl="0">
      <w:lvlJc w:val="left"/>
      <w:lvlText w:val="3"/>
      <w:numFmt w:val="bullet"/>
      <w:start w:val="1"/>
    </w:lvl>
  </w:abstractNum>
  <w:abstractNum w:abstractNumId="5">
    <w:nsid w:val="1E7FF521"/>
    <w:multiLevelType w:val="hybridMultilevel"/>
    <w:lvl w:ilvl="0">
      <w:lvlJc w:val="left"/>
      <w:lvlText w:val="4"/>
      <w:numFmt w:val="bullet"/>
      <w:start w:val="1"/>
    </w:lvl>
  </w:abstractNum>
  <w:abstractNum w:abstractNumId="6">
    <w:nsid w:val="7C3DBD3D"/>
    <w:multiLevelType w:val="hybridMultilevel"/>
    <w:lvl w:ilvl="0">
      <w:lvlJc w:val="left"/>
      <w:lvlText w:val="1"/>
      <w:numFmt w:val="bullet"/>
      <w:start w:val="1"/>
    </w:lvl>
  </w:abstractNum>
  <w:abstractNum w:abstractNumId="7">
    <w:nsid w:val="737B8DDC"/>
    <w:multiLevelType w:val="hybridMultilevel"/>
    <w:lvl w:ilvl="0">
      <w:lvlJc w:val="left"/>
      <w:lvlText w:val="2"/>
      <w:numFmt w:val="bullet"/>
      <w:start w:val="1"/>
    </w:lvl>
  </w:abstractNum>
  <w:abstractNum w:abstractNumId="8">
    <w:nsid w:val="6CEAF087"/>
    <w:multiLevelType w:val="hybridMultilevel"/>
    <w:lvl w:ilvl="0">
      <w:lvlJc w:val="left"/>
      <w:lvlText w:val="3"/>
      <w:numFmt w:val="bullet"/>
      <w:start w:val="1"/>
    </w:lvl>
  </w:abstractNum>
  <w:abstractNum w:abstractNumId="9">
    <w:nsid w:val="22221A70"/>
    <w:multiLevelType w:val="hybridMultilevel"/>
    <w:lvl w:ilvl="0">
      <w:lvlJc w:val="left"/>
      <w:lvlText w:val="4"/>
      <w:numFmt w:val="bullet"/>
      <w:start w:val="1"/>
    </w:lvl>
  </w:abstractNum>
  <w:abstractNum w:abstractNumId="10">
    <w:nsid w:val="4516DDE9"/>
    <w:multiLevelType w:val="hybridMultilevel"/>
    <w:lvl w:ilvl="0">
      <w:lvlJc w:val="left"/>
      <w:lvlText w:val="1"/>
      <w:numFmt w:val="bullet"/>
      <w:start w:val="1"/>
    </w:lvl>
  </w:abstractNum>
  <w:abstractNum w:abstractNumId="11">
    <w:nsid w:val="3006C83E"/>
    <w:multiLevelType w:val="hybridMultilevel"/>
    <w:lvl w:ilvl="0">
      <w:lvlJc w:val="left"/>
      <w:lvlText w:val="2"/>
      <w:numFmt w:val="bullet"/>
      <w:start w:val="1"/>
    </w:lvl>
  </w:abstractNum>
  <w:abstractNum w:abstractNumId="12">
    <w:nsid w:val="614FD4A1"/>
    <w:multiLevelType w:val="hybridMultilevel"/>
    <w:lvl w:ilvl="0">
      <w:lvlJc w:val="left"/>
      <w:lvlText w:val="3"/>
      <w:numFmt w:val="bullet"/>
      <w:start w:val="1"/>
    </w:lvl>
  </w:abstractNum>
  <w:abstractNum w:abstractNumId="13">
    <w:nsid w:val="419AC241"/>
    <w:multiLevelType w:val="hybridMultilevel"/>
    <w:lvl w:ilvl="0">
      <w:lvlJc w:val="left"/>
      <w:lvlText w:val="4"/>
      <w:numFmt w:val="bullet"/>
      <w:start w:val="1"/>
    </w:lvl>
  </w:abstractNum>
  <w:abstractNum w:abstractNumId="14">
    <w:nsid w:val="5577F8E1"/>
    <w:multiLevelType w:val="hybridMultilevel"/>
    <w:lvl w:ilvl="0">
      <w:lvlJc w:val="left"/>
      <w:lvlText w:val="9"/>
      <w:numFmt w:val="bullet"/>
      <w:start w:val="1"/>
    </w:lvl>
  </w:abstractNum>
  <w:abstractNum w:abstractNumId="15">
    <w:nsid w:val="440BADFC"/>
    <w:multiLevelType w:val="hybridMultilevel"/>
    <w:lvl w:ilvl="0">
      <w:lvlJc w:val="left"/>
      <w:lvlText w:val="*"/>
      <w:numFmt w:val="bullet"/>
      <w:start w:val="1"/>
    </w:lvl>
    <w:lvl w:ilvl="1">
      <w:lvlJc w:val="left"/>
      <w:lvlText w:val="%2"/>
      <w:numFmt w:val="decimal"/>
      <w:start w:val="10"/>
    </w:lvl>
  </w:abstractNum>
  <w:abstractNum w:abstractNumId="16">
    <w:nsid w:val="5072367"/>
    <w:multiLevelType w:val="hybridMultilevel"/>
    <w:lvl w:ilvl="0">
      <w:lvlJc w:val="left"/>
      <w:lvlText w:val="1"/>
      <w:numFmt w:val="bullet"/>
      <w:start w:val="1"/>
    </w:lvl>
  </w:abstractNum>
  <w:abstractNum w:abstractNumId="17">
    <w:nsid w:val="3804823E"/>
    <w:multiLevelType w:val="hybridMultilevel"/>
    <w:lvl w:ilvl="0">
      <w:lvlJc w:val="left"/>
      <w:lvlText w:val="2"/>
      <w:numFmt w:val="bullet"/>
      <w:start w:val="1"/>
    </w:lvl>
  </w:abstractNum>
  <w:abstractNum w:abstractNumId="18">
    <w:nsid w:val="77465F01"/>
    <w:multiLevelType w:val="hybridMultilevel"/>
    <w:lvl w:ilvl="0">
      <w:lvlJc w:val="left"/>
      <w:lvlText w:val="3"/>
      <w:numFmt w:val="bullet"/>
      <w:start w:val="1"/>
    </w:lvl>
  </w:abstractNum>
  <w:abstractNum w:abstractNumId="19">
    <w:nsid w:val="7724C67E"/>
    <w:multiLevelType w:val="hybridMultilevel"/>
    <w:lvl w:ilvl="0">
      <w:lvlJc w:val="left"/>
      <w:lvlText w:val="4"/>
      <w:numFmt w:val="bullet"/>
      <w:start w:val="1"/>
    </w:lvl>
  </w:abstractNum>
  <w:abstractNum w:abstractNumId="20">
    <w:nsid w:val="5C482A97"/>
    <w:multiLevelType w:val="hybridMultilevel"/>
    <w:lvl w:ilvl="0">
      <w:lvlJc w:val="left"/>
      <w:lvlText w:val="1"/>
      <w:numFmt w:val="bullet"/>
      <w:start w:val="1"/>
    </w:lvl>
  </w:abstractNum>
  <w:abstractNum w:abstractNumId="21">
    <w:nsid w:val="2463B9EA"/>
    <w:multiLevelType w:val="hybridMultilevel"/>
    <w:lvl w:ilvl="0">
      <w:lvlJc w:val="left"/>
      <w:lvlText w:val="2"/>
      <w:numFmt w:val="bullet"/>
      <w:start w:val="1"/>
    </w:lvl>
  </w:abstractNum>
  <w:abstractNum w:abstractNumId="22">
    <w:nsid w:val="5E884ADC"/>
    <w:multiLevelType w:val="hybridMultilevel"/>
    <w:lvl w:ilvl="0">
      <w:lvlJc w:val="left"/>
      <w:lvlText w:val="3"/>
      <w:numFmt w:val="bullet"/>
      <w:start w:val="1"/>
    </w:lvl>
  </w:abstractNum>
  <w:abstractNum w:abstractNumId="23">
    <w:nsid w:val="51EAD36B"/>
    <w:multiLevelType w:val="hybridMultilevel"/>
    <w:lvl w:ilvl="0">
      <w:lvlJc w:val="left"/>
      <w:lvlText w:val="4"/>
      <w:numFmt w:val="bullet"/>
      <w:start w:val="1"/>
    </w:lvl>
  </w:abstractNum>
  <w:abstractNum w:abstractNumId="24">
    <w:nsid w:val="2D517796"/>
    <w:multiLevelType w:val="hybridMultilevel"/>
    <w:lvl w:ilvl="0">
      <w:lvlJc w:val="left"/>
      <w:lvlText w:val="9"/>
      <w:numFmt w:val="bullet"/>
      <w:start w:val="1"/>
    </w:lvl>
  </w:abstractNum>
  <w:abstractNum w:abstractNumId="25">
    <w:nsid w:val="580BD78F"/>
    <w:multiLevelType w:val="hybridMultilevel"/>
    <w:lvl w:ilvl="0">
      <w:lvlJc w:val="left"/>
      <w:lvlText w:val="*"/>
      <w:numFmt w:val="bullet"/>
      <w:start w:val="1"/>
    </w:lvl>
    <w:lvl w:ilvl="1">
      <w:lvlJc w:val="left"/>
      <w:lvlText w:val="%2"/>
      <w:numFmt w:val="decimal"/>
      <w:start w:val="10"/>
    </w:lvl>
  </w:abstractNum>
  <w:abstractNum w:abstractNumId="26">
    <w:nsid w:val="153EA438"/>
    <w:multiLevelType w:val="hybridMultilevel"/>
    <w:lvl w:ilvl="0">
      <w:lvlJc w:val="left"/>
      <w:lvlText w:val="1"/>
      <w:numFmt w:val="bullet"/>
      <w:start w:val="1"/>
    </w:lvl>
  </w:abstractNum>
  <w:abstractNum w:abstractNumId="27">
    <w:nsid w:val="3855585C"/>
    <w:multiLevelType w:val="hybridMultilevel"/>
    <w:lvl w:ilvl="0">
      <w:lvlJc w:val="left"/>
      <w:lvlText w:val="2"/>
      <w:numFmt w:val="bullet"/>
      <w:start w:val="1"/>
    </w:lvl>
  </w:abstractNum>
  <w:abstractNum w:abstractNumId="28">
    <w:nsid w:val="70A64E2A"/>
    <w:multiLevelType w:val="hybridMultilevel"/>
    <w:lvl w:ilvl="0">
      <w:lvlJc w:val="left"/>
      <w:lvlText w:val="3"/>
      <w:numFmt w:val="bullet"/>
      <w:start w:val="1"/>
    </w:lvl>
  </w:abstractNum>
  <w:abstractNum w:abstractNumId="29">
    <w:nsid w:val="6A2342EC"/>
    <w:multiLevelType w:val="hybridMultilevel"/>
    <w:lvl w:ilvl="0">
      <w:lvlJc w:val="left"/>
      <w:lvlText w:val="4"/>
      <w:numFmt w:val="bullet"/>
      <w:start w:val="1"/>
    </w:lvl>
  </w:abstractNum>
  <w:abstractNum w:abstractNumId="30">
    <w:nsid w:val="2A487CB0"/>
    <w:multiLevelType w:val="hybridMultilevel"/>
    <w:lvl w:ilvl="0">
      <w:lvlJc w:val="left"/>
      <w:lvlText w:val="9"/>
      <w:numFmt w:val="bullet"/>
      <w:start w:val="1"/>
    </w:lvl>
  </w:abstractNum>
  <w:abstractNum w:abstractNumId="31">
    <w:nsid w:val="1D4ED43B"/>
    <w:multiLevelType w:val="hybridMultilevel"/>
    <w:lvl w:ilvl="0">
      <w:lvlJc w:val="left"/>
      <w:lvlText w:val="*"/>
      <w:numFmt w:val="bullet"/>
      <w:start w:val="1"/>
    </w:lvl>
    <w:lvl w:ilvl="1">
      <w:lvlJc w:val="left"/>
      <w:lvlText w:val="%2"/>
      <w:numFmt w:val="decimal"/>
      <w:start w:val="10"/>
    </w:lvl>
  </w:abstractNum>
  <w:abstractNum w:abstractNumId="32">
    <w:nsid w:val="725A06FB"/>
    <w:multiLevelType w:val="hybridMultilevel"/>
    <w:lvl w:ilvl="0">
      <w:lvlJc w:val="left"/>
      <w:lvlText w:val="1"/>
      <w:numFmt w:val="bullet"/>
      <w:start w:val="1"/>
    </w:lvl>
  </w:abstractNum>
  <w:abstractNum w:abstractNumId="33">
    <w:nsid w:val="2CD89A32"/>
    <w:multiLevelType w:val="hybridMultilevel"/>
    <w:lvl w:ilvl="0">
      <w:lvlJc w:val="left"/>
      <w:lvlText w:val="2"/>
      <w:numFmt w:val="bullet"/>
      <w:start w:val="1"/>
    </w:lvl>
  </w:abstractNum>
  <w:abstractNum w:abstractNumId="34">
    <w:nsid w:val="57E4CCAF"/>
    <w:multiLevelType w:val="hybridMultilevel"/>
    <w:lvl w:ilvl="0">
      <w:lvlJc w:val="left"/>
      <w:lvlText w:val="3"/>
      <w:numFmt w:val="bullet"/>
      <w:start w:val="1"/>
    </w:lvl>
  </w:abstractNum>
  <w:abstractNum w:abstractNumId="35">
    <w:nsid w:val="7A6D8D3C"/>
    <w:multiLevelType w:val="hybridMultilevel"/>
    <w:lvl w:ilvl="0">
      <w:lvlJc w:val="left"/>
      <w:lvlText w:val="4"/>
      <w:numFmt w:val="bullet"/>
      <w:start w:val="1"/>
    </w:lvl>
  </w:abstractNum>
  <w:abstractNum w:abstractNumId="36">
    <w:nsid w:val="4B588F54"/>
    <w:multiLevelType w:val="hybridMultilevel"/>
    <w:lvl w:ilvl="0">
      <w:lvlJc w:val="left"/>
      <w:lvlText w:val="9"/>
      <w:numFmt w:val="bullet"/>
      <w:start w:val="1"/>
    </w:lvl>
  </w:abstractNum>
  <w:abstractNum w:abstractNumId="37">
    <w:nsid w:val="542289EC"/>
    <w:multiLevelType w:val="hybridMultilevel"/>
    <w:lvl w:ilvl="0">
      <w:lvlJc w:val="left"/>
      <w:lvlText w:val="*"/>
      <w:numFmt w:val="bullet"/>
      <w:start w:val="1"/>
    </w:lvl>
    <w:lvl w:ilvl="1">
      <w:lvlJc w:val="left"/>
      <w:lvlText w:val="%2"/>
      <w:numFmt w:val="decimal"/>
      <w:start w:val="10"/>
    </w:lvl>
  </w:abstractNum>
  <w:abstractNum w:abstractNumId="38">
    <w:nsid w:val="6DE91B18"/>
    <w:multiLevelType w:val="hybridMultilevel"/>
    <w:lvl w:ilvl="0">
      <w:lvlJc w:val="left"/>
      <w:lvlText w:val="1"/>
      <w:numFmt w:val="bullet"/>
      <w:start w:val="1"/>
    </w:lvl>
  </w:abstractNum>
  <w:abstractNum w:abstractNumId="39">
    <w:nsid w:val="38437FDB"/>
    <w:multiLevelType w:val="hybridMultilevel"/>
    <w:lvl w:ilvl="0">
      <w:lvlJc w:val="left"/>
      <w:lvlText w:val="2"/>
      <w:numFmt w:val="bullet"/>
      <w:start w:val="1"/>
    </w:lvl>
  </w:abstractNum>
  <w:abstractNum w:abstractNumId="40">
    <w:nsid w:val="7644A45C"/>
    <w:multiLevelType w:val="hybridMultilevel"/>
    <w:lvl w:ilvl="0">
      <w:lvlJc w:val="left"/>
      <w:lvlText w:val="3"/>
      <w:numFmt w:val="bullet"/>
      <w:start w:val="1"/>
    </w:lvl>
  </w:abstractNum>
  <w:abstractNum w:abstractNumId="41">
    <w:nsid w:val="32FFF902"/>
    <w:multiLevelType w:val="hybridMultilevel"/>
    <w:lvl w:ilvl="0">
      <w:lvlJc w:val="left"/>
      <w:lvlText w:val="4"/>
      <w:numFmt w:val="bullet"/>
      <w:start w:val="1"/>
    </w:lvl>
  </w:abstractNum>
  <w:abstractNum w:abstractNumId="42">
    <w:nsid w:val="684A481A"/>
    <w:multiLevelType w:val="hybridMultilevel"/>
    <w:lvl w:ilvl="0">
      <w:lvlJc w:val="left"/>
      <w:lvlText w:val="9"/>
      <w:numFmt w:val="bullet"/>
      <w:start w:val="1"/>
    </w:lvl>
  </w:abstractNum>
  <w:abstractNum w:abstractNumId="43">
    <w:nsid w:val="579478FE"/>
    <w:multiLevelType w:val="hybridMultilevel"/>
    <w:lvl w:ilvl="0">
      <w:lvlJc w:val="left"/>
      <w:lvlText w:val="*"/>
      <w:numFmt w:val="bullet"/>
      <w:start w:val="1"/>
    </w:lvl>
    <w:lvl w:ilvl="1">
      <w:lvlJc w:val="left"/>
      <w:lvlText w:val="%2"/>
      <w:numFmt w:val="decimal"/>
      <w:start w:val="10"/>
    </w:lvl>
  </w:abstractNum>
  <w:abstractNum w:abstractNumId="44">
    <w:nsid w:val="749ABB43"/>
    <w:multiLevelType w:val="hybridMultilevel"/>
    <w:lvl w:ilvl="0">
      <w:lvlJc w:val="left"/>
      <w:lvlText w:val="(%1)"/>
      <w:numFmt w:val="lowerLetter"/>
      <w:start w:val="1"/>
    </w:lvl>
  </w:abstractNum>
  <w:abstractNum w:abstractNumId="45">
    <w:nsid w:val="3DC240FB"/>
    <w:multiLevelType w:val="hybridMultilevel"/>
    <w:lvl w:ilvl="0">
      <w:lvlJc w:val="left"/>
      <w:lvlText w:val="(%1)"/>
      <w:numFmt w:val="lowerLetter"/>
      <w:start w:val="5"/>
    </w:lvl>
  </w:abstractNum>
  <w:abstractNum w:abstractNumId="46">
    <w:nsid w:val="1BA026FA"/>
    <w:multiLevelType w:val="hybridMultilevel"/>
    <w:lvl w:ilvl="0">
      <w:lvlJc w:val="left"/>
      <w:lvlText w:val="(%1)"/>
      <w:numFmt w:val="lowerLetter"/>
      <w:start w:val="1"/>
    </w:lvl>
    <w:lvl w:ilvl="1">
      <w:lvlJc w:val="left"/>
      <w:lvlText w:val="(%2)"/>
      <w:numFmt w:val="lowerRoman"/>
      <w:start w:val="1"/>
    </w:lvl>
  </w:abstractNum>
  <w:abstractNum w:abstractNumId="47">
    <w:nsid w:val="79A1DEAA"/>
    <w:multiLevelType w:val="hybridMultilevel"/>
    <w:lvl w:ilvl="0">
      <w:lvlJc w:val="left"/>
      <w:lvlText w:val="(%1)"/>
      <w:numFmt w:val="lowerLetter"/>
      <w:start w:val="1"/>
    </w:lvl>
  </w:abstractNum>
  <w:abstractNum w:abstractNumId="48">
    <w:nsid w:val="75C6C33A"/>
    <w:multiLevelType w:val="hybridMultilevel"/>
    <w:lvl w:ilvl="0">
      <w:lvlJc w:val="left"/>
      <w:lvlText w:val="(%1)"/>
      <w:numFmt w:val="lowerLetter"/>
      <w:start w:val="2"/>
    </w:lvl>
    <w:lvl w:ilvl="1">
      <w:lvlJc w:val="left"/>
      <w:lvlText w:val="(%2)"/>
      <w:numFmt w:val="lowerRoman"/>
      <w:start w:val="1"/>
    </w:lvl>
  </w:abstractNum>
  <w:abstractNum w:abstractNumId="49">
    <w:nsid w:val="12E685FB"/>
    <w:multiLevelType w:val="hybridMultilevel"/>
    <w:lvl w:ilvl="0">
      <w:lvlJc w:val="left"/>
      <w:lvlText w:val="(%1)"/>
      <w:numFmt w:val="lowerLetter"/>
      <w:start w:val="1"/>
    </w:lvl>
    <w:lvl w:ilvl="1">
      <w:lvlJc w:val="left"/>
      <w:lvlText w:val="(%2)"/>
      <w:numFmt w:val="lowerRoman"/>
      <w:start w:val="1"/>
    </w:lvl>
  </w:abstractNum>
  <w:abstractNum w:abstractNumId="50">
    <w:nsid w:val="70C6A529"/>
    <w:multiLevelType w:val="hybridMultilevel"/>
    <w:lvl w:ilvl="0">
      <w:lvlJc w:val="left"/>
      <w:lvlText w:val="%1."/>
      <w:numFmt w:val="upperLetter"/>
      <w:start w:val="4"/>
    </w:lvl>
    <w:lvl w:ilvl="1">
      <w:lvlJc w:val="left"/>
      <w:lvlText w:val="(%2)"/>
      <w:numFmt w:val="lowerLetter"/>
      <w:start w:val="1"/>
    </w:lvl>
  </w:abstractNum>
  <w:abstractNum w:abstractNumId="51">
    <w:nsid w:val="520EEDD1"/>
    <w:multiLevelType w:val="hybridMultilevel"/>
    <w:lvl w:ilvl="0">
      <w:lvlJc w:val="left"/>
      <w:lvlText w:val="(%1)"/>
      <w:numFmt w:val="lowerRoman"/>
      <w:start w:val="1"/>
    </w:lvl>
  </w:abstractNum>
  <w:abstractNum w:abstractNumId="52">
    <w:nsid w:val="374A3FE6"/>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53">
    <w:nsid w:val="4F4EF005"/>
    <w:multiLevelType w:val="hybridMultilevel"/>
    <w:lvl w:ilvl="0">
      <w:lvlJc w:val="left"/>
      <w:lvlText w:val="(%1)"/>
      <w:numFmt w:val="lowerLetter"/>
      <w:start w:val="1"/>
    </w:lvl>
  </w:abstractNum>
  <w:abstractNum w:abstractNumId="54">
    <w:nsid w:val="23F9C13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2020-10-05T16:08:40Z</dcterms:created>
  <dcterms:modified xsi:type="dcterms:W3CDTF">2020-10-05T16:08:40Z</dcterms:modified>
</cp:coreProperties>
</file>