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260" w:type="dxa"/>
        <w:tblCellMar>
          <w:top w:w="0" w:type="dxa"/>
          <w:left w:w="0" w:type="dxa"/>
          <w:bottom w:w="0" w:type="dxa"/>
          <w:right w:w="0" w:type="dxa"/>
        </w:tblCellMar>
      </w:tblPr>
      <w:tr>
        <w:trPr>
          <w:trHeight w:val="222"/>
        </w:trPr>
        <w:tc>
          <w:tcPr>
            <w:tcW w:w="4460" w:type="dxa"/>
            <w:vAlign w:val="bottom"/>
          </w:tcPr>
          <w:p>
            <w:pPr>
              <w:jc w:val="center"/>
              <w:ind w:right="3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2"/>
        </w:trPr>
        <w:tc>
          <w:tcPr>
            <w:tcW w:w="4460" w:type="dxa"/>
            <w:vAlign w:val="bottom"/>
          </w:tcPr>
          <w:p>
            <w:pPr>
              <w:jc w:val="center"/>
              <w:ind w:right="384"/>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52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9"/>
        </w:trPr>
        <w:tc>
          <w:tcPr>
            <w:tcW w:w="4460" w:type="dxa"/>
            <w:vAlign w:val="bottom"/>
          </w:tcPr>
          <w:p>
            <w:pPr>
              <w:jc w:val="center"/>
              <w:ind w:right="384"/>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5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35"/>
        </w:trPr>
        <w:tc>
          <w:tcPr>
            <w:tcW w:w="4460" w:type="dxa"/>
            <w:vAlign w:val="bottom"/>
          </w:tcPr>
          <w:p>
            <w:pPr>
              <w:jc w:val="center"/>
              <w:ind w:right="444"/>
              <w:spacing w:after="0"/>
              <w:rPr>
                <w:sz w:val="20"/>
                <w:szCs w:val="20"/>
                <w:color w:val="auto"/>
              </w:rPr>
            </w:pPr>
            <w:r>
              <w:rPr>
                <w:rFonts w:ascii="Times New Roman" w:cs="Times New Roman" w:eastAsia="Times New Roman" w:hAnsi="Times New Roman"/>
                <w:sz w:val="18"/>
                <w:szCs w:val="18"/>
                <w:b w:val="1"/>
                <w:bCs w:val="1"/>
                <w:color w:val="auto"/>
              </w:rPr>
              <w:t>400 Alexander Park Drive, Suite 301 Princeton, NJ</w:t>
            </w:r>
          </w:p>
        </w:tc>
        <w:tc>
          <w:tcPr>
            <w:tcW w:w="2520" w:type="dxa"/>
            <w:vAlign w:val="bottom"/>
          </w:tcPr>
          <w:p>
            <w:pPr>
              <w:spacing w:after="0"/>
              <w:rPr>
                <w:sz w:val="24"/>
                <w:szCs w:val="24"/>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78"/>
        </w:trPr>
        <w:tc>
          <w:tcPr>
            <w:tcW w:w="4460" w:type="dxa"/>
            <w:vAlign w:val="bottom"/>
          </w:tcPr>
          <w:p>
            <w:pPr>
              <w:jc w:val="center"/>
              <w:ind w:right="38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520" w:type="dxa"/>
            <w:vAlign w:val="bottom"/>
          </w:tcPr>
          <w:p>
            <w:pPr>
              <w:spacing w:after="0"/>
              <w:rPr>
                <w:sz w:val="15"/>
                <w:szCs w:val="15"/>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March 3, 2025, PMV Pharmaceuticals, Inc. issued a press release announcing its financial results for the year ended December 31, 2024. The full text of the press release is attached as Exhibit 99.1 to this Current Report on Form 8-K and is incorporated herein by reference.</w:t>
      </w:r>
    </w:p>
    <w:p>
      <w:pPr>
        <w:spacing w:after="0" w:line="16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20" w:type="dxa"/>
            <w:vAlign w:val="bottom"/>
            <w:gridSpan w:val="2"/>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PMV Pharmaceuticals, Inc., dated March 3, 2025.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tcBorders>
              <w:right w:val="single" w:sz="8" w:color="0000EE"/>
            </w:tcBorders>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95"/>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March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PMV Pharmaceuticals Reports Full Year 2024 Financial Results and Corporate Highlights</w:t>
      </w:r>
    </w:p>
    <w:p>
      <w:pPr>
        <w:spacing w:after="0" w:line="204" w:lineRule="exact"/>
        <w:rPr>
          <w:sz w:val="20"/>
          <w:szCs w:val="20"/>
          <w:color w:val="auto"/>
        </w:rPr>
      </w:pPr>
    </w:p>
    <w:p>
      <w:pPr>
        <w:jc w:val="both"/>
        <w:ind w:left="380" w:hanging="372"/>
        <w:spacing w:after="0" w:line="251"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Enrollment on track in Phase 2 pivotal portion of PYNNACLE clinical trial evaluating rezatapopt as monotherapy in patients with TP53 Y220C and KRAS wild-type advanced solid tumors; more than 90% of sites activated across the U.S., Europe, U.K., and Asia-Pacific; interim analysis data expected mid-2025</w:t>
      </w:r>
    </w:p>
    <w:p>
      <w:pPr>
        <w:spacing w:after="0" w:line="159" w:lineRule="exact"/>
        <w:rPr>
          <w:rFonts w:ascii="Times New Roman" w:cs="Times New Roman" w:eastAsia="Times New Roman" w:hAnsi="Times New Roman"/>
          <w:sz w:val="18"/>
          <w:szCs w:val="18"/>
          <w:color w:val="auto"/>
        </w:rPr>
      </w:pPr>
    </w:p>
    <w:p>
      <w:pPr>
        <w:ind w:left="380" w:right="2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212121"/>
        </w:rPr>
        <w:t>Enrollment commenced in the MD Anderson Cancer Center investigator-initiated Phase 1b study evaluating rezatapopt monotherapy and in combination with azacitidine in patients with relapsed or refractory AML/MDS harboring a TP53 Y220C mutation</w:t>
      </w:r>
    </w:p>
    <w:p>
      <w:pPr>
        <w:spacing w:after="0" w:line="144" w:lineRule="exact"/>
        <w:rPr>
          <w:rFonts w:ascii="Times New Roman" w:cs="Times New Roman" w:eastAsia="Times New Roman" w:hAnsi="Times New Roman"/>
          <w:sz w:val="18"/>
          <w:szCs w:val="18"/>
          <w:color w:val="auto"/>
        </w:rPr>
      </w:pPr>
    </w:p>
    <w:p>
      <w:pPr>
        <w:ind w:left="3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marketable securities of $183.3 million as of December 31, 2024 providing expected cash runway to end of 2026</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March 3, 2025 - PMV Pharmaceuticals, Inc. (Nasdaq: PMVP), a precision oncology clinical-stage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discovery and development of small molecule, tumor-agnostic therapies targeting p53, today reported financial results for the full year ended December 31, 2024, and provided a corporate update.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“PMV demonstrated excellent execution in 2024 with the continued advancement of the pivotal, Phase 2 portion of the PYNNACLE trial, and we look forward to providing data from an interim analysis in the middle of this year,” said David Mack, Ph.D., President and Chief Executive Officer of PMV Pharma. “We continue to explore additional settings where rezatapopt may have utility and are pleased to have recently started enrolling patients in an investigator led Phase 1b study in patients with relapsed/refractory acute myeloid leukemia or myelodysplastic syndrome harboring a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mutation.”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PYNNACLE Phase 2 Monotherapy Update: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Enrollment is on track in the Phase 2 monotherapy portion of the PYNNACLE clinical trial. The multicenter, single-arm, registrational, tumor-agnostic Phase 2 trial is assessing rezatapopt as monotherapy at a dose of 2000 mg once-daily in patients with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and </w:t>
      </w:r>
      <w:r>
        <w:rPr>
          <w:rFonts w:ascii="Arial" w:cs="Arial" w:eastAsia="Arial" w:hAnsi="Arial"/>
          <w:sz w:val="18"/>
          <w:szCs w:val="18"/>
          <w:i w:val="1"/>
          <w:iCs w:val="1"/>
          <w:color w:val="auto"/>
        </w:rPr>
        <w:t>KRAS</w:t>
      </w:r>
      <w:r>
        <w:rPr>
          <w:rFonts w:ascii="Arial" w:cs="Arial" w:eastAsia="Arial" w:hAnsi="Arial"/>
          <w:sz w:val="18"/>
          <w:szCs w:val="18"/>
          <w:color w:val="auto"/>
        </w:rPr>
        <w:t xml:space="preserve"> wild-type advanced solid tumors. The primary endpoint is overall response rate per blinded independent central review. The trial is designed to enroll 114 patients across five cohorts at approximately 60 sites. Site activation is progressing well, with more than 90% of sites activated across the U.S., Europe, U.K., and Asia-Pacific. PMV Pharma plans to provide data from the interim analysis of the Phase 2 monotherapy portion of PYNNACLE in the middle of 2025 and anticipates a New Drug Application submission by the end of 2026.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2024 and Recent Corporate Highlights:</w:t>
      </w:r>
    </w:p>
    <w:p>
      <w:pPr>
        <w:spacing w:after="0" w:line="198" w:lineRule="exact"/>
        <w:rPr>
          <w:sz w:val="20"/>
          <w:szCs w:val="20"/>
          <w:color w:val="auto"/>
        </w:rPr>
      </w:pPr>
    </w:p>
    <w:p>
      <w:pPr>
        <w:jc w:val="both"/>
        <w:ind w:left="380" w:hanging="372"/>
        <w:spacing w:after="0" w:line="243"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Announced a collaboration with MD Anderson Cancer Center and Memorial Sloan Kettering Cancer Center to support an investigator-initiated Phase 1b study in approximately 25 patients with relapsed or refractory acute myeloid leukemia (AML)/myelodysplastic syndrome (MDS) harboring a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mutation. The study is designed to assess the safety, tolerability, pharmacokinetics, and preliminary efficacy of rezatapopt monotherapy and in combination with azacitidine within this high unmet medical need patient population. Enrollment in the study has commenced.</w:t>
      </w:r>
    </w:p>
    <w:p>
      <w:pPr>
        <w:spacing w:after="0" w:line="166"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PYNNACLE Phase 1 data of rezatapopt in advanced ovarian cancer patients featured in a late-breaking oral presentation at the 2024 Society for Gynecologic Oncology Annual Meeting on Women’s Cancer. Of the 15 patients in the efficacy evaluable population, seven patients achieved a confirmed partial response (PR) with a seven-month median duration of response and a favorable safety profile.</w:t>
      </w:r>
    </w:p>
    <w:p>
      <w:pPr>
        <w:spacing w:after="0" w:line="15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PYNNACLE Phase 1 data of rezatapopt in advanced breast cancer patients featured in a poster presentation at the 2024 San Antonio Breast Cancer Symposium. Of the eight patients in the efficacy evaluable population, three patients achieved a confirmed PR with a favorable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 w:name="page5"/>
    <w:bookmarkEnd w:id="4"/>
    <w:p>
      <w:pPr>
        <w:spacing w:after="0" w:line="180" w:lineRule="exact"/>
        <w:rPr>
          <w:sz w:val="20"/>
          <w:szCs w:val="20"/>
          <w:color w:val="auto"/>
        </w:rPr>
      </w:pPr>
    </w:p>
    <w:p>
      <w:pPr>
        <w:ind w:left="380" w:right="2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Rezatapopt food-effect data were presented during a poster session at the 2024 American College of Clinical Pharmacology Annual Conference.</w:t>
      </w:r>
    </w:p>
    <w:p>
      <w:pPr>
        <w:spacing w:after="0" w:line="140"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Paper published in </w:t>
      </w:r>
      <w:r>
        <w:rPr>
          <w:rFonts w:ascii="Arial" w:cs="Arial" w:eastAsia="Arial" w:hAnsi="Arial"/>
          <w:sz w:val="18"/>
          <w:szCs w:val="18"/>
          <w:i w:val="1"/>
          <w:iCs w:val="1"/>
          <w:color w:val="auto"/>
        </w:rPr>
        <w:t>ACS Medicinal Chemistry Letters</w:t>
      </w:r>
      <w:r>
        <w:rPr>
          <w:rFonts w:ascii="Arial" w:cs="Arial" w:eastAsia="Arial" w:hAnsi="Arial"/>
          <w:sz w:val="18"/>
          <w:szCs w:val="18"/>
          <w:color w:val="auto"/>
        </w:rPr>
        <w:t xml:space="preserve"> describing the discovery of rezatapopt. The paper titled, </w:t>
      </w:r>
      <w:r>
        <w:rPr>
          <w:rFonts w:ascii="Arial" w:cs="Arial" w:eastAsia="Arial" w:hAnsi="Arial"/>
          <w:sz w:val="18"/>
          <w:szCs w:val="18"/>
          <w:i w:val="1"/>
          <w:iCs w:val="1"/>
          <w:color w:val="auto"/>
        </w:rPr>
        <w:t>“Discovery of Rezatapopt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(PC14586), a First-in-Class, Small-Molecule Reactivator of p53 Y220C Mutant in Development” </w:t>
      </w:r>
      <w:r>
        <w:rPr>
          <w:rFonts w:ascii="Arial" w:cs="Arial" w:eastAsia="Arial" w:hAnsi="Arial"/>
          <w:sz w:val="18"/>
          <w:szCs w:val="18"/>
          <w:color w:val="auto"/>
        </w:rPr>
        <w:t>can be accessed here.</w:t>
      </w:r>
    </w:p>
    <w:p>
      <w:pPr>
        <w:spacing w:after="0" w:line="146" w:lineRule="exact"/>
        <w:rPr>
          <w:rFonts w:ascii="Times New Roman" w:cs="Times New Roman" w:eastAsia="Times New Roman" w:hAnsi="Times New Roman"/>
          <w:sz w:val="18"/>
          <w:szCs w:val="18"/>
          <w:color w:val="auto"/>
        </w:rPr>
      </w:pPr>
    </w:p>
    <w:p>
      <w:pPr>
        <w:ind w:left="380" w:hanging="372"/>
        <w:spacing w:after="0" w:line="229"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a partnership with Foundation Medicine to develop FoundationOne</w:t>
      </w:r>
      <w:r>
        <w:rPr>
          <w:rFonts w:ascii="Arial" w:cs="Arial" w:eastAsia="Arial" w:hAnsi="Arial"/>
          <w:sz w:val="24"/>
          <w:szCs w:val="24"/>
          <w:color w:val="auto"/>
          <w:vertAlign w:val="superscript"/>
        </w:rPr>
        <w:t>®</w:t>
      </w:r>
      <w:r>
        <w:rPr>
          <w:rFonts w:ascii="Arial" w:cs="Arial" w:eastAsia="Arial" w:hAnsi="Arial"/>
          <w:sz w:val="18"/>
          <w:szCs w:val="18"/>
          <w:color w:val="auto"/>
        </w:rPr>
        <w:t>CDx, a tissue-based comprehensive genomic profiling test as a companion diagnostic for rezatapopt.</w:t>
      </w:r>
    </w:p>
    <w:p>
      <w:pPr>
        <w:spacing w:after="0" w:line="167" w:lineRule="exact"/>
        <w:rPr>
          <w:rFonts w:ascii="Times New Roman" w:cs="Times New Roman" w:eastAsia="Times New Roman" w:hAnsi="Times New Roman"/>
          <w:sz w:val="18"/>
          <w:szCs w:val="18"/>
          <w:color w:val="auto"/>
        </w:rPr>
      </w:pPr>
    </w:p>
    <w:p>
      <w:pPr>
        <w:jc w:val="both"/>
        <w:ind w:left="380" w:hanging="372"/>
        <w:spacing w:after="0" w:line="233"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Discontinued enrollment in the combination arm of the Phase 1b PYNNACLE trial evaluating rezatapopt and Merck’s anti-PD-1 therapy 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At the maximum tolerated dose of rezatapopt 500 mg once-daily in combination with pembrolizumab 200 mg every three weeks, patients did not experience a clinically meaningful benefit, informing the decision to discontinue enrollment in the combination arm.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Financial Results</w:t>
      </w:r>
    </w:p>
    <w:p>
      <w:pPr>
        <w:spacing w:after="0" w:line="198" w:lineRule="exact"/>
        <w:rPr>
          <w:sz w:val="20"/>
          <w:szCs w:val="20"/>
          <w:color w:val="auto"/>
        </w:rPr>
      </w:pPr>
    </w:p>
    <w:p>
      <w:pPr>
        <w:jc w:val="both"/>
        <w:ind w:left="380" w:hanging="372"/>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As of December 31, 2024, PMV Pharma had $183.3 million in cash, cash equivalents, and marketable securities, compared to $228.6 million at December 31, 2023. Net cash used in operations was $51.3 million for the year ended December 31, 2024, compared to $55.7 million for the year ended December 31, 2023.</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year ended December 31, 2024, was $58.7 million compared to $69.0 million for the year ended December 31, 2023.</w:t>
      </w:r>
    </w:p>
    <w:p>
      <w:pPr>
        <w:spacing w:after="0" w:line="210"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$58.5 million for the year ended December 31, 2024, compared to $55.9 million for the year ended December 31, 2023. The increase in R&amp;D expenses was primarily related to clinical expenses for advancing rezatapopt, the Company’s lead drug candidate.</w:t>
      </w:r>
    </w:p>
    <w:p>
      <w:pPr>
        <w:spacing w:after="0" w:line="15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$26.9 million for the year ended December 31, 2024, compared to $24.2 million for the year ended December 31, 2023. The increase in G&amp;A expenses was primarily due to facility-related costs for the relocation of the Company's lab and office space, offset by reductions in headcount.</w:t>
      </w:r>
    </w:p>
    <w:p>
      <w:pPr>
        <w:spacing w:after="0" w:line="16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is a registered trademark of Merck Sharp &amp; Dohme LLC., a subsidiary of Merck &amp; Co., Inc., Rahway, NJ, USA.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Rezatapopt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Rezatapopt (PC14586) is a first-in-class, small molecule p53 reactivator designed to selectively bind to the pocket in the p53 Y220C mutant protein, restoring the wild-type tumor-suppressor function. The U.S. Food and Drug Administration (FDA) granted Fast Track designation to rezatapopt for the treatment of patients with locally advanced or metastatic solid tumors with a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mutation.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PYNNACLE Clinical Trial</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ongoing Phase 1/2 PYNNACLE clinical trial is evaluating rezatapopt in patients with advanced solid tumors harboring a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mutation. The primary objective of the Phase 1 portion of the trial was to determine the maximum tolerated dose and recommended Phase 2 dose (RP2D) of rezatapopt when administered orally to patients. Safety, tolerability, pharmacokinetics, and effects on biomarkers were also assessed. In Phase 1, an overall response rate of 38% (6/16 evaluable patients) was achieved at the RP2D of 2000 mg daily reflective of the Phase 2 patient population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and </w:t>
      </w:r>
      <w:r>
        <w:rPr>
          <w:rFonts w:ascii="Arial" w:cs="Arial" w:eastAsia="Arial" w:hAnsi="Arial"/>
          <w:sz w:val="18"/>
          <w:szCs w:val="18"/>
          <w:i w:val="1"/>
          <w:iCs w:val="1"/>
          <w:color w:val="auto"/>
        </w:rPr>
        <w:t>KRAS</w:t>
      </w:r>
      <w:r>
        <w:rPr>
          <w:rFonts w:ascii="Arial" w:cs="Arial" w:eastAsia="Arial" w:hAnsi="Arial"/>
          <w:sz w:val="18"/>
          <w:szCs w:val="18"/>
          <w:color w:val="auto"/>
        </w:rPr>
        <w:t xml:space="preserve"> wild-type).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18"/>
          <w:szCs w:val="18"/>
          <w:color w:val="auto"/>
        </w:rPr>
        <w:t xml:space="preserve">median duration of response was seven months. The Phase 2 monotherapy portion is a registrational, single-arm, expansion basket clinical trial comprising five cohorts (ovarian, lung, breast, endometrial cancers, and other solid tumors) with the primary objective of evaluating the efficacy of rezatapopt at the RP2D in patients with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and </w:t>
      </w:r>
      <w:r>
        <w:rPr>
          <w:rFonts w:ascii="Arial" w:cs="Arial" w:eastAsia="Arial" w:hAnsi="Arial"/>
          <w:sz w:val="18"/>
          <w:szCs w:val="18"/>
          <w:i w:val="1"/>
          <w:iCs w:val="1"/>
          <w:color w:val="auto"/>
        </w:rPr>
        <w:t>KRAS</w:t>
      </w:r>
      <w:r>
        <w:rPr>
          <w:rFonts w:ascii="Arial" w:cs="Arial" w:eastAsia="Arial" w:hAnsi="Arial"/>
          <w:sz w:val="18"/>
          <w:szCs w:val="18"/>
          <w:color w:val="auto"/>
        </w:rPr>
        <w:t xml:space="preserve"> wild-type advanced solid tumors.</w:t>
      </w:r>
    </w:p>
    <w:p>
      <w:pPr>
        <w:spacing w:after="0" w:line="155" w:lineRule="exact"/>
        <w:rPr>
          <w:sz w:val="20"/>
          <w:szCs w:val="20"/>
          <w:color w:val="auto"/>
        </w:rPr>
      </w:pPr>
    </w:p>
    <w:p>
      <w:pPr>
        <w:ind w:right="660"/>
        <w:spacing w:after="0" w:line="469" w:lineRule="auto"/>
        <w:rPr>
          <w:sz w:val="20"/>
          <w:szCs w:val="20"/>
          <w:color w:val="auto"/>
        </w:rPr>
      </w:pPr>
      <w:r>
        <w:rPr>
          <w:rFonts w:ascii="Arial" w:cs="Arial" w:eastAsia="Arial" w:hAnsi="Arial"/>
          <w:sz w:val="18"/>
          <w:szCs w:val="18"/>
          <w:color w:val="auto"/>
        </w:rPr>
        <w:t xml:space="preserve">For more information about the Phase 1/2 PYNNACLE clinical trial, refer to www.clinicaltrials.gov (NCT trial identifier NCT04585750). </w:t>
      </w:r>
      <w:r>
        <w:rPr>
          <w:rFonts w:ascii="Arial" w:cs="Arial" w:eastAsia="Arial" w:hAnsi="Arial"/>
          <w:sz w:val="18"/>
          <w:szCs w:val="18"/>
          <w:b w:val="1"/>
          <w:bCs w:val="1"/>
          <w:color w:val="auto"/>
        </w:rPr>
        <w:t>About PMV Pharma</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mutations are found in approximately half of all cancers. Our co-founder, Dr. Arnold Levine, established the field of p53 biology when he discovered the p53 protein in 1979. Bringing together leaders in the field to utilize more than four decades of p53 biology, PMV Pharma combines unique biological understanding with a pharmaceutical development focus. PMV Pharma is headquartered in Princeton, New Jersey. For more information, please visit www.pmvpharma.com.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our ability to obtain approval as a treatment option on a tumor-agnostic basis and as a monotherapy or in combination with other agents, including with azacitidine, expectations regarding timing for interim data readouts and ongoing status of the Phase 2 portion of the PYNNACLE trial, our expectation, anticipation and timing of New Drug Application filing(s) with the U.S. Food and Drug Administration for the current clinical trial for rezatapopt, the current and future enrollment of patients in our clinical trials, including the expected number of patients to be enrolled in our clinical trials, the timing, progress and activation of sites for our clinical trials, collaboration with and plans for the MD Anderson Cancer Center and Memorial Sloan Kettering Cancer Center investigator-initiated Phase 1b study evaluating the combination of rezatapopt and azacitidine, and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 clinical stage company, the potential for clinical trials of rezatapopt or any future clinical trials of other product candidates to differ from preclinical, preliminary, interim or expected results,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March 3, 2025 and its other filings filed with the SEC. All forward-looking statements contained in this press release speak only as of the date on which they were made. We undertake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175,658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100" w:type="dxa"/>
            <w:vAlign w:val="bottom"/>
          </w:tcPr>
          <w:p>
            <w:pPr>
              <w:spacing w:after="0"/>
              <w:rPr>
                <w:sz w:val="18"/>
                <w:szCs w:val="18"/>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544,653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535,468</w:t>
            </w:r>
          </w:p>
        </w:tc>
        <w:tc>
          <w:tcPr>
            <w:tcW w:w="100" w:type="dxa"/>
            <w:vAlign w:val="bottom"/>
          </w:tcPr>
          <w:p>
            <w:pPr>
              <w:spacing w:after="0"/>
              <w:rPr>
                <w:sz w:val="20"/>
                <w:szCs w:val="20"/>
                <w:color w:val="auto"/>
              </w:rPr>
            </w:pPr>
          </w:p>
        </w:tc>
      </w:tr>
      <w:tr>
        <w:trPr>
          <w:trHeight w:val="22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(368,712 )</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(310,003 )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224 )</w:t>
            </w:r>
          </w:p>
        </w:tc>
      </w:tr>
      <w:tr>
        <w:trPr>
          <w:trHeight w:val="21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176,080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94"/>
        </w:trPr>
        <w:tc>
          <w:tcPr>
            <w:tcW w:w="7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-4662805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-4662805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-4491355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-4474210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-3779520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-3496945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-3342640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-2605405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c>
          <w:tcPr>
            <w:tcW w:w="11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right"/>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73"/>
        </w:trPr>
        <w:tc>
          <w:tcPr>
            <w:tcW w:w="6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100" w:type="dxa"/>
            <w:vAlign w:val="bottom"/>
          </w:tcPr>
          <w:p>
            <w:pPr>
              <w:spacing w:after="0"/>
              <w:rPr>
                <w:sz w:val="21"/>
                <w:szCs w:val="21"/>
                <w:color w:val="auto"/>
              </w:rPr>
            </w:pPr>
          </w:p>
        </w:tc>
      </w:tr>
      <w:tr>
        <w:trPr>
          <w:trHeight w:val="243"/>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100" w:type="dxa"/>
            <w:vAlign w:val="bottom"/>
          </w:tcPr>
          <w:p>
            <w:pPr>
              <w:spacing w:after="0"/>
              <w:rPr>
                <w:sz w:val="20"/>
                <w:szCs w:val="20"/>
                <w:color w:val="auto"/>
              </w:rPr>
            </w:pPr>
          </w:p>
        </w:tc>
      </w:tr>
      <w:tr>
        <w:trPr>
          <w:trHeight w:val="237"/>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(85,448 )</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100" w:type="dxa"/>
            <w:vAlign w:val="bottom"/>
            <w:shd w:val="clear" w:color="auto" w:fill="CFF0FC"/>
          </w:tcPr>
          <w:p>
            <w:pPr>
              <w:spacing w:after="0"/>
              <w:rPr>
                <w:sz w:val="20"/>
                <w:szCs w:val="20"/>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FF0FC"/>
          </w:tcPr>
          <w:p>
            <w:pPr>
              <w:spacing w:after="0"/>
              <w:rPr>
                <w:sz w:val="21"/>
                <w:szCs w:val="21"/>
                <w:color w:val="auto"/>
              </w:rPr>
            </w:pPr>
          </w:p>
        </w:tc>
      </w:tr>
      <w:tr>
        <w:trPr>
          <w:trHeight w:val="243"/>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r>
      <w:tr>
        <w:trPr>
          <w:trHeight w:val="237"/>
        </w:trPr>
        <w:tc>
          <w:tcPr>
            <w:tcW w:w="6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(73,317)</w:t>
            </w:r>
          </w:p>
        </w:tc>
        <w:tc>
          <w:tcPr>
            <w:tcW w:w="100" w:type="dxa"/>
            <w:vAlign w:val="bottom"/>
          </w:tcPr>
          <w:p>
            <w:pPr>
              <w:spacing w:after="0"/>
              <w:rPr>
                <w:sz w:val="20"/>
                <w:szCs w:val="20"/>
                <w:color w:val="auto"/>
              </w:rPr>
            </w:pPr>
          </w:p>
        </w:tc>
      </w:tr>
      <w:tr>
        <w:trPr>
          <w:trHeight w:val="24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21"/>
                <w:szCs w:val="21"/>
                <w:color w:val="auto"/>
              </w:rPr>
            </w:pP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36"/>
        </w:trPr>
        <w:tc>
          <w:tcPr>
            <w:tcW w:w="65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(73,684)</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9"/>
                <w:szCs w:val="19"/>
                <w:color w:val="auto"/>
              </w:rPr>
            </w:pPr>
          </w:p>
        </w:tc>
      </w:tr>
      <w:tr>
        <w:trPr>
          <w:trHeight w:val="243"/>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51,578,807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48,014,645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45,594,824</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-2373630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-2373630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-1422400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-1422400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-1105535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-1105535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-479425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-479425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Smith</w:t>
      </w:r>
    </w:p>
    <w:p>
      <w:pPr>
        <w:ind w:right="4980"/>
        <w:spacing w:after="0" w:line="250" w:lineRule="auto"/>
        <w:rPr>
          <w:sz w:val="20"/>
          <w:szCs w:val="20"/>
          <w:color w:val="auto"/>
        </w:rPr>
      </w:pPr>
      <w:r>
        <w:rPr>
          <w:rFonts w:ascii="Arial" w:cs="Arial" w:eastAsia="Arial" w:hAnsi="Arial"/>
          <w:sz w:val="18"/>
          <w:szCs w:val="18"/>
          <w:color w:val="auto"/>
        </w:rPr>
        <w:t>Senior Vice President, Head of Corporate Development and Investor Relations investors@pmvpharma.com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2025-03-03T07:12:21Z</dcterms:created>
  <dcterms:modified xsi:type="dcterms:W3CDTF">2025-03-03T07:12:21Z</dcterms:modified>
</cp:coreProperties>
</file>