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SCHEDULE 13D</w:t>
      </w:r>
    </w:p>
    <w:p>
      <w:pPr>
        <w:spacing w:after="0" w:line="200" w:lineRule="exact"/>
        <w:rPr>
          <w:sz w:val="24"/>
          <w:szCs w:val="24"/>
          <w:color w:val="auto"/>
        </w:rPr>
      </w:pPr>
    </w:p>
    <w:p>
      <w:pPr>
        <w:spacing w:after="0" w:line="30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30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333333"/>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OrbiMed Advisors LLC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OrbiMed Capital GP V LLC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OrbiMed Genesis GP LLC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OrbiMed Capital LLC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601 Lexington Avenue, 54th Floor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Receive Notices and Communications)</w:t>
      </w:r>
    </w:p>
    <w:p>
      <w:pPr>
        <w:spacing w:after="0" w:line="2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March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93"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5" w:lineRule="exact"/>
        <w:rPr>
          <w:sz w:val="24"/>
          <w:szCs w:val="24"/>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193" w:lineRule="exact"/>
        <w:rPr>
          <w:sz w:val="24"/>
          <w:szCs w:val="24"/>
          <w:color w:val="auto"/>
        </w:rPr>
      </w:pPr>
    </w:p>
    <w:p>
      <w:pPr>
        <w:ind w:left="260" w:hanging="252"/>
        <w:spacing w:after="0" w:line="27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 xml:space="preserve">CUSIP No. </w:t>
      </w:r>
      <w:r>
        <w:rPr>
          <w:rFonts w:ascii="Arial" w:cs="Arial" w:eastAsia="Arial" w:hAnsi="Arial"/>
          <w:sz w:val="18"/>
          <w:szCs w:val="18"/>
          <w:b w:val="1"/>
          <w:bCs w:val="1"/>
          <w:color w:val="333333"/>
        </w:rPr>
        <w:t>69353Y103</w:t>
      </w: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660" w:type="dxa"/>
            <w:vAlign w:val="bottom"/>
            <w:tcBorders>
              <w:top w:val="single" w:sz="8" w:color="auto"/>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1</w:t>
            </w:r>
          </w:p>
        </w:tc>
        <w:tc>
          <w:tcPr>
            <w:tcW w:w="380" w:type="dxa"/>
            <w:vAlign w:val="bottom"/>
            <w:tcBorders>
              <w:top w:val="single" w:sz="8" w:color="auto"/>
              <w:right w:val="single" w:sz="8" w:color="auto"/>
            </w:tcBorders>
          </w:tcPr>
          <w:p>
            <w:pPr>
              <w:spacing w:after="0"/>
              <w:rPr>
                <w:sz w:val="22"/>
                <w:szCs w:val="22"/>
                <w:color w:val="auto"/>
              </w:rPr>
            </w:pPr>
          </w:p>
        </w:tc>
        <w:tc>
          <w:tcPr>
            <w:tcW w:w="23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6"/>
              </w:rPr>
              <w:t>Names of Reporting Persons.</w:t>
            </w:r>
          </w:p>
        </w:tc>
        <w:tc>
          <w:tcPr>
            <w:tcW w:w="5700" w:type="dxa"/>
            <w:vAlign w:val="bottom"/>
            <w:tcBorders>
              <w:top w:val="single" w:sz="8" w:color="auto"/>
            </w:tcBorders>
          </w:tcPr>
          <w:p>
            <w:pPr>
              <w:spacing w:after="0"/>
              <w:rPr>
                <w:sz w:val="22"/>
                <w:szCs w:val="22"/>
                <w:color w:val="auto"/>
              </w:rPr>
            </w:pPr>
          </w:p>
        </w:tc>
        <w:tc>
          <w:tcPr>
            <w:tcW w:w="21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360" w:type="dxa"/>
            <w:vAlign w:val="bottom"/>
            <w:gridSpan w:val="2"/>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2360" w:type="dxa"/>
            <w:vAlign w:val="bottom"/>
            <w:gridSpan w:val="2"/>
            <w:vMerge w:val="continue"/>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3"/>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2</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vMerge w:val="continue"/>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10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10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3</w:t>
            </w:r>
          </w:p>
        </w:tc>
        <w:tc>
          <w:tcPr>
            <w:tcW w:w="38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100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66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60" w:type="dxa"/>
            <w:vAlign w:val="bottom"/>
            <w:tcBorders>
              <w:left w:val="single" w:sz="8" w:color="auto"/>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8060" w:type="dxa"/>
            <w:vAlign w:val="bottom"/>
            <w:tcBorders>
              <w:bottom w:val="single" w:sz="8" w:color="auto"/>
            </w:tcBorders>
            <w:gridSpan w:val="3"/>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4</w:t>
            </w:r>
          </w:p>
        </w:tc>
        <w:tc>
          <w:tcPr>
            <w:tcW w:w="38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Source of Funds (See Instructions)</w:t>
            </w:r>
          </w:p>
        </w:tc>
        <w:tc>
          <w:tcPr>
            <w:tcW w:w="2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60" w:type="dxa"/>
            <w:vAlign w:val="bottom"/>
            <w:tcBorders>
              <w:left w:val="single" w:sz="8" w:color="auto"/>
            </w:tcBorders>
            <w:vMerge w:val="continue"/>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AF</w:t>
            </w:r>
          </w:p>
        </w:tc>
        <w:tc>
          <w:tcPr>
            <w:tcW w:w="100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3"/>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5</w:t>
            </w:r>
          </w:p>
        </w:tc>
        <w:tc>
          <w:tcPr>
            <w:tcW w:w="38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14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7"/>
        </w:trPr>
        <w:tc>
          <w:tcPr>
            <w:tcW w:w="66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60" w:type="dxa"/>
            <w:vAlign w:val="bottom"/>
            <w:tcBorders>
              <w:left w:val="single" w:sz="8" w:color="auto"/>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8060" w:type="dxa"/>
            <w:vAlign w:val="bottom"/>
            <w:tcBorders>
              <w:bottom w:val="single" w:sz="8" w:color="auto"/>
            </w:tcBorders>
            <w:gridSpan w:val="3"/>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6</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tcPr>
          <w:p>
            <w:pPr>
              <w:spacing w:after="0"/>
              <w:rPr>
                <w:sz w:val="21"/>
                <w:szCs w:val="21"/>
                <w:color w:val="auto"/>
              </w:rPr>
            </w:pPr>
          </w:p>
        </w:tc>
        <w:tc>
          <w:tcPr>
            <w:tcW w:w="1740" w:type="dxa"/>
            <w:vAlign w:val="bottom"/>
            <w:tcBorders>
              <w:right w:val="single" w:sz="8" w:color="auto"/>
            </w:tcBorders>
            <w:gridSpan w:val="2"/>
            <w:vMerge w:val="restart"/>
          </w:tcPr>
          <w:p>
            <w:pPr>
              <w:jc w:val="center"/>
              <w:ind w:right="570"/>
              <w:spacing w:after="0"/>
              <w:rPr>
                <w:sz w:val="20"/>
                <w:szCs w:val="20"/>
                <w:color w:val="auto"/>
              </w:rPr>
            </w:pPr>
            <w:r>
              <w:rPr>
                <w:rFonts w:ascii="Arial" w:cs="Arial" w:eastAsia="Arial" w:hAnsi="Arial"/>
                <w:sz w:val="18"/>
                <w:szCs w:val="18"/>
                <w:color w:val="auto"/>
                <w:w w:val="96"/>
              </w:rPr>
              <w:t>NUMBER OF</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rPr>
              <w:t>7</w:t>
            </w:r>
          </w:p>
        </w:tc>
        <w:tc>
          <w:tcPr>
            <w:tcW w:w="57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gridSpan w:val="2"/>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5700" w:type="dxa"/>
            <w:vAlign w:val="bottom"/>
          </w:tcPr>
          <w:p>
            <w:pPr>
              <w:ind w:left="60"/>
              <w:spacing w:after="0" w:line="176" w:lineRule="exact"/>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66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ind w:right="570"/>
              <w:spacing w:after="0" w:line="201" w:lineRule="exact"/>
              <w:rPr>
                <w:sz w:val="20"/>
                <w:szCs w:val="20"/>
                <w:color w:val="auto"/>
              </w:rPr>
            </w:pPr>
            <w:r>
              <w:rPr>
                <w:rFonts w:ascii="Arial" w:cs="Arial" w:eastAsia="Arial" w:hAnsi="Arial"/>
                <w:sz w:val="18"/>
                <w:szCs w:val="18"/>
                <w:color w:val="auto"/>
                <w:w w:val="91"/>
              </w:rPr>
              <w:t>SHARES</w:t>
            </w:r>
          </w:p>
        </w:tc>
        <w:tc>
          <w:tcPr>
            <w:tcW w:w="100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100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5"/>
                <w:szCs w:val="25"/>
                <w:color w:val="auto"/>
              </w:rPr>
              <w:t>8</w:t>
            </w:r>
          </w:p>
        </w:tc>
        <w:tc>
          <w:tcPr>
            <w:tcW w:w="5700" w:type="dxa"/>
            <w:vAlign w:val="bottom"/>
            <w:vMerge w:val="continue"/>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auto"/>
              <w:right w:val="single" w:sz="8" w:color="auto"/>
            </w:tcBorders>
            <w:gridSpan w:val="3"/>
            <w:vMerge w:val="continue"/>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6,589,330</w:t>
            </w:r>
          </w:p>
        </w:tc>
        <w:tc>
          <w:tcPr>
            <w:tcW w:w="2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60" w:type="dxa"/>
            <w:vAlign w:val="bottom"/>
            <w:tcBorders>
              <w:left w:val="single" w:sz="8" w:color="auto"/>
            </w:tcBorders>
          </w:tcPr>
          <w:p>
            <w:pPr>
              <w:spacing w:after="0"/>
              <w:rPr>
                <w:sz w:val="19"/>
                <w:szCs w:val="19"/>
                <w:color w:val="auto"/>
              </w:rPr>
            </w:pPr>
          </w:p>
        </w:tc>
        <w:tc>
          <w:tcPr>
            <w:tcW w:w="1740" w:type="dxa"/>
            <w:vAlign w:val="bottom"/>
            <w:tcBorders>
              <w:right w:val="single" w:sz="8" w:color="auto"/>
            </w:tcBorders>
            <w:gridSpan w:val="2"/>
          </w:tcPr>
          <w:p>
            <w:pPr>
              <w:jc w:val="center"/>
              <w:ind w:right="570"/>
              <w:spacing w:after="0"/>
              <w:rPr>
                <w:sz w:val="20"/>
                <w:szCs w:val="20"/>
                <w:color w:val="auto"/>
              </w:rPr>
            </w:pPr>
            <w:r>
              <w:rPr>
                <w:rFonts w:ascii="Arial" w:cs="Arial" w:eastAsia="Arial" w:hAnsi="Arial"/>
                <w:sz w:val="18"/>
                <w:szCs w:val="18"/>
                <w:color w:val="auto"/>
                <w:w w:val="97"/>
              </w:rPr>
              <w:t>OWNED BY</w:t>
            </w:r>
          </w:p>
        </w:tc>
        <w:tc>
          <w:tcPr>
            <w:tcW w:w="100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tcPr>
          <w:p>
            <w:pPr>
              <w:spacing w:after="0"/>
              <w:rPr>
                <w:sz w:val="17"/>
                <w:szCs w:val="17"/>
                <w:color w:val="auto"/>
              </w:rPr>
            </w:pPr>
          </w:p>
        </w:tc>
        <w:tc>
          <w:tcPr>
            <w:tcW w:w="1740" w:type="dxa"/>
            <w:vAlign w:val="bottom"/>
            <w:tcBorders>
              <w:right w:val="single" w:sz="8" w:color="auto"/>
            </w:tcBorders>
            <w:gridSpan w:val="2"/>
          </w:tcPr>
          <w:p>
            <w:pPr>
              <w:jc w:val="center"/>
              <w:ind w:right="570"/>
              <w:spacing w:after="0" w:line="202" w:lineRule="exact"/>
              <w:rPr>
                <w:sz w:val="20"/>
                <w:szCs w:val="20"/>
                <w:color w:val="auto"/>
              </w:rPr>
            </w:pPr>
            <w:r>
              <w:rPr>
                <w:rFonts w:ascii="Arial" w:cs="Arial" w:eastAsia="Arial" w:hAnsi="Arial"/>
                <w:sz w:val="18"/>
                <w:szCs w:val="18"/>
                <w:color w:val="auto"/>
                <w:w w:val="95"/>
              </w:rPr>
              <w:t>EACH</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rPr>
              <w:t>9</w:t>
            </w:r>
          </w:p>
        </w:tc>
        <w:tc>
          <w:tcPr>
            <w:tcW w:w="570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570"/>
              <w:spacing w:after="0"/>
              <w:rPr>
                <w:sz w:val="20"/>
                <w:szCs w:val="20"/>
                <w:color w:val="auto"/>
              </w:rPr>
            </w:pPr>
            <w:r>
              <w:rPr>
                <w:rFonts w:ascii="Arial" w:cs="Arial" w:eastAsia="Arial" w:hAnsi="Arial"/>
                <w:sz w:val="18"/>
                <w:szCs w:val="18"/>
                <w:color w:val="auto"/>
                <w:w w:val="93"/>
              </w:rPr>
              <w:t>REPORTING</w:t>
            </w:r>
          </w:p>
        </w:tc>
        <w:tc>
          <w:tcPr>
            <w:tcW w:w="1000" w:type="dxa"/>
            <w:vAlign w:val="bottom"/>
            <w:tcBorders>
              <w:right w:val="single" w:sz="8" w:color="auto"/>
            </w:tcBorders>
            <w:vMerge w:val="continue"/>
          </w:tcPr>
          <w:p>
            <w:pPr>
              <w:spacing w:after="0"/>
              <w:rPr>
                <w:sz w:val="18"/>
                <w:szCs w:val="18"/>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6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ind w:right="570"/>
              <w:spacing w:after="0" w:line="201" w:lineRule="exact"/>
              <w:rPr>
                <w:sz w:val="20"/>
                <w:szCs w:val="20"/>
                <w:color w:val="auto"/>
              </w:rPr>
            </w:pPr>
            <w:r>
              <w:rPr>
                <w:rFonts w:ascii="Arial" w:cs="Arial" w:eastAsia="Arial" w:hAnsi="Arial"/>
                <w:sz w:val="18"/>
                <w:szCs w:val="18"/>
                <w:color w:val="auto"/>
                <w:w w:val="89"/>
              </w:rPr>
              <w:t>PERSON</w:t>
            </w:r>
          </w:p>
        </w:tc>
        <w:tc>
          <w:tcPr>
            <w:tcW w:w="100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740" w:type="dxa"/>
            <w:vAlign w:val="bottom"/>
            <w:tcBorders>
              <w:right w:val="single" w:sz="8" w:color="auto"/>
            </w:tcBorders>
            <w:gridSpan w:val="2"/>
            <w:vMerge w:val="restart"/>
          </w:tcPr>
          <w:p>
            <w:pPr>
              <w:jc w:val="center"/>
              <w:ind w:right="570"/>
              <w:spacing w:after="0"/>
              <w:rPr>
                <w:sz w:val="20"/>
                <w:szCs w:val="20"/>
                <w:color w:val="auto"/>
              </w:rPr>
            </w:pPr>
            <w:r>
              <w:rPr>
                <w:rFonts w:ascii="Arial" w:cs="Arial" w:eastAsia="Arial" w:hAnsi="Arial"/>
                <w:sz w:val="18"/>
                <w:szCs w:val="18"/>
                <w:color w:val="auto"/>
              </w:rPr>
              <w:t>WITH</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5700" w:type="dxa"/>
            <w:vAlign w:val="bottom"/>
            <w:vMerge w:val="continue"/>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tcPr>
          <w:p>
            <w:pPr>
              <w:spacing w:after="0"/>
              <w:rPr>
                <w:sz w:val="14"/>
                <w:szCs w:val="14"/>
                <w:color w:val="auto"/>
              </w:rPr>
            </w:pPr>
          </w:p>
        </w:tc>
        <w:tc>
          <w:tcPr>
            <w:tcW w:w="1740" w:type="dxa"/>
            <w:vAlign w:val="bottom"/>
            <w:tcBorders>
              <w:right w:val="single" w:sz="8" w:color="auto"/>
            </w:tcBorders>
            <w:gridSpan w:val="2"/>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6,589,330</w:t>
            </w: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5700" w:type="dxa"/>
            <w:vAlign w:val="bottom"/>
            <w:vMerge w:val="continue"/>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57"/>
              <w:spacing w:after="0"/>
              <w:rPr>
                <w:sz w:val="20"/>
                <w:szCs w:val="20"/>
                <w:color w:val="auto"/>
              </w:rPr>
            </w:pPr>
            <w:r>
              <w:rPr>
                <w:rFonts w:ascii="Arial" w:cs="Arial" w:eastAsia="Arial" w:hAnsi="Arial"/>
                <w:sz w:val="25"/>
                <w:szCs w:val="25"/>
                <w:color w:val="auto"/>
                <w:w w:val="86"/>
              </w:rPr>
              <w:t>11</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6,589,330</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w w:val="93"/>
              </w:rPr>
              <w:t>12</w:t>
            </w:r>
          </w:p>
        </w:tc>
        <w:tc>
          <w:tcPr>
            <w:tcW w:w="38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14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7"/>
        </w:trPr>
        <w:tc>
          <w:tcPr>
            <w:tcW w:w="66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60" w:type="dxa"/>
            <w:vAlign w:val="bottom"/>
            <w:tcBorders>
              <w:left w:val="single" w:sz="8" w:color="auto"/>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7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w w:val="93"/>
              </w:rPr>
              <w:t>13</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14.5%*</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w w:val="93"/>
              </w:rPr>
              <w:t>14</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right="80" w:firstLine="8"/>
        <w:spacing w:after="0" w:line="253" w:lineRule="auto"/>
        <w:tabs>
          <w:tab w:leader="none" w:pos="108"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percentage is calculated based upon 45,450,699 shares of common stock outstanding of PMV Pharmaceuticals, Inc. (the “Issuer”), as set forth in the Issuer’s Annual Report on Form 10-K filed with the Securities and Exchange Commission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 w:name="page3"/>
    <w:bookmarkEnd w:id="2"/>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 xml:space="preserve">CUSIP No. </w:t>
      </w:r>
      <w:r>
        <w:rPr>
          <w:rFonts w:ascii="Arial" w:cs="Arial" w:eastAsia="Arial" w:hAnsi="Arial"/>
          <w:sz w:val="18"/>
          <w:szCs w:val="18"/>
          <w:b w:val="1"/>
          <w:bCs w:val="1"/>
          <w:color w:val="333333"/>
        </w:rPr>
        <w:t>69353Y103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660" w:type="dxa"/>
            <w:vAlign w:val="bottom"/>
            <w:tcBorders>
              <w:top w:val="single" w:sz="8" w:color="auto"/>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1</w:t>
            </w:r>
          </w:p>
        </w:tc>
        <w:tc>
          <w:tcPr>
            <w:tcW w:w="380" w:type="dxa"/>
            <w:vAlign w:val="bottom"/>
            <w:tcBorders>
              <w:top w:val="single" w:sz="8" w:color="auto"/>
              <w:right w:val="single" w:sz="8" w:color="auto"/>
            </w:tcBorders>
          </w:tcPr>
          <w:p>
            <w:pPr>
              <w:spacing w:after="0"/>
              <w:rPr>
                <w:sz w:val="22"/>
                <w:szCs w:val="22"/>
                <w:color w:val="auto"/>
              </w:rPr>
            </w:pPr>
          </w:p>
        </w:tc>
        <w:tc>
          <w:tcPr>
            <w:tcW w:w="23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6"/>
              </w:rPr>
              <w:t>Names of Reporting Persons.</w:t>
            </w:r>
          </w:p>
        </w:tc>
        <w:tc>
          <w:tcPr>
            <w:tcW w:w="5700" w:type="dxa"/>
            <w:vAlign w:val="bottom"/>
            <w:tcBorders>
              <w:top w:val="single" w:sz="8" w:color="auto"/>
            </w:tcBorders>
          </w:tcPr>
          <w:p>
            <w:pPr>
              <w:spacing w:after="0"/>
              <w:rPr>
                <w:sz w:val="22"/>
                <w:szCs w:val="22"/>
                <w:color w:val="auto"/>
              </w:rPr>
            </w:pPr>
          </w:p>
        </w:tc>
        <w:tc>
          <w:tcPr>
            <w:tcW w:w="21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360" w:type="dxa"/>
            <w:vAlign w:val="bottom"/>
            <w:gridSpan w:val="2"/>
            <w:vMerge w:val="restart"/>
          </w:tcPr>
          <w:p>
            <w:pPr>
              <w:ind w:left="40"/>
              <w:spacing w:after="0"/>
              <w:rPr>
                <w:sz w:val="20"/>
                <w:szCs w:val="20"/>
                <w:color w:val="auto"/>
              </w:rPr>
            </w:pPr>
            <w:r>
              <w:rPr>
                <w:rFonts w:ascii="Arial" w:cs="Arial" w:eastAsia="Arial" w:hAnsi="Arial"/>
                <w:sz w:val="18"/>
                <w:szCs w:val="18"/>
                <w:color w:val="auto"/>
              </w:rPr>
              <w:t>OrbiMed Capital GP V LLC</w:t>
            </w: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2360" w:type="dxa"/>
            <w:vAlign w:val="bottom"/>
            <w:gridSpan w:val="2"/>
            <w:vMerge w:val="continue"/>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3"/>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2</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vMerge w:val="continue"/>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10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10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660" w:type="dxa"/>
            <w:vAlign w:val="bottom"/>
            <w:tcBorders>
              <w:left w:val="single" w:sz="8" w:color="auto"/>
            </w:tcBorders>
          </w:tcPr>
          <w:p>
            <w:pPr>
              <w:jc w:val="center"/>
              <w:ind w:left="277"/>
              <w:spacing w:after="0"/>
              <w:rPr>
                <w:sz w:val="20"/>
                <w:szCs w:val="20"/>
                <w:color w:val="auto"/>
              </w:rPr>
            </w:pPr>
            <w:r>
              <w:rPr>
                <w:rFonts w:ascii="Arial" w:cs="Arial" w:eastAsia="Arial" w:hAnsi="Arial"/>
                <w:sz w:val="25"/>
                <w:szCs w:val="25"/>
                <w:color w:val="auto"/>
              </w:rPr>
              <w:t>3</w:t>
            </w:r>
          </w:p>
        </w:tc>
        <w:tc>
          <w:tcPr>
            <w:tcW w:w="380" w:type="dxa"/>
            <w:vAlign w:val="bottom"/>
            <w:tcBorders>
              <w:right w:val="single" w:sz="8" w:color="auto"/>
            </w:tcBorders>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10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60" w:type="dxa"/>
            <w:vAlign w:val="bottom"/>
            <w:tcBorders>
              <w:left w:val="single" w:sz="8" w:color="auto"/>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806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4</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Source of Funds (See Instructions)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AF</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3"/>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660" w:type="dxa"/>
            <w:vAlign w:val="bottom"/>
            <w:tcBorders>
              <w:left w:val="single" w:sz="8" w:color="auto"/>
            </w:tcBorders>
          </w:tcPr>
          <w:p>
            <w:pPr>
              <w:jc w:val="center"/>
              <w:ind w:left="277"/>
              <w:spacing w:after="0"/>
              <w:rPr>
                <w:sz w:val="20"/>
                <w:szCs w:val="20"/>
                <w:color w:val="auto"/>
              </w:rPr>
            </w:pPr>
            <w:r>
              <w:rPr>
                <w:rFonts w:ascii="Arial" w:cs="Arial" w:eastAsia="Arial" w:hAnsi="Arial"/>
                <w:sz w:val="25"/>
                <w:szCs w:val="25"/>
                <w:color w:val="auto"/>
              </w:rPr>
              <w:t>5</w:t>
            </w:r>
          </w:p>
        </w:tc>
        <w:tc>
          <w:tcPr>
            <w:tcW w:w="38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14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
        </w:trPr>
        <w:tc>
          <w:tcPr>
            <w:tcW w:w="660" w:type="dxa"/>
            <w:vAlign w:val="bottom"/>
            <w:tcBorders>
              <w:left w:val="single" w:sz="8" w:color="auto"/>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806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6</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tcPr>
          <w:p>
            <w:pPr>
              <w:spacing w:after="0"/>
              <w:rPr>
                <w:sz w:val="21"/>
                <w:szCs w:val="21"/>
                <w:color w:val="auto"/>
              </w:rPr>
            </w:pPr>
          </w:p>
        </w:tc>
        <w:tc>
          <w:tcPr>
            <w:tcW w:w="1740" w:type="dxa"/>
            <w:vAlign w:val="bottom"/>
            <w:tcBorders>
              <w:right w:val="single" w:sz="8" w:color="auto"/>
            </w:tcBorders>
            <w:gridSpan w:val="2"/>
            <w:vMerge w:val="restart"/>
          </w:tcPr>
          <w:p>
            <w:pPr>
              <w:jc w:val="center"/>
              <w:ind w:right="570"/>
              <w:spacing w:after="0"/>
              <w:rPr>
                <w:sz w:val="20"/>
                <w:szCs w:val="20"/>
                <w:color w:val="auto"/>
              </w:rPr>
            </w:pPr>
            <w:r>
              <w:rPr>
                <w:rFonts w:ascii="Arial" w:cs="Arial" w:eastAsia="Arial" w:hAnsi="Arial"/>
                <w:sz w:val="18"/>
                <w:szCs w:val="18"/>
                <w:color w:val="auto"/>
                <w:w w:val="96"/>
              </w:rPr>
              <w:t>NUMBER OF</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rPr>
              <w:t>7</w:t>
            </w:r>
          </w:p>
        </w:tc>
        <w:tc>
          <w:tcPr>
            <w:tcW w:w="57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gridSpan w:val="2"/>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5700" w:type="dxa"/>
            <w:vAlign w:val="bottom"/>
          </w:tcPr>
          <w:p>
            <w:pPr>
              <w:ind w:left="60"/>
              <w:spacing w:after="0" w:line="176" w:lineRule="exact"/>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66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ind w:right="570"/>
              <w:spacing w:after="0" w:line="201" w:lineRule="exact"/>
              <w:rPr>
                <w:sz w:val="20"/>
                <w:szCs w:val="20"/>
                <w:color w:val="auto"/>
              </w:rPr>
            </w:pPr>
            <w:r>
              <w:rPr>
                <w:rFonts w:ascii="Arial" w:cs="Arial" w:eastAsia="Arial" w:hAnsi="Arial"/>
                <w:sz w:val="18"/>
                <w:szCs w:val="18"/>
                <w:color w:val="auto"/>
                <w:w w:val="91"/>
              </w:rPr>
              <w:t>SHARES</w:t>
            </w:r>
          </w:p>
        </w:tc>
        <w:tc>
          <w:tcPr>
            <w:tcW w:w="100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100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5"/>
                <w:szCs w:val="25"/>
                <w:color w:val="auto"/>
              </w:rPr>
              <w:t>8</w:t>
            </w:r>
          </w:p>
        </w:tc>
        <w:tc>
          <w:tcPr>
            <w:tcW w:w="5700" w:type="dxa"/>
            <w:vAlign w:val="bottom"/>
            <w:vMerge w:val="continue"/>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auto"/>
              <w:right w:val="single" w:sz="8" w:color="auto"/>
            </w:tcBorders>
            <w:gridSpan w:val="3"/>
            <w:vMerge w:val="continue"/>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6,475,291</w:t>
            </w:r>
          </w:p>
        </w:tc>
        <w:tc>
          <w:tcPr>
            <w:tcW w:w="2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60" w:type="dxa"/>
            <w:vAlign w:val="bottom"/>
            <w:tcBorders>
              <w:left w:val="single" w:sz="8" w:color="auto"/>
            </w:tcBorders>
          </w:tcPr>
          <w:p>
            <w:pPr>
              <w:spacing w:after="0"/>
              <w:rPr>
                <w:sz w:val="19"/>
                <w:szCs w:val="19"/>
                <w:color w:val="auto"/>
              </w:rPr>
            </w:pPr>
          </w:p>
        </w:tc>
        <w:tc>
          <w:tcPr>
            <w:tcW w:w="1740" w:type="dxa"/>
            <w:vAlign w:val="bottom"/>
            <w:tcBorders>
              <w:right w:val="single" w:sz="8" w:color="auto"/>
            </w:tcBorders>
            <w:gridSpan w:val="2"/>
          </w:tcPr>
          <w:p>
            <w:pPr>
              <w:jc w:val="center"/>
              <w:ind w:right="570"/>
              <w:spacing w:after="0"/>
              <w:rPr>
                <w:sz w:val="20"/>
                <w:szCs w:val="20"/>
                <w:color w:val="auto"/>
              </w:rPr>
            </w:pPr>
            <w:r>
              <w:rPr>
                <w:rFonts w:ascii="Arial" w:cs="Arial" w:eastAsia="Arial" w:hAnsi="Arial"/>
                <w:sz w:val="18"/>
                <w:szCs w:val="18"/>
                <w:color w:val="auto"/>
                <w:w w:val="97"/>
              </w:rPr>
              <w:t>OWNED BY</w:t>
            </w:r>
          </w:p>
        </w:tc>
        <w:tc>
          <w:tcPr>
            <w:tcW w:w="100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tcPr>
          <w:p>
            <w:pPr>
              <w:spacing w:after="0"/>
              <w:rPr>
                <w:sz w:val="17"/>
                <w:szCs w:val="17"/>
                <w:color w:val="auto"/>
              </w:rPr>
            </w:pPr>
          </w:p>
        </w:tc>
        <w:tc>
          <w:tcPr>
            <w:tcW w:w="1740" w:type="dxa"/>
            <w:vAlign w:val="bottom"/>
            <w:tcBorders>
              <w:right w:val="single" w:sz="8" w:color="auto"/>
            </w:tcBorders>
            <w:gridSpan w:val="2"/>
          </w:tcPr>
          <w:p>
            <w:pPr>
              <w:jc w:val="center"/>
              <w:ind w:right="570"/>
              <w:spacing w:after="0" w:line="202" w:lineRule="exact"/>
              <w:rPr>
                <w:sz w:val="20"/>
                <w:szCs w:val="20"/>
                <w:color w:val="auto"/>
              </w:rPr>
            </w:pPr>
            <w:r>
              <w:rPr>
                <w:rFonts w:ascii="Arial" w:cs="Arial" w:eastAsia="Arial" w:hAnsi="Arial"/>
                <w:sz w:val="18"/>
                <w:szCs w:val="18"/>
                <w:color w:val="auto"/>
                <w:w w:val="95"/>
              </w:rPr>
              <w:t>EACH</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rPr>
              <w:t>9</w:t>
            </w:r>
          </w:p>
        </w:tc>
        <w:tc>
          <w:tcPr>
            <w:tcW w:w="570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570"/>
              <w:spacing w:after="0"/>
              <w:rPr>
                <w:sz w:val="20"/>
                <w:szCs w:val="20"/>
                <w:color w:val="auto"/>
              </w:rPr>
            </w:pPr>
            <w:r>
              <w:rPr>
                <w:rFonts w:ascii="Arial" w:cs="Arial" w:eastAsia="Arial" w:hAnsi="Arial"/>
                <w:sz w:val="18"/>
                <w:szCs w:val="18"/>
                <w:color w:val="auto"/>
                <w:w w:val="93"/>
              </w:rPr>
              <w:t>REPORTING</w:t>
            </w:r>
          </w:p>
        </w:tc>
        <w:tc>
          <w:tcPr>
            <w:tcW w:w="1000" w:type="dxa"/>
            <w:vAlign w:val="bottom"/>
            <w:tcBorders>
              <w:right w:val="single" w:sz="8" w:color="auto"/>
            </w:tcBorders>
            <w:vMerge w:val="continue"/>
          </w:tcPr>
          <w:p>
            <w:pPr>
              <w:spacing w:after="0"/>
              <w:rPr>
                <w:sz w:val="18"/>
                <w:szCs w:val="18"/>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6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ind w:right="570"/>
              <w:spacing w:after="0" w:line="201" w:lineRule="exact"/>
              <w:rPr>
                <w:sz w:val="20"/>
                <w:szCs w:val="20"/>
                <w:color w:val="auto"/>
              </w:rPr>
            </w:pPr>
            <w:r>
              <w:rPr>
                <w:rFonts w:ascii="Arial" w:cs="Arial" w:eastAsia="Arial" w:hAnsi="Arial"/>
                <w:sz w:val="18"/>
                <w:szCs w:val="18"/>
                <w:color w:val="auto"/>
                <w:w w:val="89"/>
              </w:rPr>
              <w:t>PERSON</w:t>
            </w:r>
          </w:p>
        </w:tc>
        <w:tc>
          <w:tcPr>
            <w:tcW w:w="100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740" w:type="dxa"/>
            <w:vAlign w:val="bottom"/>
            <w:tcBorders>
              <w:right w:val="single" w:sz="8" w:color="auto"/>
            </w:tcBorders>
            <w:gridSpan w:val="2"/>
            <w:vMerge w:val="restart"/>
          </w:tcPr>
          <w:p>
            <w:pPr>
              <w:jc w:val="center"/>
              <w:ind w:right="570"/>
              <w:spacing w:after="0"/>
              <w:rPr>
                <w:sz w:val="20"/>
                <w:szCs w:val="20"/>
                <w:color w:val="auto"/>
              </w:rPr>
            </w:pPr>
            <w:r>
              <w:rPr>
                <w:rFonts w:ascii="Arial" w:cs="Arial" w:eastAsia="Arial" w:hAnsi="Arial"/>
                <w:sz w:val="18"/>
                <w:szCs w:val="18"/>
                <w:color w:val="auto"/>
              </w:rPr>
              <w:t>WITH</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5700" w:type="dxa"/>
            <w:vAlign w:val="bottom"/>
            <w:vMerge w:val="continue"/>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tcPr>
          <w:p>
            <w:pPr>
              <w:spacing w:after="0"/>
              <w:rPr>
                <w:sz w:val="14"/>
                <w:szCs w:val="14"/>
                <w:color w:val="auto"/>
              </w:rPr>
            </w:pPr>
          </w:p>
        </w:tc>
        <w:tc>
          <w:tcPr>
            <w:tcW w:w="1740" w:type="dxa"/>
            <w:vAlign w:val="bottom"/>
            <w:tcBorders>
              <w:right w:val="single" w:sz="8" w:color="auto"/>
            </w:tcBorders>
            <w:gridSpan w:val="2"/>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6,475,291</w:t>
            </w: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5700" w:type="dxa"/>
            <w:vAlign w:val="bottom"/>
            <w:vMerge w:val="continue"/>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57"/>
              <w:spacing w:after="0"/>
              <w:rPr>
                <w:sz w:val="20"/>
                <w:szCs w:val="20"/>
                <w:color w:val="auto"/>
              </w:rPr>
            </w:pPr>
            <w:r>
              <w:rPr>
                <w:rFonts w:ascii="Arial" w:cs="Arial" w:eastAsia="Arial" w:hAnsi="Arial"/>
                <w:sz w:val="25"/>
                <w:szCs w:val="25"/>
                <w:color w:val="auto"/>
                <w:w w:val="86"/>
              </w:rPr>
              <w:t>11</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6,475,291</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660" w:type="dxa"/>
            <w:vAlign w:val="bottom"/>
            <w:tcBorders>
              <w:left w:val="single" w:sz="8" w:color="auto"/>
            </w:tcBorders>
          </w:tcPr>
          <w:p>
            <w:pPr>
              <w:jc w:val="center"/>
              <w:ind w:left="277"/>
              <w:spacing w:after="0"/>
              <w:rPr>
                <w:sz w:val="20"/>
                <w:szCs w:val="20"/>
                <w:color w:val="auto"/>
              </w:rPr>
            </w:pPr>
            <w:r>
              <w:rPr>
                <w:rFonts w:ascii="Arial" w:cs="Arial" w:eastAsia="Arial" w:hAnsi="Arial"/>
                <w:sz w:val="25"/>
                <w:szCs w:val="25"/>
                <w:color w:val="auto"/>
                <w:w w:val="93"/>
              </w:rPr>
              <w:t>12</w:t>
            </w:r>
          </w:p>
        </w:tc>
        <w:tc>
          <w:tcPr>
            <w:tcW w:w="38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14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
        </w:trPr>
        <w:tc>
          <w:tcPr>
            <w:tcW w:w="660" w:type="dxa"/>
            <w:vAlign w:val="bottom"/>
            <w:tcBorders>
              <w:left w:val="single" w:sz="8" w:color="auto"/>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70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w w:val="93"/>
              </w:rPr>
              <w:t>13</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14.2%*</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w w:val="93"/>
              </w:rPr>
              <w:t>14</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right="80" w:firstLine="8"/>
        <w:spacing w:after="0" w:line="253"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percentage is calculated based upon 45,450,699 shares of common stock outstanding of PMV Pharmaceuticals, Inc. (the “Issuer”), as set forth in the Issuer’s Annual Report on Form 10-K filed with the Securities and Exchange Commission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 w:name="page4"/>
    <w:bookmarkEnd w:id="3"/>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 xml:space="preserve">CUSIP No. </w:t>
      </w:r>
      <w:r>
        <w:rPr>
          <w:rFonts w:ascii="Arial" w:cs="Arial" w:eastAsia="Arial" w:hAnsi="Arial"/>
          <w:sz w:val="18"/>
          <w:szCs w:val="18"/>
          <w:b w:val="1"/>
          <w:bCs w:val="1"/>
          <w:color w:val="333333"/>
        </w:rPr>
        <w:t>69353Y103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660" w:type="dxa"/>
            <w:vAlign w:val="bottom"/>
            <w:tcBorders>
              <w:top w:val="single" w:sz="8" w:color="auto"/>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1</w:t>
            </w:r>
          </w:p>
        </w:tc>
        <w:tc>
          <w:tcPr>
            <w:tcW w:w="380" w:type="dxa"/>
            <w:vAlign w:val="bottom"/>
            <w:tcBorders>
              <w:top w:val="single" w:sz="8" w:color="auto"/>
              <w:right w:val="single" w:sz="8" w:color="auto"/>
            </w:tcBorders>
          </w:tcPr>
          <w:p>
            <w:pPr>
              <w:spacing w:after="0"/>
              <w:rPr>
                <w:sz w:val="22"/>
                <w:szCs w:val="22"/>
                <w:color w:val="auto"/>
              </w:rPr>
            </w:pPr>
          </w:p>
        </w:tc>
        <w:tc>
          <w:tcPr>
            <w:tcW w:w="23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6"/>
              </w:rPr>
              <w:t>Names of Reporting Persons.</w:t>
            </w:r>
          </w:p>
        </w:tc>
        <w:tc>
          <w:tcPr>
            <w:tcW w:w="5700" w:type="dxa"/>
            <w:vAlign w:val="bottom"/>
            <w:tcBorders>
              <w:top w:val="single" w:sz="8" w:color="auto"/>
            </w:tcBorders>
          </w:tcPr>
          <w:p>
            <w:pPr>
              <w:spacing w:after="0"/>
              <w:rPr>
                <w:sz w:val="22"/>
                <w:szCs w:val="22"/>
                <w:color w:val="auto"/>
              </w:rPr>
            </w:pPr>
          </w:p>
        </w:tc>
        <w:tc>
          <w:tcPr>
            <w:tcW w:w="21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360" w:type="dxa"/>
            <w:vAlign w:val="bottom"/>
            <w:gridSpan w:val="2"/>
            <w:vMerge w:val="restart"/>
          </w:tcPr>
          <w:p>
            <w:pPr>
              <w:ind w:left="40"/>
              <w:spacing w:after="0"/>
              <w:rPr>
                <w:sz w:val="20"/>
                <w:szCs w:val="20"/>
                <w:color w:val="auto"/>
              </w:rPr>
            </w:pPr>
            <w:r>
              <w:rPr>
                <w:rFonts w:ascii="Arial" w:cs="Arial" w:eastAsia="Arial" w:hAnsi="Arial"/>
                <w:sz w:val="18"/>
                <w:szCs w:val="18"/>
                <w:color w:val="auto"/>
              </w:rPr>
              <w:t>OrbiMed Genesis GP LLC</w:t>
            </w: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2360" w:type="dxa"/>
            <w:vAlign w:val="bottom"/>
            <w:gridSpan w:val="2"/>
            <w:vMerge w:val="continue"/>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3"/>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2</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vMerge w:val="continue"/>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10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10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660" w:type="dxa"/>
            <w:vAlign w:val="bottom"/>
            <w:tcBorders>
              <w:left w:val="single" w:sz="8" w:color="auto"/>
            </w:tcBorders>
          </w:tcPr>
          <w:p>
            <w:pPr>
              <w:jc w:val="center"/>
              <w:ind w:left="277"/>
              <w:spacing w:after="0"/>
              <w:rPr>
                <w:sz w:val="20"/>
                <w:szCs w:val="20"/>
                <w:color w:val="auto"/>
              </w:rPr>
            </w:pPr>
            <w:r>
              <w:rPr>
                <w:rFonts w:ascii="Arial" w:cs="Arial" w:eastAsia="Arial" w:hAnsi="Arial"/>
                <w:sz w:val="25"/>
                <w:szCs w:val="25"/>
                <w:color w:val="auto"/>
              </w:rPr>
              <w:t>3</w:t>
            </w:r>
          </w:p>
        </w:tc>
        <w:tc>
          <w:tcPr>
            <w:tcW w:w="380" w:type="dxa"/>
            <w:vAlign w:val="bottom"/>
            <w:tcBorders>
              <w:right w:val="single" w:sz="8" w:color="auto"/>
            </w:tcBorders>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10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60" w:type="dxa"/>
            <w:vAlign w:val="bottom"/>
            <w:tcBorders>
              <w:left w:val="single" w:sz="8" w:color="auto"/>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806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4</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Source of Funds (See Instructions)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AF</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3"/>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660" w:type="dxa"/>
            <w:vAlign w:val="bottom"/>
            <w:tcBorders>
              <w:left w:val="single" w:sz="8" w:color="auto"/>
            </w:tcBorders>
          </w:tcPr>
          <w:p>
            <w:pPr>
              <w:jc w:val="center"/>
              <w:ind w:left="277"/>
              <w:spacing w:after="0"/>
              <w:rPr>
                <w:sz w:val="20"/>
                <w:szCs w:val="20"/>
                <w:color w:val="auto"/>
              </w:rPr>
            </w:pPr>
            <w:r>
              <w:rPr>
                <w:rFonts w:ascii="Arial" w:cs="Arial" w:eastAsia="Arial" w:hAnsi="Arial"/>
                <w:sz w:val="25"/>
                <w:szCs w:val="25"/>
                <w:color w:val="auto"/>
              </w:rPr>
              <w:t>5</w:t>
            </w:r>
          </w:p>
        </w:tc>
        <w:tc>
          <w:tcPr>
            <w:tcW w:w="38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14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
        </w:trPr>
        <w:tc>
          <w:tcPr>
            <w:tcW w:w="660" w:type="dxa"/>
            <w:vAlign w:val="bottom"/>
            <w:tcBorders>
              <w:left w:val="single" w:sz="8" w:color="auto"/>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806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rPr>
              <w:t>6</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tcPr>
          <w:p>
            <w:pPr>
              <w:spacing w:after="0"/>
              <w:rPr>
                <w:sz w:val="21"/>
                <w:szCs w:val="21"/>
                <w:color w:val="auto"/>
              </w:rPr>
            </w:pPr>
          </w:p>
        </w:tc>
        <w:tc>
          <w:tcPr>
            <w:tcW w:w="1740" w:type="dxa"/>
            <w:vAlign w:val="bottom"/>
            <w:tcBorders>
              <w:right w:val="single" w:sz="8" w:color="auto"/>
            </w:tcBorders>
            <w:gridSpan w:val="2"/>
            <w:vMerge w:val="restart"/>
          </w:tcPr>
          <w:p>
            <w:pPr>
              <w:jc w:val="center"/>
              <w:ind w:right="570"/>
              <w:spacing w:after="0"/>
              <w:rPr>
                <w:sz w:val="20"/>
                <w:szCs w:val="20"/>
                <w:color w:val="auto"/>
              </w:rPr>
            </w:pPr>
            <w:r>
              <w:rPr>
                <w:rFonts w:ascii="Arial" w:cs="Arial" w:eastAsia="Arial" w:hAnsi="Arial"/>
                <w:sz w:val="18"/>
                <w:szCs w:val="18"/>
                <w:color w:val="auto"/>
                <w:w w:val="96"/>
              </w:rPr>
              <w:t>NUMBER OF</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rPr>
              <w:t>7</w:t>
            </w:r>
          </w:p>
        </w:tc>
        <w:tc>
          <w:tcPr>
            <w:tcW w:w="57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gridSpan w:val="2"/>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5700" w:type="dxa"/>
            <w:vAlign w:val="bottom"/>
          </w:tcPr>
          <w:p>
            <w:pPr>
              <w:ind w:left="60"/>
              <w:spacing w:after="0" w:line="176" w:lineRule="exact"/>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66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ind w:right="570"/>
              <w:spacing w:after="0" w:line="201" w:lineRule="exact"/>
              <w:rPr>
                <w:sz w:val="20"/>
                <w:szCs w:val="20"/>
                <w:color w:val="auto"/>
              </w:rPr>
            </w:pPr>
            <w:r>
              <w:rPr>
                <w:rFonts w:ascii="Arial" w:cs="Arial" w:eastAsia="Arial" w:hAnsi="Arial"/>
                <w:sz w:val="18"/>
                <w:szCs w:val="18"/>
                <w:color w:val="auto"/>
                <w:w w:val="91"/>
              </w:rPr>
              <w:t>SHARES</w:t>
            </w:r>
          </w:p>
        </w:tc>
        <w:tc>
          <w:tcPr>
            <w:tcW w:w="100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100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5"/>
                <w:szCs w:val="25"/>
                <w:color w:val="auto"/>
              </w:rPr>
              <w:t>8</w:t>
            </w:r>
          </w:p>
        </w:tc>
        <w:tc>
          <w:tcPr>
            <w:tcW w:w="5700" w:type="dxa"/>
            <w:vAlign w:val="bottom"/>
            <w:vMerge w:val="continue"/>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auto"/>
              <w:right w:val="single" w:sz="8" w:color="auto"/>
            </w:tcBorders>
            <w:gridSpan w:val="3"/>
            <w:vMerge w:val="continue"/>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114,039</w:t>
            </w:r>
          </w:p>
        </w:tc>
        <w:tc>
          <w:tcPr>
            <w:tcW w:w="2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60" w:type="dxa"/>
            <w:vAlign w:val="bottom"/>
            <w:tcBorders>
              <w:left w:val="single" w:sz="8" w:color="auto"/>
            </w:tcBorders>
          </w:tcPr>
          <w:p>
            <w:pPr>
              <w:spacing w:after="0"/>
              <w:rPr>
                <w:sz w:val="19"/>
                <w:szCs w:val="19"/>
                <w:color w:val="auto"/>
              </w:rPr>
            </w:pPr>
          </w:p>
        </w:tc>
        <w:tc>
          <w:tcPr>
            <w:tcW w:w="1740" w:type="dxa"/>
            <w:vAlign w:val="bottom"/>
            <w:tcBorders>
              <w:right w:val="single" w:sz="8" w:color="auto"/>
            </w:tcBorders>
            <w:gridSpan w:val="2"/>
          </w:tcPr>
          <w:p>
            <w:pPr>
              <w:jc w:val="center"/>
              <w:ind w:right="570"/>
              <w:spacing w:after="0"/>
              <w:rPr>
                <w:sz w:val="20"/>
                <w:szCs w:val="20"/>
                <w:color w:val="auto"/>
              </w:rPr>
            </w:pPr>
            <w:r>
              <w:rPr>
                <w:rFonts w:ascii="Arial" w:cs="Arial" w:eastAsia="Arial" w:hAnsi="Arial"/>
                <w:sz w:val="18"/>
                <w:szCs w:val="18"/>
                <w:color w:val="auto"/>
                <w:w w:val="97"/>
              </w:rPr>
              <w:t>OWNED BY</w:t>
            </w:r>
          </w:p>
        </w:tc>
        <w:tc>
          <w:tcPr>
            <w:tcW w:w="100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tcPr>
          <w:p>
            <w:pPr>
              <w:spacing w:after="0"/>
              <w:rPr>
                <w:sz w:val="17"/>
                <w:szCs w:val="17"/>
                <w:color w:val="auto"/>
              </w:rPr>
            </w:pPr>
          </w:p>
        </w:tc>
        <w:tc>
          <w:tcPr>
            <w:tcW w:w="1740" w:type="dxa"/>
            <w:vAlign w:val="bottom"/>
            <w:tcBorders>
              <w:right w:val="single" w:sz="8" w:color="auto"/>
            </w:tcBorders>
            <w:gridSpan w:val="2"/>
          </w:tcPr>
          <w:p>
            <w:pPr>
              <w:jc w:val="center"/>
              <w:ind w:right="570"/>
              <w:spacing w:after="0" w:line="202" w:lineRule="exact"/>
              <w:rPr>
                <w:sz w:val="20"/>
                <w:szCs w:val="20"/>
                <w:color w:val="auto"/>
              </w:rPr>
            </w:pPr>
            <w:r>
              <w:rPr>
                <w:rFonts w:ascii="Arial" w:cs="Arial" w:eastAsia="Arial" w:hAnsi="Arial"/>
                <w:sz w:val="18"/>
                <w:szCs w:val="18"/>
                <w:color w:val="auto"/>
                <w:w w:val="95"/>
              </w:rPr>
              <w:t>EACH</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rPr>
              <w:t>9</w:t>
            </w:r>
          </w:p>
        </w:tc>
        <w:tc>
          <w:tcPr>
            <w:tcW w:w="570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570"/>
              <w:spacing w:after="0"/>
              <w:rPr>
                <w:sz w:val="20"/>
                <w:szCs w:val="20"/>
                <w:color w:val="auto"/>
              </w:rPr>
            </w:pPr>
            <w:r>
              <w:rPr>
                <w:rFonts w:ascii="Arial" w:cs="Arial" w:eastAsia="Arial" w:hAnsi="Arial"/>
                <w:sz w:val="18"/>
                <w:szCs w:val="18"/>
                <w:color w:val="auto"/>
                <w:w w:val="93"/>
              </w:rPr>
              <w:t>REPORTING</w:t>
            </w:r>
          </w:p>
        </w:tc>
        <w:tc>
          <w:tcPr>
            <w:tcW w:w="1000" w:type="dxa"/>
            <w:vAlign w:val="bottom"/>
            <w:tcBorders>
              <w:right w:val="single" w:sz="8" w:color="auto"/>
            </w:tcBorders>
            <w:vMerge w:val="continue"/>
          </w:tcPr>
          <w:p>
            <w:pPr>
              <w:spacing w:after="0"/>
              <w:rPr>
                <w:sz w:val="18"/>
                <w:szCs w:val="18"/>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6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ind w:right="570"/>
              <w:spacing w:after="0" w:line="201" w:lineRule="exact"/>
              <w:rPr>
                <w:sz w:val="20"/>
                <w:szCs w:val="20"/>
                <w:color w:val="auto"/>
              </w:rPr>
            </w:pPr>
            <w:r>
              <w:rPr>
                <w:rFonts w:ascii="Arial" w:cs="Arial" w:eastAsia="Arial" w:hAnsi="Arial"/>
                <w:sz w:val="18"/>
                <w:szCs w:val="18"/>
                <w:color w:val="auto"/>
                <w:w w:val="89"/>
              </w:rPr>
              <w:t>PERSON</w:t>
            </w:r>
          </w:p>
        </w:tc>
        <w:tc>
          <w:tcPr>
            <w:tcW w:w="100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740" w:type="dxa"/>
            <w:vAlign w:val="bottom"/>
            <w:tcBorders>
              <w:right w:val="single" w:sz="8" w:color="auto"/>
            </w:tcBorders>
            <w:gridSpan w:val="2"/>
            <w:vMerge w:val="restart"/>
          </w:tcPr>
          <w:p>
            <w:pPr>
              <w:jc w:val="center"/>
              <w:ind w:right="570"/>
              <w:spacing w:after="0"/>
              <w:rPr>
                <w:sz w:val="20"/>
                <w:szCs w:val="20"/>
                <w:color w:val="auto"/>
              </w:rPr>
            </w:pPr>
            <w:r>
              <w:rPr>
                <w:rFonts w:ascii="Arial" w:cs="Arial" w:eastAsia="Arial" w:hAnsi="Arial"/>
                <w:sz w:val="18"/>
                <w:szCs w:val="18"/>
                <w:color w:val="auto"/>
              </w:rPr>
              <w:t>WITH</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5700" w:type="dxa"/>
            <w:vAlign w:val="bottom"/>
            <w:vMerge w:val="continue"/>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tcPr>
          <w:p>
            <w:pPr>
              <w:spacing w:after="0"/>
              <w:rPr>
                <w:sz w:val="14"/>
                <w:szCs w:val="14"/>
                <w:color w:val="auto"/>
              </w:rPr>
            </w:pPr>
          </w:p>
        </w:tc>
        <w:tc>
          <w:tcPr>
            <w:tcW w:w="1740" w:type="dxa"/>
            <w:vAlign w:val="bottom"/>
            <w:tcBorders>
              <w:right w:val="single" w:sz="8" w:color="auto"/>
            </w:tcBorders>
            <w:gridSpan w:val="2"/>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5700" w:type="dxa"/>
            <w:vAlign w:val="bottom"/>
            <w:vMerge w:val="restart"/>
          </w:tcPr>
          <w:p>
            <w:pPr>
              <w:ind w:left="60"/>
              <w:spacing w:after="0"/>
              <w:rPr>
                <w:sz w:val="20"/>
                <w:szCs w:val="20"/>
                <w:color w:val="auto"/>
              </w:rPr>
            </w:pPr>
            <w:r>
              <w:rPr>
                <w:rFonts w:ascii="Arial" w:cs="Arial" w:eastAsia="Arial" w:hAnsi="Arial"/>
                <w:sz w:val="18"/>
                <w:szCs w:val="18"/>
                <w:color w:val="auto"/>
              </w:rPr>
              <w:t>114,039</w:t>
            </w: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5700" w:type="dxa"/>
            <w:vAlign w:val="bottom"/>
            <w:vMerge w:val="continue"/>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57"/>
              <w:spacing w:after="0"/>
              <w:rPr>
                <w:sz w:val="20"/>
                <w:szCs w:val="20"/>
                <w:color w:val="auto"/>
              </w:rPr>
            </w:pPr>
            <w:r>
              <w:rPr>
                <w:rFonts w:ascii="Arial" w:cs="Arial" w:eastAsia="Arial" w:hAnsi="Arial"/>
                <w:sz w:val="25"/>
                <w:szCs w:val="25"/>
                <w:color w:val="auto"/>
                <w:w w:val="86"/>
              </w:rPr>
              <w:t>11</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114,039</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660" w:type="dxa"/>
            <w:vAlign w:val="bottom"/>
            <w:tcBorders>
              <w:left w:val="single" w:sz="8" w:color="auto"/>
            </w:tcBorders>
          </w:tcPr>
          <w:p>
            <w:pPr>
              <w:jc w:val="center"/>
              <w:ind w:left="277"/>
              <w:spacing w:after="0"/>
              <w:rPr>
                <w:sz w:val="20"/>
                <w:szCs w:val="20"/>
                <w:color w:val="auto"/>
              </w:rPr>
            </w:pPr>
            <w:r>
              <w:rPr>
                <w:rFonts w:ascii="Arial" w:cs="Arial" w:eastAsia="Arial" w:hAnsi="Arial"/>
                <w:sz w:val="25"/>
                <w:szCs w:val="25"/>
                <w:color w:val="auto"/>
                <w:w w:val="93"/>
              </w:rPr>
              <w:t>12</w:t>
            </w:r>
          </w:p>
        </w:tc>
        <w:tc>
          <w:tcPr>
            <w:tcW w:w="38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14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
        </w:trPr>
        <w:tc>
          <w:tcPr>
            <w:tcW w:w="660" w:type="dxa"/>
            <w:vAlign w:val="bottom"/>
            <w:tcBorders>
              <w:left w:val="single" w:sz="8" w:color="auto"/>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70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w w:val="93"/>
              </w:rPr>
              <w:t>13</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0.3%*</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vMerge w:val="restart"/>
          </w:tcPr>
          <w:p>
            <w:pPr>
              <w:jc w:val="center"/>
              <w:ind w:left="277"/>
              <w:spacing w:after="0"/>
              <w:rPr>
                <w:sz w:val="20"/>
                <w:szCs w:val="20"/>
                <w:color w:val="auto"/>
              </w:rPr>
            </w:pPr>
            <w:r>
              <w:rPr>
                <w:rFonts w:ascii="Arial" w:cs="Arial" w:eastAsia="Arial" w:hAnsi="Arial"/>
                <w:sz w:val="25"/>
                <w:szCs w:val="25"/>
                <w:color w:val="auto"/>
                <w:w w:val="93"/>
              </w:rPr>
              <w:t>14</w:t>
            </w:r>
          </w:p>
        </w:tc>
        <w:tc>
          <w:tcPr>
            <w:tcW w:w="380" w:type="dxa"/>
            <w:vAlign w:val="bottom"/>
            <w:tcBorders>
              <w:right w:val="single" w:sz="8" w:color="auto"/>
            </w:tcBorders>
          </w:tcPr>
          <w:p>
            <w:pPr>
              <w:spacing w:after="0"/>
              <w:rPr>
                <w:sz w:val="21"/>
                <w:szCs w:val="21"/>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tcBorders>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10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right="80" w:firstLine="8"/>
        <w:spacing w:after="0" w:line="253"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percentage is calculated based upon 45,450,699 shares of common stock outstanding of PMV Pharmaceuticals, Inc. (the “Issuer”), as set forth in the Issuer’s Annual Report on Form 10-K filed with the Securities and Exchange Commission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 w:name="page5"/>
    <w:bookmarkEnd w:id="4"/>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671195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11950" cy="308610"/>
                    </a:xfrm>
                    <a:prstGeom prst="rect">
                      <a:avLst/>
                    </a:prstGeom>
                    <a:noFill/>
                  </pic:spPr>
                </pic:pic>
              </a:graphicData>
            </a:graphic>
          </wp:anchor>
        </w:drawing>
        <w:t xml:space="preserve">CUSIP No. </w:t>
      </w:r>
      <w:r>
        <w:rPr>
          <w:rFonts w:ascii="Arial" w:cs="Arial" w:eastAsia="Arial" w:hAnsi="Arial"/>
          <w:sz w:val="18"/>
          <w:szCs w:val="18"/>
          <w:b w:val="1"/>
          <w:bCs w:val="1"/>
          <w:color w:val="333333"/>
        </w:rPr>
        <w:t>69353Y103</w:t>
      </w: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60" w:type="dxa"/>
            <w:vAlign w:val="bottom"/>
            <w:tcBorders>
              <w:top w:val="single" w:sz="8" w:color="auto"/>
              <w:left w:val="single" w:sz="8" w:color="auto"/>
            </w:tcBorders>
            <w:vMerge w:val="restart"/>
          </w:tcPr>
          <w:p>
            <w:pPr>
              <w:jc w:val="center"/>
              <w:ind w:left="157"/>
              <w:spacing w:after="0"/>
              <w:rPr>
                <w:sz w:val="20"/>
                <w:szCs w:val="20"/>
                <w:color w:val="auto"/>
              </w:rPr>
            </w:pPr>
            <w:r>
              <w:rPr>
                <w:rFonts w:ascii="Arial" w:cs="Arial" w:eastAsia="Arial" w:hAnsi="Arial"/>
                <w:sz w:val="25"/>
                <w:szCs w:val="25"/>
                <w:color w:val="auto"/>
                <w:w w:val="85"/>
              </w:rPr>
              <w:t>1</w:t>
            </w:r>
          </w:p>
        </w:tc>
        <w:tc>
          <w:tcPr>
            <w:tcW w:w="280" w:type="dxa"/>
            <w:vAlign w:val="bottom"/>
            <w:tcBorders>
              <w:top w:val="single" w:sz="8" w:color="auto"/>
              <w:right w:val="single" w:sz="8" w:color="auto"/>
            </w:tcBorders>
          </w:tcPr>
          <w:p>
            <w:pPr>
              <w:spacing w:after="0"/>
              <w:rPr>
                <w:sz w:val="23"/>
                <w:szCs w:val="23"/>
                <w:color w:val="auto"/>
              </w:rPr>
            </w:pPr>
          </w:p>
        </w:tc>
        <w:tc>
          <w:tcPr>
            <w:tcW w:w="21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w w:val="88"/>
              </w:rPr>
              <w:t>Names of Reporting Persons.</w:t>
            </w:r>
          </w:p>
        </w:tc>
        <w:tc>
          <w:tcPr>
            <w:tcW w:w="6000" w:type="dxa"/>
            <w:vAlign w:val="bottom"/>
            <w:tcBorders>
              <w:top w:val="single" w:sz="8" w:color="auto"/>
            </w:tcBorders>
          </w:tcPr>
          <w:p>
            <w:pPr>
              <w:spacing w:after="0"/>
              <w:rPr>
                <w:sz w:val="23"/>
                <w:szCs w:val="23"/>
                <w:color w:val="auto"/>
              </w:rPr>
            </w:pPr>
          </w:p>
        </w:tc>
        <w:tc>
          <w:tcPr>
            <w:tcW w:w="21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560" w:type="dxa"/>
            <w:vAlign w:val="bottom"/>
            <w:tcBorders>
              <w:left w:val="single" w:sz="8" w:color="auto"/>
            </w:tcBorders>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160" w:type="dxa"/>
            <w:vAlign w:val="bottom"/>
            <w:gridSpan w:val="3"/>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60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60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8160" w:type="dxa"/>
            <w:vAlign w:val="bottom"/>
            <w:tcBorders>
              <w:bottom w:val="single" w:sz="8" w:color="auto"/>
            </w:tcBorders>
            <w:gridSpan w:val="4"/>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60" w:type="dxa"/>
            <w:vAlign w:val="bottom"/>
            <w:tcBorders>
              <w:left w:val="single" w:sz="8" w:color="auto"/>
            </w:tcBorders>
            <w:vMerge w:val="restart"/>
          </w:tcPr>
          <w:p>
            <w:pPr>
              <w:jc w:val="center"/>
              <w:ind w:left="157"/>
              <w:spacing w:after="0"/>
              <w:rPr>
                <w:sz w:val="20"/>
                <w:szCs w:val="20"/>
                <w:color w:val="auto"/>
              </w:rPr>
            </w:pPr>
            <w:r>
              <w:rPr>
                <w:rFonts w:ascii="Arial" w:cs="Arial" w:eastAsia="Arial" w:hAnsi="Arial"/>
                <w:sz w:val="25"/>
                <w:szCs w:val="25"/>
                <w:color w:val="auto"/>
                <w:w w:val="85"/>
              </w:rPr>
              <w:t>2</w:t>
            </w:r>
          </w:p>
        </w:tc>
        <w:tc>
          <w:tcPr>
            <w:tcW w:w="28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vMerge w:val="continue"/>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(a) o</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(b) o</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60" w:type="dxa"/>
            <w:vAlign w:val="bottom"/>
            <w:tcBorders>
              <w:left w:val="single" w:sz="8" w:color="auto"/>
            </w:tcBorders>
          </w:tcPr>
          <w:p>
            <w:pPr>
              <w:jc w:val="center"/>
              <w:ind w:left="157"/>
              <w:spacing w:after="0"/>
              <w:rPr>
                <w:sz w:val="20"/>
                <w:szCs w:val="20"/>
                <w:color w:val="auto"/>
              </w:rPr>
            </w:pPr>
            <w:r>
              <w:rPr>
                <w:rFonts w:ascii="Arial" w:cs="Arial" w:eastAsia="Arial" w:hAnsi="Arial"/>
                <w:sz w:val="25"/>
                <w:szCs w:val="25"/>
                <w:color w:val="auto"/>
                <w:w w:val="85"/>
              </w:rPr>
              <w:t>3</w:t>
            </w:r>
          </w:p>
        </w:tc>
        <w:tc>
          <w:tcPr>
            <w:tcW w:w="28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6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8160" w:type="dxa"/>
            <w:vAlign w:val="bottom"/>
            <w:tcBorders>
              <w:bottom w:val="single" w:sz="8" w:color="auto"/>
            </w:tcBorders>
            <w:gridSpan w:val="4"/>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60" w:type="dxa"/>
            <w:vAlign w:val="bottom"/>
            <w:tcBorders>
              <w:left w:val="single" w:sz="8" w:color="auto"/>
            </w:tcBorders>
            <w:vMerge w:val="restart"/>
          </w:tcPr>
          <w:p>
            <w:pPr>
              <w:jc w:val="center"/>
              <w:ind w:left="157"/>
              <w:spacing w:after="0"/>
              <w:rPr>
                <w:sz w:val="20"/>
                <w:szCs w:val="20"/>
                <w:color w:val="auto"/>
              </w:rPr>
            </w:pPr>
            <w:r>
              <w:rPr>
                <w:rFonts w:ascii="Arial" w:cs="Arial" w:eastAsia="Arial" w:hAnsi="Arial"/>
                <w:sz w:val="25"/>
                <w:szCs w:val="25"/>
                <w:color w:val="auto"/>
                <w:w w:val="85"/>
              </w:rPr>
              <w:t>4</w:t>
            </w:r>
          </w:p>
        </w:tc>
        <w:tc>
          <w:tcPr>
            <w:tcW w:w="28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Source of Funds (See Instructions)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60" w:type="dxa"/>
            <w:vAlign w:val="bottom"/>
            <w:tcBorders>
              <w:left w:val="single" w:sz="8" w:color="auto"/>
            </w:tcBorders>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AF</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8160" w:type="dxa"/>
            <w:vAlign w:val="bottom"/>
            <w:tcBorders>
              <w:bottom w:val="single" w:sz="8" w:color="auto"/>
            </w:tcBorders>
            <w:gridSpan w:val="4"/>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 w:type="dxa"/>
            <w:vAlign w:val="bottom"/>
            <w:tcBorders>
              <w:left w:val="single" w:sz="8" w:color="auto"/>
            </w:tcBorders>
            <w:vMerge w:val="restart"/>
          </w:tcPr>
          <w:p>
            <w:pPr>
              <w:jc w:val="center"/>
              <w:ind w:left="157"/>
              <w:spacing w:after="0"/>
              <w:rPr>
                <w:sz w:val="20"/>
                <w:szCs w:val="20"/>
                <w:color w:val="auto"/>
              </w:rPr>
            </w:pPr>
            <w:r>
              <w:rPr>
                <w:rFonts w:ascii="Arial" w:cs="Arial" w:eastAsia="Arial" w:hAnsi="Arial"/>
                <w:sz w:val="25"/>
                <w:szCs w:val="25"/>
                <w:color w:val="auto"/>
                <w:w w:val="85"/>
              </w:rPr>
              <w:t>5</w:t>
            </w:r>
          </w:p>
        </w:tc>
        <w:tc>
          <w:tcPr>
            <w:tcW w:w="280" w:type="dxa"/>
            <w:vAlign w:val="bottom"/>
            <w:tcBorders>
              <w:right w:val="single" w:sz="8" w:color="auto"/>
            </w:tcBorders>
          </w:tcPr>
          <w:p>
            <w:pPr>
              <w:spacing w:after="0"/>
              <w:rPr>
                <w:sz w:val="22"/>
                <w:szCs w:val="22"/>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7"/>
        </w:trPr>
        <w:tc>
          <w:tcPr>
            <w:tcW w:w="560" w:type="dxa"/>
            <w:vAlign w:val="bottom"/>
            <w:tcBorders>
              <w:left w:val="single" w:sz="8" w:color="auto"/>
            </w:tcBorders>
            <w:vMerge w:val="continue"/>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60" w:type="dxa"/>
            <w:vAlign w:val="bottom"/>
            <w:tcBorders>
              <w:left w:val="single" w:sz="8" w:color="auto"/>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8160" w:type="dxa"/>
            <w:vAlign w:val="bottom"/>
            <w:tcBorders>
              <w:bottom w:val="single" w:sz="8" w:color="auto"/>
            </w:tcBorders>
            <w:gridSpan w:val="4"/>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560" w:type="dxa"/>
            <w:vAlign w:val="bottom"/>
            <w:tcBorders>
              <w:left w:val="single" w:sz="8" w:color="auto"/>
            </w:tcBorders>
            <w:vMerge w:val="restart"/>
          </w:tcPr>
          <w:p>
            <w:pPr>
              <w:jc w:val="center"/>
              <w:ind w:left="157"/>
              <w:spacing w:after="0"/>
              <w:rPr>
                <w:sz w:val="20"/>
                <w:szCs w:val="20"/>
                <w:color w:val="auto"/>
              </w:rPr>
            </w:pPr>
            <w:r>
              <w:rPr>
                <w:rFonts w:ascii="Arial" w:cs="Arial" w:eastAsia="Arial" w:hAnsi="Arial"/>
                <w:sz w:val="25"/>
                <w:szCs w:val="25"/>
                <w:color w:val="auto"/>
                <w:w w:val="85"/>
              </w:rPr>
              <w:t>6</w:t>
            </w:r>
          </w:p>
        </w:tc>
        <w:tc>
          <w:tcPr>
            <w:tcW w:w="28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60" w:type="dxa"/>
            <w:vAlign w:val="bottom"/>
            <w:tcBorders>
              <w:left w:val="single" w:sz="8" w:color="auto"/>
            </w:tcBorders>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w w:val="97"/>
              </w:rPr>
              <w:t>Cayman Islands</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60" w:type="dxa"/>
            <w:vAlign w:val="bottom"/>
            <w:tcBorders>
              <w:left w:val="single" w:sz="8" w:color="auto"/>
            </w:tcBorders>
          </w:tcPr>
          <w:p>
            <w:pPr>
              <w:spacing w:after="0"/>
              <w:rPr>
                <w:sz w:val="21"/>
                <w:szCs w:val="21"/>
                <w:color w:val="auto"/>
              </w:rPr>
            </w:pPr>
          </w:p>
        </w:tc>
        <w:tc>
          <w:tcPr>
            <w:tcW w:w="1620" w:type="dxa"/>
            <w:vAlign w:val="bottom"/>
            <w:tcBorders>
              <w:right w:val="single" w:sz="8" w:color="auto"/>
            </w:tcBorders>
            <w:gridSpan w:val="2"/>
            <w:vMerge w:val="restart"/>
          </w:tcPr>
          <w:p>
            <w:pPr>
              <w:jc w:val="center"/>
              <w:ind w:right="450"/>
              <w:spacing w:after="0"/>
              <w:rPr>
                <w:sz w:val="20"/>
                <w:szCs w:val="20"/>
                <w:color w:val="auto"/>
              </w:rPr>
            </w:pPr>
            <w:r>
              <w:rPr>
                <w:rFonts w:ascii="Arial" w:cs="Arial" w:eastAsia="Arial" w:hAnsi="Arial"/>
                <w:sz w:val="18"/>
                <w:szCs w:val="18"/>
                <w:color w:val="auto"/>
                <w:w w:val="96"/>
              </w:rPr>
              <w:t>NUMBER OF</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7</w:t>
            </w:r>
          </w:p>
        </w:tc>
        <w:tc>
          <w:tcPr>
            <w:tcW w:w="20" w:type="dxa"/>
            <w:vAlign w:val="bottom"/>
          </w:tcPr>
          <w:p>
            <w:pPr>
              <w:spacing w:after="0"/>
              <w:rPr>
                <w:sz w:val="21"/>
                <w:szCs w:val="21"/>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1620" w:type="dxa"/>
            <w:vAlign w:val="bottom"/>
            <w:tcBorders>
              <w:right w:val="single" w:sz="8" w:color="auto"/>
            </w:tcBorders>
            <w:gridSpan w:val="2"/>
            <w:vMerge w:val="continue"/>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6000" w:type="dxa"/>
            <w:vAlign w:val="bottom"/>
          </w:tcPr>
          <w:p>
            <w:pPr>
              <w:ind w:left="20"/>
              <w:spacing w:after="0" w:line="176" w:lineRule="exact"/>
              <w:rPr>
                <w:sz w:val="20"/>
                <w:szCs w:val="20"/>
                <w:color w:val="auto"/>
              </w:rPr>
            </w:pPr>
            <w:r>
              <w:rPr>
                <w:rFonts w:ascii="Arial" w:cs="Arial" w:eastAsia="Arial" w:hAnsi="Arial"/>
                <w:sz w:val="18"/>
                <w:szCs w:val="18"/>
                <w:color w:val="auto"/>
              </w:rPr>
              <w:t>266,093</w:t>
            </w: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60" w:type="dxa"/>
            <w:vAlign w:val="bottom"/>
            <w:tcBorders>
              <w:left w:val="single" w:sz="8" w:color="auto"/>
            </w:tcBorders>
          </w:tcPr>
          <w:p>
            <w:pPr>
              <w:spacing w:after="0"/>
              <w:rPr>
                <w:sz w:val="8"/>
                <w:szCs w:val="8"/>
                <w:color w:val="auto"/>
              </w:rPr>
            </w:pPr>
          </w:p>
        </w:tc>
        <w:tc>
          <w:tcPr>
            <w:tcW w:w="1620" w:type="dxa"/>
            <w:vAlign w:val="bottom"/>
            <w:tcBorders>
              <w:right w:val="single" w:sz="8" w:color="auto"/>
            </w:tcBorders>
            <w:gridSpan w:val="2"/>
            <w:vMerge w:val="restart"/>
          </w:tcPr>
          <w:p>
            <w:pPr>
              <w:jc w:val="center"/>
              <w:ind w:right="470"/>
              <w:spacing w:after="0" w:line="201" w:lineRule="exact"/>
              <w:rPr>
                <w:sz w:val="20"/>
                <w:szCs w:val="20"/>
                <w:color w:val="auto"/>
              </w:rPr>
            </w:pPr>
            <w:r>
              <w:rPr>
                <w:rFonts w:ascii="Arial" w:cs="Arial" w:eastAsia="Arial" w:hAnsi="Arial"/>
                <w:sz w:val="18"/>
                <w:szCs w:val="18"/>
                <w:color w:val="auto"/>
                <w:w w:val="94"/>
              </w:rPr>
              <w:t>SHARES</w:t>
            </w:r>
          </w:p>
        </w:tc>
        <w:tc>
          <w:tcPr>
            <w:tcW w:w="80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60" w:type="dxa"/>
            <w:vAlign w:val="bottom"/>
            <w:tcBorders>
              <w:left w:val="single" w:sz="8" w:color="auto"/>
            </w:tcBorders>
          </w:tcPr>
          <w:p>
            <w:pPr>
              <w:spacing w:after="0"/>
              <w:rPr>
                <w:sz w:val="6"/>
                <w:szCs w:val="6"/>
                <w:color w:val="auto"/>
              </w:rPr>
            </w:pPr>
          </w:p>
        </w:tc>
        <w:tc>
          <w:tcPr>
            <w:tcW w:w="1620" w:type="dxa"/>
            <w:vAlign w:val="bottom"/>
            <w:tcBorders>
              <w:right w:val="single" w:sz="8" w:color="auto"/>
            </w:tcBorders>
            <w:gridSpan w:val="2"/>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5"/>
                <w:szCs w:val="25"/>
                <w:color w:val="auto"/>
                <w:w w:val="85"/>
              </w:rPr>
              <w:t>8</w:t>
            </w:r>
          </w:p>
        </w:tc>
        <w:tc>
          <w:tcPr>
            <w:tcW w:w="20" w:type="dxa"/>
            <w:vAlign w:val="bottom"/>
          </w:tcPr>
          <w:p>
            <w:pPr>
              <w:spacing w:after="0"/>
              <w:rPr>
                <w:sz w:val="14"/>
                <w:szCs w:val="14"/>
                <w:color w:val="auto"/>
              </w:rPr>
            </w:pPr>
          </w:p>
        </w:tc>
        <w:tc>
          <w:tcPr>
            <w:tcW w:w="6000" w:type="dxa"/>
            <w:vAlign w:val="bottom"/>
            <w:vMerge w:val="continue"/>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80" w:type="dxa"/>
            <w:vAlign w:val="bottom"/>
            <w:tcBorders>
              <w:left w:val="single" w:sz="8" w:color="auto"/>
              <w:right w:val="single" w:sz="8" w:color="auto"/>
            </w:tcBorders>
            <w:gridSpan w:val="3"/>
            <w:vMerge w:val="continue"/>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6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spacing w:after="0"/>
              <w:rPr>
                <w:sz w:val="19"/>
                <w:szCs w:val="19"/>
                <w:color w:val="auto"/>
              </w:rPr>
            </w:pPr>
          </w:p>
        </w:tc>
        <w:tc>
          <w:tcPr>
            <w:tcW w:w="16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7"/>
              </w:rPr>
              <w:t>OWNED BY</w:t>
            </w:r>
          </w:p>
        </w:tc>
        <w:tc>
          <w:tcPr>
            <w:tcW w:w="80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EACH</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20" w:type="dxa"/>
            <w:vAlign w:val="bottom"/>
          </w:tcPr>
          <w:p>
            <w:pPr>
              <w:spacing w:after="0"/>
              <w:rPr>
                <w:sz w:val="17"/>
                <w:szCs w:val="17"/>
                <w:color w:val="auto"/>
              </w:rPr>
            </w:pPr>
          </w:p>
        </w:tc>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Sole Dispositive Power</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80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266,093</w:t>
            </w: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60" w:type="dxa"/>
            <w:vAlign w:val="bottom"/>
            <w:tcBorders>
              <w:left w:val="single" w:sz="8" w:color="auto"/>
            </w:tcBorders>
          </w:tcPr>
          <w:p>
            <w:pPr>
              <w:spacing w:after="0"/>
              <w:rPr>
                <w:sz w:val="8"/>
                <w:szCs w:val="8"/>
                <w:color w:val="auto"/>
              </w:rPr>
            </w:pPr>
          </w:p>
        </w:tc>
        <w:tc>
          <w:tcPr>
            <w:tcW w:w="1620" w:type="dxa"/>
            <w:vAlign w:val="bottom"/>
            <w:tcBorders>
              <w:right w:val="single" w:sz="8" w:color="auto"/>
            </w:tcBorders>
            <w:gridSpan w:val="2"/>
            <w:vMerge w:val="restart"/>
          </w:tcPr>
          <w:p>
            <w:pPr>
              <w:jc w:val="center"/>
              <w:ind w:right="470"/>
              <w:spacing w:after="0" w:line="201" w:lineRule="exact"/>
              <w:rPr>
                <w:sz w:val="20"/>
                <w:szCs w:val="20"/>
                <w:color w:val="auto"/>
              </w:rPr>
            </w:pPr>
            <w:r>
              <w:rPr>
                <w:rFonts w:ascii="Arial" w:cs="Arial" w:eastAsia="Arial" w:hAnsi="Arial"/>
                <w:sz w:val="18"/>
                <w:szCs w:val="18"/>
                <w:color w:val="auto"/>
                <w:w w:val="92"/>
              </w:rPr>
              <w:t>PERSON</w:t>
            </w:r>
          </w:p>
        </w:tc>
        <w:tc>
          <w:tcPr>
            <w:tcW w:w="80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60" w:type="dxa"/>
            <w:vAlign w:val="bottom"/>
            <w:tcBorders>
              <w:left w:val="single" w:sz="8" w:color="auto"/>
            </w:tcBorders>
          </w:tcPr>
          <w:p>
            <w:pPr>
              <w:spacing w:after="0"/>
              <w:rPr>
                <w:sz w:val="6"/>
                <w:szCs w:val="6"/>
                <w:color w:val="auto"/>
              </w:rPr>
            </w:pPr>
          </w:p>
        </w:tc>
        <w:tc>
          <w:tcPr>
            <w:tcW w:w="1620" w:type="dxa"/>
            <w:vAlign w:val="bottom"/>
            <w:tcBorders>
              <w:right w:val="single" w:sz="8" w:color="auto"/>
            </w:tcBorders>
            <w:gridSpan w:val="2"/>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0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WITH</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20" w:type="dxa"/>
            <w:vAlign w:val="bottom"/>
          </w:tcPr>
          <w:p>
            <w:pPr>
              <w:spacing w:after="0"/>
              <w:rPr>
                <w:sz w:val="14"/>
                <w:szCs w:val="14"/>
                <w:color w:val="auto"/>
              </w:rPr>
            </w:pPr>
          </w:p>
        </w:tc>
        <w:tc>
          <w:tcPr>
            <w:tcW w:w="6000" w:type="dxa"/>
            <w:vAlign w:val="bottom"/>
            <w:vMerge w:val="continue"/>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00" w:type="dxa"/>
            <w:vAlign w:val="bottom"/>
            <w:vMerge w:val="continue"/>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020" w:type="dxa"/>
            <w:vAlign w:val="bottom"/>
            <w:tcBorders>
              <w:bottom w:val="single" w:sz="8" w:color="auto"/>
            </w:tcBorders>
            <w:gridSpan w:val="2"/>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60" w:type="dxa"/>
            <w:vAlign w:val="bottom"/>
            <w:tcBorders>
              <w:left w:val="single" w:sz="8" w:color="auto"/>
            </w:tcBorders>
            <w:vMerge w:val="restart"/>
          </w:tcPr>
          <w:p>
            <w:pPr>
              <w:jc w:val="center"/>
              <w:ind w:left="157"/>
              <w:spacing w:after="0"/>
              <w:rPr>
                <w:sz w:val="20"/>
                <w:szCs w:val="20"/>
                <w:color w:val="auto"/>
              </w:rPr>
            </w:pPr>
            <w:r>
              <w:rPr>
                <w:rFonts w:ascii="Arial" w:cs="Arial" w:eastAsia="Arial" w:hAnsi="Arial"/>
                <w:sz w:val="25"/>
                <w:szCs w:val="25"/>
                <w:color w:val="auto"/>
                <w:w w:val="86"/>
              </w:rPr>
              <w:t>11</w:t>
            </w:r>
          </w:p>
        </w:tc>
        <w:tc>
          <w:tcPr>
            <w:tcW w:w="28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60" w:type="dxa"/>
            <w:vAlign w:val="bottom"/>
            <w:tcBorders>
              <w:left w:val="single" w:sz="8" w:color="auto"/>
            </w:tcBorders>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266,093</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20" w:type="dxa"/>
            <w:vAlign w:val="bottom"/>
            <w:tcBorders>
              <w:bottom w:val="single" w:sz="8" w:color="auto"/>
            </w:tcBorders>
            <w:gridSpan w:val="2"/>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 w:type="dxa"/>
            <w:vAlign w:val="bottom"/>
            <w:tcBorders>
              <w:left w:val="single" w:sz="8" w:color="auto"/>
            </w:tcBorders>
            <w:vMerge w:val="restart"/>
          </w:tcPr>
          <w:p>
            <w:pPr>
              <w:jc w:val="center"/>
              <w:ind w:left="157"/>
              <w:spacing w:after="0"/>
              <w:rPr>
                <w:sz w:val="20"/>
                <w:szCs w:val="20"/>
                <w:color w:val="auto"/>
              </w:rPr>
            </w:pPr>
            <w:r>
              <w:rPr>
                <w:rFonts w:ascii="Arial" w:cs="Arial" w:eastAsia="Arial" w:hAnsi="Arial"/>
                <w:sz w:val="25"/>
                <w:szCs w:val="25"/>
                <w:color w:val="auto"/>
                <w:w w:val="86"/>
              </w:rPr>
              <w:t>12</w:t>
            </w:r>
          </w:p>
        </w:tc>
        <w:tc>
          <w:tcPr>
            <w:tcW w:w="280" w:type="dxa"/>
            <w:vAlign w:val="bottom"/>
            <w:tcBorders>
              <w:right w:val="single" w:sz="8" w:color="auto"/>
            </w:tcBorders>
          </w:tcPr>
          <w:p>
            <w:pPr>
              <w:spacing w:after="0"/>
              <w:rPr>
                <w:sz w:val="22"/>
                <w:szCs w:val="22"/>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7"/>
        </w:trPr>
        <w:tc>
          <w:tcPr>
            <w:tcW w:w="560" w:type="dxa"/>
            <w:vAlign w:val="bottom"/>
            <w:tcBorders>
              <w:left w:val="single" w:sz="8" w:color="auto"/>
            </w:tcBorders>
            <w:vMerge w:val="continue"/>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60" w:type="dxa"/>
            <w:vAlign w:val="bottom"/>
            <w:tcBorders>
              <w:left w:val="single" w:sz="8" w:color="auto"/>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20" w:type="dxa"/>
            <w:vAlign w:val="bottom"/>
            <w:tcBorders>
              <w:bottom w:val="single" w:sz="8" w:color="auto"/>
            </w:tcBorders>
            <w:gridSpan w:val="2"/>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560" w:type="dxa"/>
            <w:vAlign w:val="bottom"/>
            <w:tcBorders>
              <w:left w:val="single" w:sz="8" w:color="auto"/>
            </w:tcBorders>
            <w:vMerge w:val="restart"/>
          </w:tcPr>
          <w:p>
            <w:pPr>
              <w:jc w:val="center"/>
              <w:ind w:left="157"/>
              <w:spacing w:after="0"/>
              <w:rPr>
                <w:sz w:val="20"/>
                <w:szCs w:val="20"/>
                <w:color w:val="auto"/>
              </w:rPr>
            </w:pPr>
            <w:r>
              <w:rPr>
                <w:rFonts w:ascii="Arial" w:cs="Arial" w:eastAsia="Arial" w:hAnsi="Arial"/>
                <w:sz w:val="25"/>
                <w:szCs w:val="25"/>
                <w:color w:val="auto"/>
                <w:w w:val="86"/>
              </w:rPr>
              <w:t>13</w:t>
            </w:r>
          </w:p>
        </w:tc>
        <w:tc>
          <w:tcPr>
            <w:tcW w:w="28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60" w:type="dxa"/>
            <w:vAlign w:val="bottom"/>
            <w:tcBorders>
              <w:left w:val="single" w:sz="8" w:color="auto"/>
            </w:tcBorders>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0.6%*</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20" w:type="dxa"/>
            <w:vAlign w:val="bottom"/>
            <w:tcBorders>
              <w:bottom w:val="single" w:sz="8" w:color="auto"/>
            </w:tcBorders>
            <w:gridSpan w:val="2"/>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60" w:type="dxa"/>
            <w:vAlign w:val="bottom"/>
            <w:tcBorders>
              <w:left w:val="single" w:sz="8" w:color="auto"/>
            </w:tcBorders>
            <w:vMerge w:val="restart"/>
          </w:tcPr>
          <w:p>
            <w:pPr>
              <w:jc w:val="center"/>
              <w:ind w:left="157"/>
              <w:spacing w:after="0"/>
              <w:rPr>
                <w:sz w:val="20"/>
                <w:szCs w:val="20"/>
                <w:color w:val="auto"/>
              </w:rPr>
            </w:pPr>
            <w:r>
              <w:rPr>
                <w:rFonts w:ascii="Arial" w:cs="Arial" w:eastAsia="Arial" w:hAnsi="Arial"/>
                <w:sz w:val="25"/>
                <w:szCs w:val="25"/>
                <w:color w:val="auto"/>
                <w:w w:val="86"/>
              </w:rPr>
              <w:t>14</w:t>
            </w:r>
          </w:p>
        </w:tc>
        <w:tc>
          <w:tcPr>
            <w:tcW w:w="28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60" w:type="dxa"/>
            <w:vAlign w:val="bottom"/>
            <w:tcBorders>
              <w:left w:val="single" w:sz="8" w:color="auto"/>
            </w:tcBorders>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firstLine="8"/>
        <w:spacing w:after="0" w:line="253" w:lineRule="auto"/>
        <w:tabs>
          <w:tab w:leader="none" w:pos="10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percentage is calculated based upon 45,450,699 shares of common stock outstanding of PMV Pharmaceuticals, Inc. (the “Issuer”), as set forth in the Issuer’s Annual Report on Form 10-K filed with the Securities and Exchange Commission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1323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60"/>
          </w:cols>
          <w:pgMar w:left="320" w:top="715"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Amendment No. 1 to Schedule 13D (the “</w:t>
      </w:r>
      <w:r>
        <w:rPr>
          <w:rFonts w:ascii="Arial" w:cs="Arial" w:eastAsia="Arial" w:hAnsi="Arial"/>
          <w:sz w:val="17"/>
          <w:szCs w:val="17"/>
          <w:u w:val="single" w:color="auto"/>
          <w:color w:val="auto"/>
        </w:rPr>
        <w:t>Statement</w:t>
      </w:r>
      <w:r>
        <w:rPr>
          <w:rFonts w:ascii="Arial" w:cs="Arial" w:eastAsia="Arial" w:hAnsi="Arial"/>
          <w:sz w:val="17"/>
          <w:szCs w:val="17"/>
          <w:color w:val="auto"/>
        </w:rPr>
        <w:t>”) supplements and amends the Statement on Schedule 13D of OrbiMed Advisors LLC, OrbiMed Capital GP V LLC, OrbiMed Genesis GP LLC and OrbiMed Capital LLC originally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October 5, 2020 (the “</w:t>
      </w:r>
      <w:r>
        <w:rPr>
          <w:rFonts w:ascii="Arial" w:cs="Arial" w:eastAsia="Arial" w:hAnsi="Arial"/>
          <w:sz w:val="17"/>
          <w:szCs w:val="17"/>
          <w:u w:val="single" w:color="auto"/>
          <w:color w:val="auto"/>
        </w:rPr>
        <w:t>Statement</w:t>
      </w:r>
      <w:r>
        <w:rPr>
          <w:rFonts w:ascii="Arial" w:cs="Arial" w:eastAsia="Arial" w:hAnsi="Arial"/>
          <w:sz w:val="17"/>
          <w:szCs w:val="17"/>
          <w:color w:val="auto"/>
        </w:rPr>
        <w:t>”). This Statement relates to the common stock, par value $.00001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of PMV Pharmaceuticals, Inc., a corporation organized under the laws of Delaware (the “</w:t>
      </w:r>
      <w:r>
        <w:rPr>
          <w:rFonts w:ascii="Arial" w:cs="Arial" w:eastAsia="Arial" w:hAnsi="Arial"/>
          <w:sz w:val="17"/>
          <w:szCs w:val="17"/>
          <w:u w:val="single" w:color="auto"/>
          <w:color w:val="auto"/>
        </w:rPr>
        <w:t>Issuer</w:t>
      </w:r>
      <w:r>
        <w:rPr>
          <w:rFonts w:ascii="Arial" w:cs="Arial" w:eastAsia="Arial" w:hAnsi="Arial"/>
          <w:sz w:val="17"/>
          <w:szCs w:val="17"/>
          <w:color w:val="auto"/>
        </w:rPr>
        <w:t>” ), with its principal executive offices located at 8 Clarke Drive, Suite 3, Cranbury, New Jersey 08512. The Shares are listed on the NASDAQ Global Select Market under the ticker symbol “PMVP”. Information given in response to each item shall be deemed incorporated by reference in all other items, as applicable.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Amendment No. 1 is being filed to report that the beneficial ownership of the outstanding Shares held by the Reporting Persons was reduced by more than 1% since the filing of the Statement following the transactions described in Item 5(c) below. Further, as a result of the transactions described in Item 5(c) below, OrbiMed Partners Master Fund Limited (“</w:t>
      </w:r>
      <w:r>
        <w:rPr>
          <w:rFonts w:ascii="Arial" w:cs="Arial" w:eastAsia="Arial" w:hAnsi="Arial"/>
          <w:sz w:val="18"/>
          <w:szCs w:val="18"/>
          <w:u w:val="single" w:color="auto"/>
          <w:color w:val="auto"/>
        </w:rPr>
        <w:t>OPM</w:t>
      </w:r>
      <w:r>
        <w:rPr>
          <w:rFonts w:ascii="Arial" w:cs="Arial" w:eastAsia="Arial" w:hAnsi="Arial"/>
          <w:sz w:val="18"/>
          <w:szCs w:val="18"/>
          <w:color w:val="auto"/>
        </w:rPr>
        <w:t>”) no longer holds any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firstLine="656"/>
        <w:spacing w:after="0" w:line="277" w:lineRule="auto"/>
        <w:tabs>
          <w:tab w:leader="none" w:pos="89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Schedule 13D is being filed by OrbiMed Advisors LLC (“</w:t>
      </w:r>
      <w:r>
        <w:rPr>
          <w:rFonts w:ascii="Arial" w:cs="Arial" w:eastAsia="Arial" w:hAnsi="Arial"/>
          <w:sz w:val="18"/>
          <w:szCs w:val="18"/>
          <w:u w:val="single" w:color="auto"/>
          <w:color w:val="auto"/>
        </w:rPr>
        <w:t>OrbiMed Advisors</w:t>
      </w:r>
      <w:r>
        <w:rPr>
          <w:rFonts w:ascii="Arial" w:cs="Arial" w:eastAsia="Arial" w:hAnsi="Arial"/>
          <w:sz w:val="18"/>
          <w:szCs w:val="18"/>
          <w:color w:val="auto"/>
        </w:rPr>
        <w:t>”), OrbiMed Capital GP V LLC (“</w:t>
      </w:r>
      <w:r>
        <w:rPr>
          <w:rFonts w:ascii="Arial" w:cs="Arial" w:eastAsia="Arial" w:hAnsi="Arial"/>
          <w:sz w:val="18"/>
          <w:szCs w:val="18"/>
          <w:u w:val="single" w:color="auto"/>
          <w:color w:val="auto"/>
        </w:rPr>
        <w:t>OrbiMed GP</w:t>
      </w:r>
      <w:r>
        <w:rPr>
          <w:rFonts w:ascii="Arial" w:cs="Arial" w:eastAsia="Arial" w:hAnsi="Arial"/>
          <w:sz w:val="18"/>
          <w:szCs w:val="18"/>
          <w:color w:val="auto"/>
        </w:rPr>
        <w:t>”), OrbiMed Genesis GP LLC (“</w:t>
      </w:r>
      <w:r>
        <w:rPr>
          <w:rFonts w:ascii="Arial" w:cs="Arial" w:eastAsia="Arial" w:hAnsi="Arial"/>
          <w:sz w:val="18"/>
          <w:szCs w:val="18"/>
          <w:u w:val="single" w:color="auto"/>
          <w:color w:val="auto"/>
        </w:rPr>
        <w:t>OrbiMed Genesis</w:t>
      </w:r>
      <w:r>
        <w:rPr>
          <w:rFonts w:ascii="Arial" w:cs="Arial" w:eastAsia="Arial" w:hAnsi="Arial"/>
          <w:sz w:val="18"/>
          <w:szCs w:val="18"/>
          <w:color w:val="auto"/>
        </w:rPr>
        <w:t>”), and OrbiMed Capital LLC (“</w:t>
      </w:r>
      <w:r>
        <w:rPr>
          <w:rFonts w:ascii="Arial" w:cs="Arial" w:eastAsia="Arial" w:hAnsi="Arial"/>
          <w:sz w:val="18"/>
          <w:szCs w:val="18"/>
          <w:u w:val="single" w:color="auto"/>
          <w:color w:val="auto"/>
        </w:rPr>
        <w:t>OrbiMed Capital</w:t>
      </w:r>
      <w:r>
        <w:rPr>
          <w:rFonts w:ascii="Arial" w:cs="Arial" w:eastAsia="Arial" w:hAnsi="Arial"/>
          <w:sz w:val="18"/>
          <w:szCs w:val="18"/>
          <w:color w:val="auto"/>
        </w:rPr>
        <w:t>”)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705"/>
        <w:spacing w:after="0" w:line="286" w:lineRule="auto"/>
        <w:tabs>
          <w:tab w:leader="none" w:pos="955" w:val="left"/>
        </w:tabs>
        <w:numPr>
          <w:ilvl w:val="1"/>
          <w:numId w:val="6"/>
        </w:numPr>
        <w:rPr>
          <w:rFonts w:ascii="Arial" w:cs="Arial" w:eastAsia="Arial" w:hAnsi="Arial"/>
          <w:sz w:val="17"/>
          <w:szCs w:val="17"/>
          <w:color w:val="auto"/>
        </w:rPr>
      </w:pPr>
      <w:r>
        <w:rPr>
          <w:rFonts w:ascii="Arial" w:cs="Arial" w:eastAsia="Arial" w:hAnsi="Arial"/>
          <w:sz w:val="17"/>
          <w:szCs w:val="17"/>
          <w:color w:val="auto"/>
        </w:rPr>
        <w:t>—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OrbiMed GP, a limited liability company organized under the laws of Delaware, is the general partner of a limited partnership as more particularly described in Item 6 below. OrbiMed GP has its principal offices at 601 Lexington Avenue, 54th Floor, New York, New York 10022.</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OrbiMed Genesis, a limited liability company organized under the laws of Delaware, is the general partner of a limited partnership as more particularly described in Item 6 below. OrbiMed Genesis has its principal offices at 601 Lexington Avenue, 54th Floor, New York, New York 10022.</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OrbiMed Capital, a limited liability company organized under the laws of Delaware and a registered investment adviser under the Investment Advisers Act of 1940, as amended, is the investment adviser of certain entities as more particularly described in Item 6 below. OrbiMed Capital has its principal offices at 601 Lexington Avenue, 54th Floor, New York, New York 10022.</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directors and executive officers of OrbiMed Advisors, OrbiMed Capital, OrbiMed GP, and OrbiMed Genesis are set forth on Schedules I, II, III, and IV, respectively, attached hereto. Schedules I, II, III and IV set forth the following information with respect to each such person:</w:t>
      </w:r>
    </w:p>
    <w:p>
      <w:pPr>
        <w:spacing w:after="0" w:line="146" w:lineRule="exact"/>
        <w:rPr>
          <w:sz w:val="20"/>
          <w:szCs w:val="20"/>
          <w:color w:val="auto"/>
        </w:rPr>
      </w:pPr>
    </w:p>
    <w:p>
      <w:pPr>
        <w:ind w:left="1280" w:hanging="62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address;</w:t>
      </w:r>
    </w:p>
    <w:p>
      <w:pPr>
        <w:spacing w:after="0" w:line="225" w:lineRule="exact"/>
        <w:rPr>
          <w:rFonts w:ascii="Arial" w:cs="Arial" w:eastAsia="Arial" w:hAnsi="Arial"/>
          <w:sz w:val="18"/>
          <w:szCs w:val="18"/>
          <w:color w:val="auto"/>
        </w:rPr>
      </w:pPr>
    </w:p>
    <w:p>
      <w:pPr>
        <w:ind w:right="20" w:firstLine="656"/>
        <w:spacing w:after="0" w:line="277" w:lineRule="auto"/>
        <w:tabs>
          <w:tab w:leader="none" w:pos="1394"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present principal occupation of employment and the name, principal business and address of any corporation or other organization in which such employment is conducted; and</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jc w:val="both"/>
        <w:ind w:firstLine="656"/>
        <w:spacing w:after="0" w:line="279" w:lineRule="auto"/>
        <w:tabs>
          <w:tab w:leader="none" w:pos="915" w:val="left"/>
        </w:tabs>
        <w:numPr>
          <w:ilvl w:val="0"/>
          <w:numId w:val="8"/>
        </w:numPr>
        <w:rPr>
          <w:rFonts w:ascii="Arial" w:cs="Arial" w:eastAsia="Arial" w:hAnsi="Arial"/>
          <w:sz w:val="17"/>
          <w:szCs w:val="17"/>
          <w:color w:val="auto"/>
        </w:rPr>
      </w:pPr>
      <w:r>
        <w:rPr>
          <w:rFonts w:ascii="Arial" w:cs="Arial" w:eastAsia="Arial" w:hAnsi="Arial"/>
          <w:sz w:val="17"/>
          <w:szCs w:val="17"/>
          <w:color w:val="auto"/>
        </w:rPr>
        <w:t>— (e) During the last five years, neither the Reporting Persons nor any Person named in Schedules I through IV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Shares were initially acquired by the Reporting Persons for the purpose of making an investment in the Issuer and not with the intention of acquiring control of the Issuer’s business on behalf of the Reporting Persons’ respective advisory clients.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firstLine="705"/>
        <w:spacing w:after="0" w:line="277" w:lineRule="auto"/>
        <w:tabs>
          <w:tab w:leader="none" w:pos="945" w:val="left"/>
        </w:tabs>
        <w:numPr>
          <w:ilvl w:val="0"/>
          <w:numId w:val="9"/>
        </w:numPr>
        <w:rPr>
          <w:rFonts w:ascii="Arial" w:cs="Arial" w:eastAsia="Arial" w:hAnsi="Arial"/>
          <w:sz w:val="18"/>
          <w:szCs w:val="18"/>
          <w:color w:val="auto"/>
        </w:rPr>
      </w:pPr>
      <w:r>
        <w:rPr>
          <w:rFonts w:ascii="Arial" w:cs="Arial" w:eastAsia="Arial" w:hAnsi="Arial"/>
          <w:sz w:val="18"/>
          <w:szCs w:val="18"/>
          <w:color w:val="auto"/>
        </w:rPr>
        <w:t>— (b) The following disclosure is based upon 45,450,699 outstanding Shares of the Issuer, as set forth in the Issuer’s Annual Report on Form 10-K filed the SEC on March 1, 2022.</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this filing, OrbiMed Private Investments V, LP (“</w:t>
      </w:r>
      <w:r>
        <w:rPr>
          <w:rFonts w:ascii="Arial" w:cs="Arial" w:eastAsia="Arial" w:hAnsi="Arial"/>
          <w:sz w:val="17"/>
          <w:szCs w:val="17"/>
          <w:u w:val="single" w:color="auto"/>
          <w:color w:val="auto"/>
        </w:rPr>
        <w:t>OPI V</w:t>
      </w:r>
      <w:r>
        <w:rPr>
          <w:rFonts w:ascii="Arial" w:cs="Arial" w:eastAsia="Arial" w:hAnsi="Arial"/>
          <w:sz w:val="17"/>
          <w:szCs w:val="17"/>
          <w:color w:val="auto"/>
        </w:rPr>
        <w:t>”), a limited partnership organized under the laws of Delaware, holds 6,475,291 Shares, constituting approximately 14.2% of the issued and outstanding Shares. OrbiMed GP is the general partner of OPI V, pursuant to the terms of the limited partnership agreement of OPI V, and OrbiMed Advisors is the managing member of OrbiMed GP, pursuant to the terms of the limited liability company agreement of OrbiMed GP. As a result, OrbiMed Advisors and OrbiMed GP share power to direct the vote and disposition of the Shares held by OPI V and may be deemed directly or indirectly, including by reason of their mutual affiliation, to be the beneficial owners of the Shares held by OPI V. OrbiMed Advisors exercises this investment and voting power through a management committee comprised of Carl L. Gordon, Sven H. Borho, and W. Carter Neild, each of whom disclaims beneficial ownership of the Shares held by OPI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648"/>
        <w:spacing w:after="0" w:line="277" w:lineRule="auto"/>
        <w:rPr>
          <w:sz w:val="20"/>
          <w:szCs w:val="20"/>
          <w:color w:val="auto"/>
        </w:rPr>
      </w:pPr>
      <w:r>
        <w:rPr>
          <w:rFonts w:ascii="Arial" w:cs="Arial" w:eastAsia="Arial" w:hAnsi="Arial"/>
          <w:sz w:val="18"/>
          <w:szCs w:val="18"/>
          <w:color w:val="auto"/>
        </w:rPr>
        <w:t>In addition, OrbiMed Advisors and OrbiMed GP, pursuant to their authority under the limited partnership agreement of OPI V, caused OPI V to enter into the agreements referred to in Item 6 below.</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the date of this filing, OrbiMed Genesis Master Fund, L.P. (“</w:t>
      </w:r>
      <w:r>
        <w:rPr>
          <w:rFonts w:ascii="Arial" w:cs="Arial" w:eastAsia="Arial" w:hAnsi="Arial"/>
          <w:sz w:val="16"/>
          <w:szCs w:val="16"/>
          <w:u w:val="single" w:color="auto"/>
          <w:color w:val="auto"/>
        </w:rPr>
        <w:t>Genesis</w:t>
      </w:r>
      <w:r>
        <w:rPr>
          <w:rFonts w:ascii="Arial" w:cs="Arial" w:eastAsia="Arial" w:hAnsi="Arial"/>
          <w:sz w:val="16"/>
          <w:szCs w:val="16"/>
          <w:color w:val="auto"/>
        </w:rPr>
        <w:t>”), a limited partnership organized under the laws of the Cayman Islands, holds 114,039 Shares constituting approximately 0.3%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OrbiMed Advisors and OrbiMed Genesis, pursuant to their authority under the limited partnership agreement of Genesis, caused Genesis to enter into the agreements referred to in Item 6 below.</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the date of this filing, the Biotech Growth Trust PLC (“</w:t>
      </w:r>
      <w:r>
        <w:rPr>
          <w:rFonts w:ascii="Arial" w:cs="Arial" w:eastAsia="Arial" w:hAnsi="Arial"/>
          <w:sz w:val="17"/>
          <w:szCs w:val="17"/>
          <w:u w:val="single" w:color="auto"/>
          <w:color w:val="auto"/>
        </w:rPr>
        <w:t>BIOG</w:t>
      </w:r>
      <w:r>
        <w:rPr>
          <w:rFonts w:ascii="Arial" w:cs="Arial" w:eastAsia="Arial" w:hAnsi="Arial"/>
          <w:sz w:val="17"/>
          <w:szCs w:val="17"/>
          <w:color w:val="auto"/>
        </w:rPr>
        <w:t>”), a publicly-listed investment trust organized under the laws of England, holds 266,093 Shares constituting approximately 0.6% of the issued and outstanding Shares. OrbiMed Capital is the investment advisor of BIOG. As a result, OrbiMed Capital has the power to direct the vote and disposition of the Shares held by BIOG and may be deemed directly or indirectly, including by reason of mutual affiliation, to be the beneficial owner of the Shares held by BIOG. OrbiMed Capital disclaims any beneficial ownership over the shares of the other Reporting Persons. OrbiMed Capital exercises this investment and voting power through a management committee comprised of Carl L. Gordon, Sven H. Borho, and W. Carter Neild, each of whom disclaims beneficial ownership of the Shares held by BIOG.</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March 31, 2022, OPM, an exempted company organized under the laws of Bermuda, no longer holds any Shares. OrbiMed Capital is the investment advisor of OPM. As a result, OrbiMed Capital has the power to direct the vote and disposition of the Shares held by OPM and may be deemed directly or indirectly, including by reason of mutual affiliation, to be the beneficial owner of the Shares held by OPM. OrbiMed Capital disclaims any beneficial ownership over the shares of the other Reporting Persons. OrbiMed Capital exercises this investment and voting power through a management committee comprised of Carl L. Gordon, Sven H. Borho, and W. Carter Neild, each of whom disclaims beneficial ownership of the Shares held by OPM.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Seller</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Date of Transaction</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Transaction</w:t>
            </w:r>
          </w:p>
        </w:tc>
        <w:tc>
          <w:tcPr>
            <w:tcW w:w="224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Number of Shares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Per Share</w:t>
            </w:r>
          </w:p>
        </w:tc>
      </w:tr>
      <w:tr>
        <w:trPr>
          <w:trHeight w:val="210"/>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OPM</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March 29, 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365,000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$21.52</w:t>
            </w:r>
          </w:p>
        </w:tc>
      </w:tr>
      <w:tr>
        <w:trPr>
          <w:trHeight w:val="209"/>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OPM</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March 30, 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$22.39</w:t>
            </w:r>
          </w:p>
        </w:tc>
      </w:tr>
      <w:tr>
        <w:trPr>
          <w:trHeight w:val="210"/>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OPM</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March 31, 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34,500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$21.17</w:t>
            </w:r>
          </w:p>
        </w:tc>
      </w:tr>
    </w:tbl>
    <w:p>
      <w:pPr>
        <w:spacing w:after="0" w:line="202" w:lineRule="exact"/>
        <w:rPr>
          <w:sz w:val="20"/>
          <w:szCs w:val="20"/>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relationships between the Reporting Persons described in Items 2 and 5 above, OrbiMed GP is the general partner of OPI V, pursuant to the terms of the limited partnership agreement of OPI V. Pursuant to this agreement and relationship, OrbiMed GP has discretionary investment management authority with respect to the assets of OPI V. Such authority includes the power to vote and otherwise dispose of securities held by OPI V. The number of outstanding Shares of the Issuer attributable to OPI V is 6,475,291 Shares. OrbiMed GP, pursuant to its authority under the limited partnership agreement of OPI VI, may be considered to hold indirectly 6,475,291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both"/>
        <w:ind w:firstLine="648"/>
        <w:spacing w:after="0" w:line="257" w:lineRule="auto"/>
        <w:rPr>
          <w:sz w:val="20"/>
          <w:szCs w:val="20"/>
          <w:color w:val="auto"/>
        </w:rPr>
      </w:pPr>
      <w:r>
        <w:rPr>
          <w:rFonts w:ascii="Arial" w:cs="Arial" w:eastAsia="Arial" w:hAnsi="Arial"/>
          <w:sz w:val="18"/>
          <w:szCs w:val="18"/>
          <w:color w:val="auto"/>
        </w:rPr>
        <w:t>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114,039. OrbiMed Genesis, pursuant to its authority under the limited partnership agreement of Genesis, may be considered to hold indirectly 114,039 Shares.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OrbiMed Advisors is the managing member of OrbiMed GP and OrbiMed Genesis, pursuant to the terms of the limited liability company agreements of OrbiMed GP and OrbiMed Genesis. Pursuant to these agreements and relationships, OrbiMed Advisors and OrbiMed GP have discretionary investment management authority with respect to the assets of OPI V. OrbiMed Advisors and OrbiMed Genesis have discretionary investment management authority with respect to the assets of Genesis. Such authority includes the power of OrbiMed GP to vote and otherwise dispose of securities held by OPI V and the power of OrbiMed Genesis to vote and otherwise dispose of the securities held by Genesis. The number of outstanding Shares attributable to OPI V is 6,475,291 Shares and the number of Shares attributed to Genesis is 114,039 Shares. OrbiMed Advisors, pursuant to its authority under the terms of the limited liability company agreements of OrbiMed GP and OrbiMed Genesis, may also be considered to hold indirectly 6,589,330 Shares.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OrbiMed Capital is the investment advisor to BIOG. OrbiMed Capital may be deemed to have voting and investment power over the securities held by BIOG. Such authority includes the power of OrbiMed Capital to vote and otherwise dispose of securities held by BIOG. The number of outstanding Shares attributable to BIOG is 266,093 Shares. OrbiMed Capital, as the investment advisor to BIOG, may also be considered to hold indirectly 266,093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85"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8"/>
          <w:szCs w:val="18"/>
          <w:color w:val="auto"/>
        </w:rPr>
        <w:t>In addition, OPI V, BIOG, Genesis, and certain other stockholders of the Issuer entered into an Amended and Restated Investors’ Rights Agreement with the Issuer (the “</w:t>
      </w:r>
      <w:r>
        <w:rPr>
          <w:rFonts w:ascii="Arial" w:cs="Arial" w:eastAsia="Arial" w:hAnsi="Arial"/>
          <w:sz w:val="18"/>
          <w:szCs w:val="18"/>
          <w:u w:val="single" w:color="auto"/>
          <w:color w:val="auto"/>
        </w:rPr>
        <w:t>Investors’ Rights Agreement</w:t>
      </w:r>
      <w:r>
        <w:rPr>
          <w:rFonts w:ascii="Arial" w:cs="Arial" w:eastAsia="Arial" w:hAnsi="Arial"/>
          <w:sz w:val="18"/>
          <w:szCs w:val="18"/>
          <w:color w:val="auto"/>
        </w:rPr>
        <w:t>”), dated as of July 17, 2020. Pursuant to the Investors’ Rights Agreement and subject to the terms and conditions therein, the parties agreed that: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At any time beginning six months following the date of the effective date of the registration statement of the Issuer’s initial public offering, the holders of at least 30% of the registrable securities then outstanding of the Issuer may make a written request that the Issuer register some or all of their registrable securities, subject to certain specified conditions and exceptions, including that the aggregated gross offering price of such offering must exceed $5 million. The Issuer is required to use commercially reasonable efforts to effect the registration and will pay all registration expenses, other than underwriting discounts and commissions, related to any demand registration. The Issuer is not obligated to effect more than two of these registrations.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Whenever the Issuer proposes to file a registration statement under the Securities Act, including a registration statement on Form S-3 as discussed below, other than with respect to certain excluded registrations, OPI V, BIOG, and Genesis will be entitled to notice of the registration and have the right, subject to limitations that the underwriters may impose on the number of Shares included in the registration, to include the Shares held by them in the registration.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any time after the Issuer is qualified to file a registration statement on Form S-3 under the Securities Act, and subject to limitations and conditions specified in the Investors’ Rights Agreement, holders of at least 30% of the registrable securities then outstanding may make a written request that the Issuer prepare and file a registration statement on Form S-3 covering their Shares, so long as the aggregate price to the public equal or exceeds $5 million. The Issuer is not obligated to effect more than two of these Form S-3 registrations in any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ind w:firstLine="324"/>
        <w:spacing w:after="0" w:line="277" w:lineRule="auto"/>
        <w:rPr>
          <w:sz w:val="20"/>
          <w:szCs w:val="20"/>
          <w:color w:val="auto"/>
        </w:rPr>
      </w:pPr>
      <w:r>
        <w:rPr>
          <w:rFonts w:ascii="Arial" w:cs="Arial" w:eastAsia="Arial" w:hAnsi="Arial"/>
          <w:sz w:val="18"/>
          <w:szCs w:val="18"/>
          <w:color w:val="auto"/>
        </w:rPr>
        <w:t>The foregoing description of the Investors’ Rights Agreement does not purport to be complete and is qualified in its entirety by reference to the full text of the Investors’ Rights Agreement, which is filed as Exhibits 2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200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2" w:lineRule="exact"/>
        <w:rPr>
          <w:sz w:val="20"/>
          <w:szCs w:val="20"/>
          <w:color w:val="auto"/>
        </w:rPr>
      </w:pPr>
    </w:p>
    <w:p>
      <w:pPr>
        <w:ind w:left="1460" w:right="140" w:hanging="1344"/>
        <w:spacing w:after="0" w:line="277" w:lineRule="auto"/>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Joint Filing Agreement among OrbiMed Advisors LLC, OrbiMed Capital LLC, OrbiMed Genesis GP LLC, and OrbiMed Capital GP V LLC.</w:t>
      </w:r>
    </w:p>
    <w:p>
      <w:pPr>
        <w:spacing w:after="0" w:line="143" w:lineRule="exact"/>
        <w:rPr>
          <w:rFonts w:ascii="Arial" w:cs="Arial" w:eastAsia="Arial" w:hAnsi="Arial"/>
          <w:sz w:val="18"/>
          <w:szCs w:val="18"/>
          <w:color w:val="auto"/>
        </w:rPr>
      </w:pPr>
    </w:p>
    <w:p>
      <w:pPr>
        <w:ind w:left="1460" w:right="160" w:hanging="1344"/>
        <w:spacing w:after="0" w:line="263" w:lineRule="auto"/>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Amended and Restated Investors’ Rights Agreement by and among the Issuer and each of the signatories thereto, dated as of July 17, 2020 (incorporated by reference to Exhibit 4.1 to the Issuer’s Registration Statement on Form S-1 (SEC 333-248627), filed with the SEC on September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Dated: April 1, 2022</w:t>
            </w:r>
          </w:p>
        </w:tc>
        <w:tc>
          <w:tcPr>
            <w:tcW w:w="7560" w:type="dxa"/>
            <w:vAlign w:val="bottom"/>
            <w:gridSpan w:val="3"/>
          </w:tcPr>
          <w:p>
            <w:pPr>
              <w:ind w:left="2180"/>
              <w:spacing w:after="0"/>
              <w:rPr>
                <w:sz w:val="20"/>
                <w:szCs w:val="20"/>
                <w:color w:val="auto"/>
              </w:rPr>
            </w:pPr>
            <w:r>
              <w:rPr>
                <w:rFonts w:ascii="Arial" w:cs="Arial" w:eastAsia="Arial" w:hAnsi="Arial"/>
                <w:sz w:val="18"/>
                <w:szCs w:val="18"/>
                <w:color w:val="auto"/>
              </w:rPr>
              <w:t>ORBIMED ADVISORS LLC</w:t>
            </w:r>
          </w:p>
        </w:tc>
        <w:tc>
          <w:tcPr>
            <w:tcW w:w="0" w:type="dxa"/>
            <w:vAlign w:val="bottom"/>
          </w:tcPr>
          <w:p>
            <w:pPr>
              <w:spacing w:after="0"/>
              <w:rPr>
                <w:sz w:val="1"/>
                <w:szCs w:val="1"/>
                <w:color w:val="auto"/>
              </w:rPr>
            </w:pPr>
          </w:p>
        </w:tc>
      </w:tr>
      <w:tr>
        <w:trPr>
          <w:trHeight w:val="729"/>
        </w:trPr>
        <w:tc>
          <w:tcPr>
            <w:tcW w:w="368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w:t>
            </w:r>
          </w:p>
        </w:tc>
        <w:tc>
          <w:tcPr>
            <w:tcW w:w="0" w:type="dxa"/>
            <w:vAlign w:val="bottom"/>
          </w:tcPr>
          <w:p>
            <w:pPr>
              <w:spacing w:after="0"/>
              <w:rPr>
                <w:sz w:val="1"/>
                <w:szCs w:val="1"/>
                <w:color w:val="auto"/>
              </w:rPr>
            </w:pPr>
          </w:p>
        </w:tc>
      </w:tr>
      <w:tr>
        <w:trPr>
          <w:trHeight w:val="486"/>
        </w:trPr>
        <w:tc>
          <w:tcPr>
            <w:tcW w:w="3680" w:type="dxa"/>
            <w:vAlign w:val="bottom"/>
          </w:tcPr>
          <w:p>
            <w:pPr>
              <w:spacing w:after="0"/>
              <w:rPr>
                <w:sz w:val="24"/>
                <w:szCs w:val="24"/>
                <w:color w:val="auto"/>
              </w:rPr>
            </w:pPr>
          </w:p>
        </w:tc>
        <w:tc>
          <w:tcPr>
            <w:tcW w:w="7560" w:type="dxa"/>
            <w:vAlign w:val="bottom"/>
            <w:gridSpan w:val="3"/>
          </w:tcPr>
          <w:p>
            <w:pPr>
              <w:ind w:left="2180"/>
              <w:spacing w:after="0"/>
              <w:rPr>
                <w:sz w:val="20"/>
                <w:szCs w:val="20"/>
                <w:color w:val="auto"/>
              </w:rPr>
            </w:pPr>
            <w:r>
              <w:rPr>
                <w:rFonts w:ascii="Arial" w:cs="Arial" w:eastAsia="Arial" w:hAnsi="Arial"/>
                <w:sz w:val="18"/>
                <w:szCs w:val="18"/>
                <w:color w:val="auto"/>
              </w:rPr>
              <w:t>ORBIMED CAPITAL GP V LLC</w:t>
            </w:r>
          </w:p>
        </w:tc>
        <w:tc>
          <w:tcPr>
            <w:tcW w:w="0" w:type="dxa"/>
            <w:vAlign w:val="bottom"/>
          </w:tcPr>
          <w:p>
            <w:pPr>
              <w:spacing w:after="0"/>
              <w:rPr>
                <w:sz w:val="1"/>
                <w:szCs w:val="1"/>
                <w:color w:val="auto"/>
              </w:rPr>
            </w:pPr>
          </w:p>
        </w:tc>
      </w:tr>
      <w:tr>
        <w:trPr>
          <w:trHeight w:val="486"/>
        </w:trPr>
        <w:tc>
          <w:tcPr>
            <w:tcW w:w="368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368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3680" w:type="dxa"/>
            <w:vAlign w:val="bottom"/>
          </w:tcPr>
          <w:p>
            <w:pPr>
              <w:spacing w:after="0"/>
              <w:rPr>
                <w:sz w:val="24"/>
                <w:szCs w:val="24"/>
                <w:color w:val="auto"/>
              </w:rPr>
            </w:pPr>
          </w:p>
        </w:tc>
        <w:tc>
          <w:tcPr>
            <w:tcW w:w="7560" w:type="dxa"/>
            <w:vAlign w:val="bottom"/>
            <w:gridSpan w:val="3"/>
          </w:tcPr>
          <w:p>
            <w:pPr>
              <w:ind w:left="2180"/>
              <w:spacing w:after="0"/>
              <w:rPr>
                <w:sz w:val="20"/>
                <w:szCs w:val="20"/>
                <w:color w:val="auto"/>
              </w:rPr>
            </w:pPr>
            <w:r>
              <w:rPr>
                <w:rFonts w:ascii="Arial" w:cs="Arial" w:eastAsia="Arial" w:hAnsi="Arial"/>
                <w:sz w:val="18"/>
                <w:szCs w:val="18"/>
                <w:color w:val="auto"/>
              </w:rPr>
              <w:t>ORBIMED GENESIS GP LLC</w:t>
            </w:r>
          </w:p>
        </w:tc>
        <w:tc>
          <w:tcPr>
            <w:tcW w:w="0" w:type="dxa"/>
            <w:vAlign w:val="bottom"/>
          </w:tcPr>
          <w:p>
            <w:pPr>
              <w:spacing w:after="0"/>
              <w:rPr>
                <w:sz w:val="1"/>
                <w:szCs w:val="1"/>
                <w:color w:val="auto"/>
              </w:rPr>
            </w:pPr>
          </w:p>
        </w:tc>
      </w:tr>
      <w:tr>
        <w:trPr>
          <w:trHeight w:val="486"/>
        </w:trPr>
        <w:tc>
          <w:tcPr>
            <w:tcW w:w="368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368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3680" w:type="dxa"/>
            <w:vAlign w:val="bottom"/>
          </w:tcPr>
          <w:p>
            <w:pPr>
              <w:spacing w:after="0"/>
              <w:rPr>
                <w:sz w:val="24"/>
                <w:szCs w:val="24"/>
                <w:color w:val="auto"/>
              </w:rPr>
            </w:pPr>
          </w:p>
        </w:tc>
        <w:tc>
          <w:tcPr>
            <w:tcW w:w="7560" w:type="dxa"/>
            <w:vAlign w:val="bottom"/>
            <w:gridSpan w:val="3"/>
          </w:tcPr>
          <w:p>
            <w:pPr>
              <w:ind w:left="2180"/>
              <w:spacing w:after="0"/>
              <w:rPr>
                <w:sz w:val="20"/>
                <w:szCs w:val="20"/>
                <w:color w:val="auto"/>
              </w:rPr>
            </w:pPr>
            <w:r>
              <w:rPr>
                <w:rFonts w:ascii="Arial" w:cs="Arial" w:eastAsia="Arial" w:hAnsi="Arial"/>
                <w:sz w:val="18"/>
                <w:szCs w:val="18"/>
                <w:color w:val="auto"/>
              </w:rPr>
              <w:t>ORBIMED CAPITAL LLC</w:t>
            </w:r>
          </w:p>
        </w:tc>
        <w:tc>
          <w:tcPr>
            <w:tcW w:w="0" w:type="dxa"/>
            <w:vAlign w:val="bottom"/>
          </w:tcPr>
          <w:p>
            <w:pPr>
              <w:spacing w:after="0"/>
              <w:rPr>
                <w:sz w:val="1"/>
                <w:szCs w:val="1"/>
                <w:color w:val="auto"/>
              </w:rPr>
            </w:pPr>
          </w:p>
        </w:tc>
      </w:tr>
      <w:tr>
        <w:trPr>
          <w:trHeight w:val="486"/>
        </w:trPr>
        <w:tc>
          <w:tcPr>
            <w:tcW w:w="368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w:t>
            </w:r>
          </w:p>
        </w:tc>
        <w:tc>
          <w:tcPr>
            <w:tcW w:w="0" w:type="dxa"/>
            <w:vAlign w:val="bottom"/>
          </w:tcPr>
          <w:p>
            <w:pPr>
              <w:spacing w:after="0"/>
              <w:rPr>
                <w:sz w:val="1"/>
                <w:szCs w:val="1"/>
                <w:color w:val="auto"/>
              </w:rPr>
            </w:pPr>
          </w:p>
        </w:tc>
      </w:tr>
      <w:tr>
        <w:trPr>
          <w:trHeight w:val="803"/>
        </w:trPr>
        <w:tc>
          <w:tcPr>
            <w:tcW w:w="36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SCHEDULE I</w:t>
      </w:r>
    </w:p>
    <w:p>
      <w:pPr>
        <w:spacing w:after="0" w:line="200" w:lineRule="exact"/>
        <w:rPr>
          <w:sz w:val="20"/>
          <w:szCs w:val="20"/>
          <w:color w:val="auto"/>
        </w:rPr>
      </w:pPr>
    </w:p>
    <w:p>
      <w:pPr>
        <w:spacing w:after="0" w:line="245" w:lineRule="exact"/>
        <w:rPr>
          <w:sz w:val="20"/>
          <w:szCs w:val="20"/>
          <w:color w:val="auto"/>
        </w:rPr>
      </w:pPr>
    </w:p>
    <w:p>
      <w:pPr>
        <w:jc w:val="both"/>
        <w:ind w:left="80" w:right="340" w:firstLine="583"/>
        <w:spacing w:after="0" w:line="279" w:lineRule="auto"/>
        <w:rPr>
          <w:sz w:val="20"/>
          <w:szCs w:val="20"/>
          <w:color w:val="auto"/>
        </w:rPr>
      </w:pPr>
      <w:r>
        <w:rPr>
          <w:rFonts w:ascii="Arial" w:cs="Arial" w:eastAsia="Arial" w:hAnsi="Arial"/>
          <w:sz w:val="18"/>
          <w:szCs w:val="18"/>
          <w:color w:val="auto"/>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Arial" w:cs="Arial" w:eastAsia="Arial" w:hAnsi="Arial"/>
          <w:sz w:val="14"/>
          <w:szCs w:val="14"/>
          <w:color w:val="auto"/>
        </w:rPr>
        <w:t>th</w:t>
      </w:r>
      <w:r>
        <w:rPr>
          <w:rFonts w:ascii="Arial" w:cs="Arial" w:eastAsia="Arial" w:hAnsi="Arial"/>
          <w:sz w:val="18"/>
          <w:szCs w:val="18"/>
          <w:color w:val="auto"/>
        </w:rPr>
        <w:t xml:space="preserve"> Floor, New York, NY 10022.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8"/>
        </w:trPr>
        <w:tc>
          <w:tcPr>
            <w:tcW w:w="1540" w:type="dxa"/>
            <w:vAlign w:val="bottom"/>
          </w:tcPr>
          <w:p>
            <w:pPr>
              <w:spacing w:after="0"/>
              <w:rPr>
                <w:sz w:val="20"/>
                <w:szCs w:val="20"/>
                <w:color w:val="auto"/>
              </w:rPr>
            </w:pPr>
            <w:r>
              <w:rPr>
                <w:rFonts w:ascii="Arial" w:cs="Arial" w:eastAsia="Arial" w:hAnsi="Arial"/>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Sven H. Borho</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W. Carter Neild</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Geoffrey C. Hsu</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C. Scotland Stevens</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David P. Bonita</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Peter A. Thompson</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Matthew S. Rizzo</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Trey Block</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Chief Financial Officer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Chief Financial Officer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Advisors LLC</w:t>
            </w:r>
          </w:p>
        </w:tc>
      </w:tr>
      <w:tr>
        <w:trPr>
          <w:trHeight w:val="1208"/>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jc w:val="both"/>
        <w:ind w:left="80" w:right="340" w:firstLine="583"/>
        <w:spacing w:after="0" w:line="279" w:lineRule="auto"/>
        <w:rPr>
          <w:sz w:val="20"/>
          <w:szCs w:val="20"/>
          <w:color w:val="auto"/>
        </w:rPr>
      </w:pPr>
      <w:r>
        <w:rPr>
          <w:rFonts w:ascii="Arial" w:cs="Arial" w:eastAsia="Arial" w:hAnsi="Arial"/>
          <w:sz w:val="18"/>
          <w:szCs w:val="18"/>
          <w:color w:val="auto"/>
        </w:rPr>
        <w:t>The names and present principal occupations of each of the executive officers and directors of OrbiMed Capital LLC are set forth below. Unless otherwise noted, each of these persons is a United States citizen and has a business address of 601 Lexington Avenue, 54</w:t>
      </w:r>
      <w:r>
        <w:rPr>
          <w:rFonts w:ascii="Arial" w:cs="Arial" w:eastAsia="Arial" w:hAnsi="Arial"/>
          <w:sz w:val="14"/>
          <w:szCs w:val="14"/>
          <w:color w:val="auto"/>
        </w:rPr>
        <w:t>th</w:t>
      </w:r>
      <w:r>
        <w:rPr>
          <w:rFonts w:ascii="Arial" w:cs="Arial" w:eastAsia="Arial" w:hAnsi="Arial"/>
          <w:sz w:val="18"/>
          <w:szCs w:val="18"/>
          <w:color w:val="auto"/>
        </w:rPr>
        <w:t xml:space="preserve"> Floor, New York, NY 10022.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8"/>
        </w:trPr>
        <w:tc>
          <w:tcPr>
            <w:tcW w:w="1540" w:type="dxa"/>
            <w:vAlign w:val="bottom"/>
          </w:tcPr>
          <w:p>
            <w:pPr>
              <w:spacing w:after="0"/>
              <w:rPr>
                <w:sz w:val="20"/>
                <w:szCs w:val="20"/>
                <w:color w:val="auto"/>
              </w:rPr>
            </w:pPr>
            <w:r>
              <w:rPr>
                <w:rFonts w:ascii="Arial" w:cs="Arial" w:eastAsia="Arial" w:hAnsi="Arial"/>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Sven H. Borho</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W. Carter Neild</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Geoffrey C. Hsu</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C. Scotland Stevens</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David P. Bonita</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Peter A. Thompson</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Matthew S. Rizzo</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Member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Member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445"/>
        </w:trPr>
        <w:tc>
          <w:tcPr>
            <w:tcW w:w="2980" w:type="dxa"/>
            <w:vAlign w:val="bottom"/>
            <w:gridSpan w:val="3"/>
          </w:tcPr>
          <w:p>
            <w:pPr>
              <w:spacing w:after="0"/>
              <w:rPr>
                <w:sz w:val="20"/>
                <w:szCs w:val="20"/>
                <w:color w:val="auto"/>
              </w:rPr>
            </w:pPr>
            <w:r>
              <w:rPr>
                <w:rFonts w:ascii="Arial" w:cs="Arial" w:eastAsia="Arial" w:hAnsi="Arial"/>
                <w:sz w:val="18"/>
                <w:szCs w:val="18"/>
                <w:color w:val="auto"/>
              </w:rPr>
              <w:t>Trey Block</w:t>
            </w:r>
          </w:p>
        </w:tc>
        <w:tc>
          <w:tcPr>
            <w:tcW w:w="4120" w:type="dxa"/>
            <w:vAlign w:val="bottom"/>
            <w:gridSpan w:val="3"/>
          </w:tcPr>
          <w:p>
            <w:pPr>
              <w:ind w:left="840"/>
              <w:spacing w:after="0"/>
              <w:rPr>
                <w:sz w:val="20"/>
                <w:szCs w:val="20"/>
                <w:color w:val="auto"/>
              </w:rPr>
            </w:pPr>
            <w:r>
              <w:rPr>
                <w:rFonts w:ascii="Arial" w:cs="Arial" w:eastAsia="Arial" w:hAnsi="Arial"/>
                <w:sz w:val="18"/>
                <w:szCs w:val="18"/>
                <w:color w:val="auto"/>
              </w:rPr>
              <w:t>Chief Financial Officer</w:t>
            </w: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Chief Financial Officer</w:t>
            </w: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OrbiMed Capital LLC</w:t>
            </w:r>
          </w:p>
        </w:tc>
      </w:tr>
      <w:tr>
        <w:trPr>
          <w:trHeight w:val="993"/>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3" w:name="page14"/>
    <w:bookmarkEnd w:id="13"/>
    <w:p>
      <w:pPr>
        <w:jc w:val="center"/>
        <w:ind w:right="-199"/>
        <w:spacing w:after="0"/>
        <w:rPr>
          <w:sz w:val="20"/>
          <w:szCs w:val="20"/>
          <w:color w:val="auto"/>
        </w:rPr>
      </w:pPr>
      <w:r>
        <w:rPr>
          <w:rFonts w:ascii="Arial" w:cs="Arial" w:eastAsia="Arial" w:hAnsi="Arial"/>
          <w:sz w:val="18"/>
          <w:szCs w:val="18"/>
          <w:b w:val="1"/>
          <w:bCs w:val="1"/>
          <w:color w:val="auto"/>
        </w:rPr>
        <w:t>SCHEDULE III</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The business and operations of OrbiMed Capital GP V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1283335</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840"/>
          </w:cols>
          <w:pgMar w:left="400" w:top="580" w:right="659" w:bottom="1440" w:gutter="0" w:footer="0" w:header="0"/>
        </w:sectPr>
      </w:pPr>
    </w:p>
    <w:bookmarkStart w:id="14" w:name="page15"/>
    <w:bookmarkEnd w:id="14"/>
    <w:p>
      <w:pPr>
        <w:jc w:val="center"/>
        <w:ind w:right="-219"/>
        <w:spacing w:after="0"/>
        <w:rPr>
          <w:sz w:val="20"/>
          <w:szCs w:val="20"/>
          <w:color w:val="auto"/>
        </w:rPr>
      </w:pPr>
      <w:r>
        <w:rPr>
          <w:rFonts w:ascii="Arial" w:cs="Arial" w:eastAsia="Arial" w:hAnsi="Arial"/>
          <w:sz w:val="18"/>
          <w:szCs w:val="18"/>
          <w:b w:val="1"/>
          <w:bCs w:val="1"/>
          <w:color w:val="auto"/>
        </w:rPr>
        <w:t>SCHEDULE IV</w:t>
      </w:r>
    </w:p>
    <w:p>
      <w:pPr>
        <w:spacing w:after="0" w:line="229"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business and operations of OrbiMed Genesis GP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1300480</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840"/>
          </w:cols>
          <w:pgMar w:left="400" w:top="580" w:right="659" w:bottom="1440" w:gutter="0" w:footer="0" w:header="0"/>
        </w:sectPr>
      </w:pPr>
    </w:p>
    <w:bookmarkStart w:id="15" w:name="page16"/>
    <w:bookmarkEnd w:id="15"/>
    <w:p>
      <w:pPr>
        <w:jc w:val="center"/>
        <w:ind w:right="-63"/>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325755</wp:posOffset>
            </wp:positionV>
            <wp:extent cx="7132320" cy="1200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
        <w:spacing w:after="0"/>
        <w:tabs>
          <w:tab w:leader="none" w:pos="1324"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2" w:lineRule="exact"/>
        <w:rPr>
          <w:sz w:val="20"/>
          <w:szCs w:val="20"/>
          <w:color w:val="auto"/>
        </w:rPr>
      </w:pPr>
    </w:p>
    <w:p>
      <w:pPr>
        <w:ind w:left="1344" w:hanging="1344"/>
        <w:spacing w:after="0" w:line="277" w:lineRule="auto"/>
        <w:tabs>
          <w:tab w:leader="none" w:pos="1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Filing Agreement among OrbiMed Advisors LLC, OrbiMed Capital LLC, OrbiMed Genesis GP LLC, and OrbiMed Capital GP V LLC.</w:t>
      </w:r>
    </w:p>
    <w:p>
      <w:pPr>
        <w:spacing w:after="0" w:line="143" w:lineRule="exact"/>
        <w:rPr>
          <w:rFonts w:ascii="Arial" w:cs="Arial" w:eastAsia="Arial" w:hAnsi="Arial"/>
          <w:sz w:val="18"/>
          <w:szCs w:val="18"/>
          <w:color w:val="auto"/>
        </w:rPr>
      </w:pPr>
    </w:p>
    <w:p>
      <w:pPr>
        <w:jc w:val="both"/>
        <w:ind w:left="1344" w:right="100" w:hanging="1344"/>
        <w:spacing w:after="0" w:line="263" w:lineRule="auto"/>
        <w:tabs>
          <w:tab w:leader="none" w:pos="1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Amended and Restated Investors’ Rights Agreement by and among the Issuer and each of the persons listed on Schedule A thereto, dated as of August 21, 2020 (incorporated by reference to Exhibit 4.1 to the Issuer’s Registration Statement on Form S-1 (SEC 333-248628), filed with the SEC on September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982980</wp:posOffset>
            </wp:positionV>
            <wp:extent cx="71323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964"/>
          </w:cols>
          <w:pgMar w:left="436" w:top="580" w:right="4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hereby agree that the Statement on Schedule 13D, dated March 29, 2022, with respect to the ordinary shares of PMV Pharmaceuticals,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April 1, 2022</w:t>
      </w:r>
    </w:p>
    <w:p>
      <w:pPr>
        <w:spacing w:after="0" w:line="200" w:lineRule="exact"/>
        <w:rPr>
          <w:sz w:val="20"/>
          <w:szCs w:val="20"/>
          <w:color w:val="auto"/>
        </w:rPr>
      </w:pP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ORBIMED ADVISORS LLC</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58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w:t>
            </w:r>
          </w:p>
        </w:tc>
        <w:tc>
          <w:tcPr>
            <w:tcW w:w="0" w:type="dxa"/>
            <w:vAlign w:val="bottom"/>
          </w:tcPr>
          <w:p>
            <w:pPr>
              <w:spacing w:after="0"/>
              <w:rPr>
                <w:sz w:val="1"/>
                <w:szCs w:val="1"/>
                <w:color w:val="auto"/>
              </w:rPr>
            </w:pPr>
          </w:p>
        </w:tc>
      </w:tr>
      <w:tr>
        <w:trPr>
          <w:trHeight w:val="486"/>
        </w:trPr>
        <w:tc>
          <w:tcPr>
            <w:tcW w:w="11240" w:type="dxa"/>
            <w:vAlign w:val="bottom"/>
            <w:gridSpan w:val="3"/>
          </w:tcPr>
          <w:p>
            <w:pPr>
              <w:ind w:left="5860"/>
              <w:spacing w:after="0"/>
              <w:rPr>
                <w:sz w:val="20"/>
                <w:szCs w:val="20"/>
                <w:color w:val="auto"/>
              </w:rPr>
            </w:pPr>
            <w:r>
              <w:rPr>
                <w:rFonts w:ascii="Arial" w:cs="Arial" w:eastAsia="Arial" w:hAnsi="Arial"/>
                <w:sz w:val="18"/>
                <w:szCs w:val="18"/>
                <w:color w:val="auto"/>
              </w:rPr>
              <w:t>ORBIMED CAPITAL GP V LLC</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11240" w:type="dxa"/>
            <w:vAlign w:val="bottom"/>
            <w:gridSpan w:val="3"/>
          </w:tcPr>
          <w:p>
            <w:pPr>
              <w:ind w:left="5860"/>
              <w:spacing w:after="0"/>
              <w:rPr>
                <w:sz w:val="20"/>
                <w:szCs w:val="20"/>
                <w:color w:val="auto"/>
              </w:rPr>
            </w:pPr>
            <w:r>
              <w:rPr>
                <w:rFonts w:ascii="Arial" w:cs="Arial" w:eastAsia="Arial" w:hAnsi="Arial"/>
                <w:sz w:val="18"/>
                <w:szCs w:val="18"/>
                <w:color w:val="auto"/>
              </w:rPr>
              <w:t>ORBIMED GENESIS GP LLC</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11240" w:type="dxa"/>
            <w:vAlign w:val="bottom"/>
            <w:gridSpan w:val="3"/>
          </w:tcPr>
          <w:p>
            <w:pPr>
              <w:ind w:left="5860"/>
              <w:spacing w:after="0"/>
              <w:rPr>
                <w:sz w:val="20"/>
                <w:szCs w:val="20"/>
                <w:color w:val="auto"/>
              </w:rPr>
            </w:pPr>
            <w:r>
              <w:rPr>
                <w:rFonts w:ascii="Arial" w:cs="Arial" w:eastAsia="Arial" w:hAnsi="Arial"/>
                <w:sz w:val="18"/>
                <w:szCs w:val="18"/>
                <w:color w:val="auto"/>
              </w:rPr>
              <w:t>ORBIMED CAPITAL LLC</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Carl L. Gordon</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Title: Member</w:t>
            </w:r>
          </w:p>
        </w:tc>
        <w:tc>
          <w:tcPr>
            <w:tcW w:w="0" w:type="dxa"/>
            <w:vAlign w:val="bottom"/>
          </w:tcPr>
          <w:p>
            <w:pPr>
              <w:spacing w:after="0"/>
              <w:rPr>
                <w:sz w:val="1"/>
                <w:szCs w:val="1"/>
                <w:color w:val="auto"/>
              </w:rPr>
            </w:pPr>
          </w:p>
        </w:tc>
      </w:tr>
      <w:tr>
        <w:trPr>
          <w:trHeight w:val="1343"/>
        </w:trPr>
        <w:tc>
          <w:tcPr>
            <w:tcW w:w="64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lvl w:ilvl="1">
      <w:lvlJc w:val="left"/>
      <w:lvlText w:val="(%2)"/>
      <w:numFmt w:val="lowerLetter"/>
      <w:start w:val="2"/>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lowerLetter"/>
      <w:start w:val="4"/>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2022-04-01T16:09:40Z</dcterms:created>
  <dcterms:modified xsi:type="dcterms:W3CDTF">2022-04-01T16:09:40Z</dcterms:modified>
</cp:coreProperties>
</file>