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left"/>
        <w:rPr/>
      </w:pPr>
      <w:hyperlink w:anchor="TOC">
        <w:bookmarkStart w:id="0" w:name="ny20006675x1_def14a_100-regcov_pg1"/>
        <w:bookmarkStart w:id="1" w:name="ny20006675x1_def14a.htm"/>
        <w:bookmarkStart w:id="2" w:name="ksny20006675x1_def14a"/>
        <w:bookmarkEnd w:id="0"/>
        <w:bookmarkEnd w:id="1"/>
        <w:bookmarkEnd w:id="2"/>
        <w:r>
          <w:rPr>
            <w:rStyle w:val="InternetLink"/>
            <w:rFonts w:ascii="Times New Roman;Times;Serif" w:hAnsi="Times New Roman;Times;Serif"/>
            <w:b/>
            <w:caps w:val="false"/>
            <w:smallCaps w:val="false"/>
            <w:sz w:val="16"/>
          </w:rPr>
          <w:t>TABLE OF CONTENTS</w:t>
        </w:r>
      </w:hyperlink>
    </w:p>
    <w:p>
      <w:pPr>
        <w:pStyle w:val="TextBody"/>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spacing w:before="370" w:after="283"/>
        <w:jc w:val="center"/>
        <w:rPr>
          <w:rFonts w:ascii="Times New Roman;Times;serif" w:hAnsi="Times New Roman;Times;serif"/>
          <w:b/>
          <w:color w:val="000000"/>
          <w:sz w:val="28"/>
        </w:rPr>
      </w:pPr>
      <w:r>
        <w:rPr>
          <w:rFonts w:ascii="Times New Roman;Times;serif" w:hAnsi="Times New Roman;Times;serif"/>
          <w:b/>
          <w:color w:val="000000"/>
          <w:sz w:val="28"/>
        </w:rPr>
        <w:t>SCHEDULE 14A</w:t>
      </w:r>
    </w:p>
    <w:p>
      <w:pPr>
        <w:pStyle w:val="TextBody"/>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 PURSUANT TO SECTION 14(a) OF THE</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SECURITIES EXCHANGE ACT OF 1934</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Check the appropriate box:</w:t>
      </w:r>
    </w:p>
    <w:tbl>
      <w:tblPr>
        <w:tblW w:w="2620" w:type="dxa"/>
        <w:jc w:val="left"/>
        <w:tblInd w:w="0" w:type="dxa"/>
        <w:tblCellMar>
          <w:top w:w="0" w:type="dxa"/>
          <w:left w:w="0" w:type="dxa"/>
          <w:bottom w:w="0" w:type="dxa"/>
          <w:right w:w="0" w:type="dxa"/>
        </w:tblCellMar>
      </w:tblPr>
      <w:tblGrid>
        <w:gridCol w:w="275"/>
        <w:gridCol w:w="234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23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Preliminary Proxy Statement</w:t>
            </w:r>
          </w:p>
        </w:tc>
      </w:tr>
    </w:tbl>
    <w:tbl>
      <w:tblPr>
        <w:tblW w:w="6970" w:type="dxa"/>
        <w:jc w:val="left"/>
        <w:tblInd w:w="0" w:type="dxa"/>
        <w:tblCellMar>
          <w:top w:w="0" w:type="dxa"/>
          <w:left w:w="0" w:type="dxa"/>
          <w:bottom w:w="0" w:type="dxa"/>
          <w:right w:w="0" w:type="dxa"/>
        </w:tblCellMar>
      </w:tblPr>
      <w:tblGrid>
        <w:gridCol w:w="275"/>
        <w:gridCol w:w="669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6695"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Confidential, for Use of the Commission Only (as permitted by Rule 14a-6(e)(2))</w:t>
            </w:r>
          </w:p>
        </w:tc>
      </w:tr>
    </w:tbl>
    <w:tbl>
      <w:tblPr>
        <w:tblW w:w="2455" w:type="dxa"/>
        <w:jc w:val="left"/>
        <w:tblInd w:w="0" w:type="dxa"/>
        <w:tblCellMar>
          <w:top w:w="0" w:type="dxa"/>
          <w:left w:w="0" w:type="dxa"/>
          <w:bottom w:w="0" w:type="dxa"/>
          <w:right w:w="0" w:type="dxa"/>
        </w:tblCellMar>
      </w:tblPr>
      <w:tblGrid>
        <w:gridCol w:w="230"/>
        <w:gridCol w:w="2225"/>
      </w:tblGrid>
      <w:tr>
        <w:trPr/>
        <w:tc>
          <w:tcPr>
            <w:tcW w:w="230" w:type="dxa"/>
            <w:tcBorders/>
            <w:shd w:fill="auto" w:val="clear"/>
            <w:vAlign w:val="center"/>
          </w:tcPr>
          <w:p>
            <w:pPr>
              <w:pStyle w:val="TableContents"/>
              <w:spacing w:before="0" w:after="0"/>
              <w:jc w:val="left"/>
              <w:rPr>
                <w:color w:val="000000"/>
              </w:rPr>
            </w:pPr>
            <w:r>
              <w:rPr>
                <w:color w:val="000000"/>
              </w:rPr>
              <w:t>☒</w:t>
            </w:r>
          </w:p>
        </w:tc>
        <w:tc>
          <w:tcPr>
            <w:tcW w:w="22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Proxy Statement</w:t>
            </w:r>
          </w:p>
        </w:tc>
      </w:tr>
    </w:tbl>
    <w:tbl>
      <w:tblPr>
        <w:tblW w:w="2860" w:type="dxa"/>
        <w:jc w:val="left"/>
        <w:tblInd w:w="0" w:type="dxa"/>
        <w:tblCellMar>
          <w:top w:w="0" w:type="dxa"/>
          <w:left w:w="0" w:type="dxa"/>
          <w:bottom w:w="0" w:type="dxa"/>
          <w:right w:w="0" w:type="dxa"/>
        </w:tblCellMar>
      </w:tblPr>
      <w:tblGrid>
        <w:gridCol w:w="275"/>
        <w:gridCol w:w="258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25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Additional Materials</w:t>
            </w:r>
          </w:p>
        </w:tc>
      </w:tr>
    </w:tbl>
    <w:tbl>
      <w:tblPr>
        <w:tblW w:w="3880" w:type="dxa"/>
        <w:jc w:val="left"/>
        <w:tblInd w:w="0" w:type="dxa"/>
        <w:tblCellMar>
          <w:top w:w="0" w:type="dxa"/>
          <w:left w:w="0" w:type="dxa"/>
          <w:bottom w:w="0" w:type="dxa"/>
          <w:right w:w="0" w:type="dxa"/>
        </w:tblCellMar>
      </w:tblPr>
      <w:tblGrid>
        <w:gridCol w:w="275"/>
        <w:gridCol w:w="360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36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Pursuant to §240.14a-12</w:t>
            </w:r>
          </w:p>
        </w:tc>
      </w:tr>
    </w:tbl>
    <w:tbl>
      <w:tblPr>
        <w:tblW w:w="6065" w:type="dxa"/>
        <w:jc w:val="left"/>
        <w:tblInd w:w="0" w:type="dxa"/>
        <w:tblCellMar>
          <w:top w:w="0" w:type="dxa"/>
          <w:left w:w="0" w:type="dxa"/>
          <w:bottom w:w="85" w:type="dxa"/>
          <w:right w:w="0" w:type="dxa"/>
        </w:tblCellMar>
      </w:tblPr>
      <w:tblGrid>
        <w:gridCol w:w="6065"/>
      </w:tblGrid>
      <w:tr>
        <w:trPr/>
        <w:tc>
          <w:tcPr>
            <w:tcW w:w="60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36"/>
              </w:rPr>
            </w:pPr>
            <w:r>
              <w:rPr>
                <w:rFonts w:ascii="Times New Roman;Times;serif" w:hAnsi="Times New Roman;Times;serif"/>
                <w:b/>
                <w:color w:val="000000"/>
                <w:sz w:val="36"/>
              </w:rPr>
              <w:t>PMV PHARMACEUTICALS, INC.</w:t>
            </w:r>
          </w:p>
        </w:tc>
      </w:tr>
      <w:tr>
        <w:trPr/>
        <w:tc>
          <w:tcPr>
            <w:tcW w:w="6065" w:type="dxa"/>
            <w:tcBorders/>
            <w:shd w:fill="auto" w:val="clear"/>
            <w:tcMar>
              <w:bottom w:w="0" w:type="dxa"/>
            </w:tcM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tc>
      </w:tr>
      <w:tr>
        <w:trPr/>
        <w:tc>
          <w:tcPr>
            <w:tcW w:w="6065"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r>
      <w:tr>
        <w:trPr/>
        <w:tc>
          <w:tcPr>
            <w:tcW w:w="6065" w:type="dxa"/>
            <w:tcBorders/>
            <w:shd w:fill="auto" w:val="clear"/>
            <w:tcMar>
              <w:bottom w:w="0" w:type="dxa"/>
            </w:tcM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bl>
    <w:p>
      <w:pPr>
        <w:pStyle w:val="TextBody"/>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Filing Fee (Check all boxes that apply):</w:t>
      </w:r>
    </w:p>
    <w:tbl>
      <w:tblPr>
        <w:tblW w:w="8636" w:type="dxa"/>
        <w:jc w:val="left"/>
        <w:tblInd w:w="0" w:type="dxa"/>
        <w:tblCellMar>
          <w:top w:w="0" w:type="dxa"/>
          <w:left w:w="0" w:type="dxa"/>
          <w:bottom w:w="0" w:type="dxa"/>
          <w:right w:w="0" w:type="dxa"/>
        </w:tblCellMar>
      </w:tblPr>
      <w:tblGrid>
        <w:gridCol w:w="290"/>
        <w:gridCol w:w="23"/>
        <w:gridCol w:w="23"/>
        <w:gridCol w:w="8300"/>
      </w:tblGrid>
      <w:tr>
        <w:trPr/>
        <w:tc>
          <w:tcPr>
            <w:tcW w:w="29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fee required.</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paid previously with preliminary materials.</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 w:name="ny20006675x1_def14a_101-letter_pg1"/>
        <w:bookmarkEnd w:id="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37719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69532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70" w:after="283"/>
        <w:jc w:val="center"/>
        <w:rPr>
          <w:rFonts w:ascii="Times New Roman;Times;serif" w:hAnsi="Times New Roman;Times;serif"/>
          <w:color w:val="000000"/>
          <w:sz w:val="20"/>
        </w:rPr>
      </w:pPr>
      <w:r>
        <w:rPr>
          <w:rFonts w:ascii="Times New Roman;Times;serif" w:hAnsi="Times New Roman;Times;serif"/>
          <w:color w:val="000000"/>
          <w:sz w:val="20"/>
        </w:rPr>
        <w:t>One Research Way</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Princeton, New Jersey 08540</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(609) 642-6670</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Dear Stockholders of PMV Pharmaceuticals, Inc.:</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are pleased to invite you to attend the 2023 Annual Meeting Stockholders of PMV Pharmaceuticals, Inc. (the “Annual Meeting”) to be held on Thursday, June 8, 2023 at 10:00 a.m., Eastern. The Annual Meeting will be a virtual meeting conducted exclusively via the Internet. There will not be a physical meeting location, and stockholders will not be able to attend the Annual Meeting in person. Details regarding admission to the Annual Meeting and the business to be conducted are more fully described in the accompanying Notice of Annual Meeting of Stockholders and proxy statement.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Your vote is important. Whether or not you plan to virtually attend the Annual Meeting, we hope you will vote as soon as possible. You may vote over the Internet or by mailing a proxy or voting instruction card. Voting over the Internet or by written proxy will ensure your representation at the Annual Meeting regardless of whether you attend virtually. Please review the instructions on the proxy or voting instruction card regarding each of these voting options.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are also pleased to furnish proxy materials to stockholders primarily over the Internet. This process expedites stockholders’ receipt of proxy materials, while lowering the costs of our Annual Meeting and conserving natural resources. On or around April 28, 2023, we will mail our stockholders a notice containing instructions on how to access our proxy materials and Annual Report for the fiscal year ended December 31, 2022 and vote online. The notice also provides instructions on how to vote online, by phone or by mail, and includes instructions on how you can receive a paper copy of proxy materials by mail.</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At this year’s Annual Meeting, the agenda includes the following proposals:</w:t>
      </w:r>
    </w:p>
    <w:tbl>
      <w:tblPr>
        <w:tblW w:w="9236" w:type="dxa"/>
        <w:jc w:val="left"/>
        <w:tblInd w:w="0" w:type="dxa"/>
        <w:tblCellMar>
          <w:top w:w="0" w:type="dxa"/>
          <w:left w:w="0" w:type="dxa"/>
          <w:bottom w:w="85" w:type="dxa"/>
          <w:right w:w="0" w:type="dxa"/>
        </w:tblCellMar>
      </w:tblPr>
      <w:tblGrid>
        <w:gridCol w:w="7895"/>
        <w:gridCol w:w="23"/>
        <w:gridCol w:w="23"/>
        <w:gridCol w:w="1295"/>
      </w:tblGrid>
      <w:tr>
        <w:trPr/>
        <w:tc>
          <w:tcPr>
            <w:tcW w:w="78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Proposal</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Recommendation</w:t>
            </w:r>
          </w:p>
        </w:tc>
      </w:tr>
      <w:tr>
        <w:trPr/>
        <w:tc>
          <w:tcPr>
            <w:tcW w:w="78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Election of Richard Heyman, Ph.D., David H. Mack, Ph.D. and Laurie Stelzer as Class III directors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FOR</w:t>
            </w:r>
          </w:p>
        </w:tc>
      </w:tr>
      <w:tr>
        <w:trPr/>
        <w:tc>
          <w:tcPr>
            <w:tcW w:w="78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approve, on a non-binding advisory basis, the compensation of our named executive officers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FOR</w:t>
            </w:r>
          </w:p>
        </w:tc>
      </w:tr>
      <w:tr>
        <w:trPr/>
        <w:tc>
          <w:tcPr>
            <w:tcW w:w="78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Ratification of Ernst &amp; Young LLP as our independent registered public accounting firm</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FOR</w:t>
            </w:r>
          </w:p>
        </w:tc>
      </w:tr>
    </w:tbl>
    <w:p>
      <w:pPr>
        <w:pStyle w:val="TextBody"/>
        <w:spacing w:before="2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Thank you for your ongoing support of and continued interest in PMV Pharmaceuticals.</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Sincerely,</w:t>
      </w:r>
    </w:p>
    <w:p>
      <w:pPr>
        <w:pStyle w:val="TextBody"/>
        <w:spacing w:before="305" w:after="283"/>
        <w:ind w:left="0" w:right="0" w:hanging="0"/>
        <w:jc w:val="left"/>
        <w:rPr>
          <w:color w:val="000000"/>
        </w:rPr>
      </w:pPr>
      <w:r>
        <w:rPr>
          <w:color w:val="000000"/>
        </w:rPr>
        <w:drawing>
          <wp:inline distT="0" distB="0" distL="0" distR="0">
            <wp:extent cx="120967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09675" cy="35242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H. Mack, Ph.D.</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Chief Executive Officer and Director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 w:name="DSPFPageBreakArea"/>
      <w:bookmarkStart w:id="5" w:name="DSPFPageBreakArea"/>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 w:name="DSPFPageBreak"/>
      <w:bookmarkStart w:id="7" w:name="DSPFPageBrea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 w:name="ny20006675x1_def14a_102-notice_pg1"/>
        <w:bookmarkEnd w:id="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PMV PHARMACEUTICALS,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One Research Way</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Princeton, New Jersey 08540</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NOTICE OF ANNUAL MEETING OF STOCKHOLDERS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JUNE 8, 2023</w:t>
      </w:r>
    </w:p>
    <w:tbl>
      <w:tblPr>
        <w:tblW w:w="10205" w:type="dxa"/>
        <w:jc w:val="left"/>
        <w:tblInd w:w="0" w:type="dxa"/>
        <w:tblCellMar>
          <w:top w:w="0" w:type="dxa"/>
          <w:left w:w="0" w:type="dxa"/>
          <w:bottom w:w="0" w:type="dxa"/>
          <w:right w:w="0" w:type="dxa"/>
        </w:tblCellMar>
      </w:tblPr>
      <w:tblGrid>
        <w:gridCol w:w="1550"/>
        <w:gridCol w:w="23"/>
        <w:gridCol w:w="23"/>
        <w:gridCol w:w="264"/>
        <w:gridCol w:w="27"/>
        <w:gridCol w:w="27"/>
        <w:gridCol w:w="8291"/>
      </w:tblGrid>
      <w:tr>
        <w:trPr/>
        <w:tc>
          <w:tcPr>
            <w:tcW w:w="155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Time and Date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9"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10:00 a.m., Eastern, on Thursday, June 8, 2023.</w:t>
            </w:r>
          </w:p>
        </w:tc>
      </w:tr>
      <w:tr>
        <w:trPr/>
        <w:tc>
          <w:tcPr>
            <w:tcW w:w="15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64" w:type="dxa"/>
            <w:tcBorders/>
            <w:shd w:fill="auto" w:val="clear"/>
            <w:vAlign w:val="center"/>
          </w:tcPr>
          <w:p>
            <w:pPr>
              <w:pStyle w:val="TableContents"/>
              <w:spacing w:before="0" w:after="0"/>
              <w:jc w:val="left"/>
              <w:rPr>
                <w:color w:val="000000"/>
              </w:rPr>
            </w:pPr>
            <w:r>
              <w:rPr>
                <w:color w:val="000000"/>
              </w:rPr>
              <w:t> </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8291" w:type="dxa"/>
            <w:tcBorders/>
            <w:shd w:fill="auto" w:val="clear"/>
            <w:vAlign w:val="center"/>
          </w:tcPr>
          <w:p>
            <w:pPr>
              <w:pStyle w:val="TableContents"/>
              <w:spacing w:before="0" w:after="0"/>
              <w:jc w:val="left"/>
              <w:rPr>
                <w:color w:val="000000"/>
              </w:rPr>
            </w:pPr>
            <w:r>
              <w:rPr>
                <w:color w:val="000000"/>
              </w:rPr>
              <w:t> </w:t>
            </w:r>
          </w:p>
        </w:tc>
      </w:tr>
      <w:tr>
        <w:trPr/>
        <w:tc>
          <w:tcPr>
            <w:tcW w:w="155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Place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9"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www.virtualshareholdermeeting.com/PMVP2023.</w:t>
            </w:r>
          </w:p>
        </w:tc>
      </w:tr>
      <w:tr>
        <w:trPr/>
        <w:tc>
          <w:tcPr>
            <w:tcW w:w="15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64" w:type="dxa"/>
            <w:tcBorders/>
            <w:shd w:fill="auto" w:val="clear"/>
            <w:vAlign w:val="center"/>
          </w:tcPr>
          <w:p>
            <w:pPr>
              <w:pStyle w:val="TableContents"/>
              <w:spacing w:before="0" w:after="0"/>
              <w:jc w:val="left"/>
              <w:rPr>
                <w:color w:val="000000"/>
              </w:rPr>
            </w:pPr>
            <w:r>
              <w:rPr>
                <w:color w:val="000000"/>
              </w:rPr>
              <w:t> </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8291" w:type="dxa"/>
            <w:tcBorders/>
            <w:shd w:fill="auto" w:val="clear"/>
            <w:vAlign w:val="center"/>
          </w:tcPr>
          <w:p>
            <w:pPr>
              <w:pStyle w:val="TableContents"/>
              <w:spacing w:before="0" w:after="0"/>
              <w:jc w:val="left"/>
              <w:rPr>
                <w:color w:val="000000"/>
              </w:rPr>
            </w:pPr>
            <w:r>
              <w:rPr>
                <w:color w:val="000000"/>
              </w:rPr>
              <w:t> </w:t>
            </w:r>
          </w:p>
        </w:tc>
      </w:tr>
      <w:tr>
        <w:trPr/>
        <w:tc>
          <w:tcPr>
            <w:tcW w:w="155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Items of Business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64"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 </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8291"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 elect three Class III directors, Richard Heyman, Ph.D., David H. Mack, Ph.D. and Laurie Stelzer, to hold office until our 2026 annual meeting of stockholders and until their respective successors are elected and qualified;</w:t>
            </w:r>
          </w:p>
          <w:p>
            <w:pPr>
              <w:pStyle w:val="TableContents"/>
              <w:spacing w:before="0" w:after="283"/>
              <w:ind w:left="0" w:right="0" w:hanging="0"/>
              <w:jc w:val="left"/>
              <w:rPr>
                <w:color w:val="000000"/>
              </w:rPr>
            </w:pPr>
            <w:r>
              <w:rPr>
                <w:color w:val="000000"/>
              </w:rPr>
              <w:t> </w:t>
            </w:r>
          </w:p>
        </w:tc>
      </w:tr>
      <w:tr>
        <w:trPr/>
        <w:tc>
          <w:tcPr>
            <w:tcW w:w="15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64"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8291"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 approve, on a non-binding advisory basis, the compensation of our named executive officers;</w:t>
            </w:r>
          </w:p>
          <w:p>
            <w:pPr>
              <w:pStyle w:val="TableContents"/>
              <w:spacing w:before="0" w:after="283"/>
              <w:ind w:left="0" w:right="0" w:hanging="0"/>
              <w:jc w:val="left"/>
              <w:rPr>
                <w:color w:val="000000"/>
              </w:rPr>
            </w:pPr>
            <w:r>
              <w:rPr>
                <w:color w:val="000000"/>
              </w:rPr>
              <w:t> </w:t>
            </w:r>
          </w:p>
        </w:tc>
      </w:tr>
      <w:tr>
        <w:trPr/>
        <w:tc>
          <w:tcPr>
            <w:tcW w:w="15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64"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8291"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 ratify the appointment of Ernst &amp; Young LLP as our independent registered public accounting firm for our fiscal year ending December 31, 2023; and</w:t>
            </w:r>
          </w:p>
          <w:p>
            <w:pPr>
              <w:pStyle w:val="TableContents"/>
              <w:spacing w:before="0" w:after="283"/>
              <w:ind w:left="0" w:right="0" w:hanging="0"/>
              <w:jc w:val="left"/>
              <w:rPr>
                <w:color w:val="000000"/>
              </w:rPr>
            </w:pPr>
            <w:r>
              <w:rPr>
                <w:color w:val="000000"/>
              </w:rPr>
              <w:t> </w:t>
            </w:r>
          </w:p>
        </w:tc>
      </w:tr>
      <w:tr>
        <w:trPr/>
        <w:tc>
          <w:tcPr>
            <w:tcW w:w="15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64"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8291"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 conduct any other business properly brought before the Annual Meeting and any adjournment or postponement thereof.</w:t>
            </w:r>
          </w:p>
        </w:tc>
      </w:tr>
      <w:tr>
        <w:trPr/>
        <w:tc>
          <w:tcPr>
            <w:tcW w:w="15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64" w:type="dxa"/>
            <w:tcBorders/>
            <w:shd w:fill="auto" w:val="clear"/>
            <w:vAlign w:val="center"/>
          </w:tcPr>
          <w:p>
            <w:pPr>
              <w:pStyle w:val="TableContents"/>
              <w:spacing w:before="0" w:after="0"/>
              <w:jc w:val="left"/>
              <w:rPr>
                <w:color w:val="000000"/>
              </w:rPr>
            </w:pPr>
            <w:r>
              <w:rPr>
                <w:color w:val="000000"/>
              </w:rPr>
              <w:t> </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8291" w:type="dxa"/>
            <w:tcBorders/>
            <w:shd w:fill="auto" w:val="clear"/>
            <w:vAlign w:val="center"/>
          </w:tcPr>
          <w:p>
            <w:pPr>
              <w:pStyle w:val="TableContents"/>
              <w:spacing w:before="0" w:after="0"/>
              <w:jc w:val="left"/>
              <w:rPr>
                <w:color w:val="000000"/>
              </w:rPr>
            </w:pPr>
            <w:r>
              <w:rPr>
                <w:color w:val="000000"/>
              </w:rPr>
              <w:t> </w:t>
            </w:r>
          </w:p>
        </w:tc>
      </w:tr>
      <w:tr>
        <w:trPr/>
        <w:tc>
          <w:tcPr>
            <w:tcW w:w="155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Adjournment and Postponements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9"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Any action on the items of business described above may be considered at the Annual Meeting at the time and on the date specified above or at any time and date to which the Annual Meeting may be properly adjourned or postponed.</w:t>
            </w:r>
          </w:p>
        </w:tc>
      </w:tr>
      <w:tr>
        <w:trPr/>
        <w:tc>
          <w:tcPr>
            <w:tcW w:w="15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64" w:type="dxa"/>
            <w:tcBorders/>
            <w:shd w:fill="auto" w:val="clear"/>
            <w:vAlign w:val="center"/>
          </w:tcPr>
          <w:p>
            <w:pPr>
              <w:pStyle w:val="TableContents"/>
              <w:spacing w:before="0" w:after="0"/>
              <w:jc w:val="left"/>
              <w:rPr>
                <w:color w:val="000000"/>
              </w:rPr>
            </w:pPr>
            <w:r>
              <w:rPr>
                <w:color w:val="000000"/>
              </w:rPr>
              <w:t> </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8291" w:type="dxa"/>
            <w:tcBorders/>
            <w:shd w:fill="auto" w:val="clear"/>
            <w:vAlign w:val="center"/>
          </w:tcPr>
          <w:p>
            <w:pPr>
              <w:pStyle w:val="TableContents"/>
              <w:spacing w:before="0" w:after="0"/>
              <w:jc w:val="left"/>
              <w:rPr>
                <w:color w:val="000000"/>
              </w:rPr>
            </w:pPr>
            <w:r>
              <w:rPr>
                <w:color w:val="000000"/>
              </w:rPr>
              <w:t> </w:t>
            </w:r>
          </w:p>
        </w:tc>
      </w:tr>
      <w:tr>
        <w:trPr/>
        <w:tc>
          <w:tcPr>
            <w:tcW w:w="155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Record Date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9"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You are entitled to notice of and to vote at the Annual Meeting and at any adjournment or postponement that may take place only if you were a stockholder as of the close of business on April 12, 2023.</w:t>
            </w:r>
          </w:p>
        </w:tc>
      </w:tr>
      <w:tr>
        <w:trPr/>
        <w:tc>
          <w:tcPr>
            <w:tcW w:w="15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64" w:type="dxa"/>
            <w:tcBorders/>
            <w:shd w:fill="auto" w:val="clear"/>
            <w:vAlign w:val="center"/>
          </w:tcPr>
          <w:p>
            <w:pPr>
              <w:pStyle w:val="TableContents"/>
              <w:spacing w:before="0" w:after="0"/>
              <w:jc w:val="left"/>
              <w:rPr>
                <w:color w:val="000000"/>
              </w:rPr>
            </w:pPr>
            <w:r>
              <w:rPr>
                <w:color w:val="000000"/>
              </w:rPr>
              <w:t> </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8291" w:type="dxa"/>
            <w:tcBorders/>
            <w:shd w:fill="auto" w:val="clear"/>
            <w:vAlign w:val="center"/>
          </w:tcPr>
          <w:p>
            <w:pPr>
              <w:pStyle w:val="TableContents"/>
              <w:spacing w:before="0" w:after="0"/>
              <w:jc w:val="left"/>
              <w:rPr>
                <w:color w:val="000000"/>
              </w:rPr>
            </w:pPr>
            <w:r>
              <w:rPr>
                <w:color w:val="000000"/>
              </w:rPr>
              <w:t> </w:t>
            </w:r>
          </w:p>
        </w:tc>
      </w:tr>
      <w:tr>
        <w:trPr/>
        <w:tc>
          <w:tcPr>
            <w:tcW w:w="155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Availability of Proxy Materials ad Annual Report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9" w:type="dxa"/>
            <w:gridSpan w:val="4"/>
            <w:tcBorders/>
            <w:shd w:fill="auto" w:val="clear"/>
            <w:vAlign w:val="center"/>
          </w:tcPr>
          <w:p>
            <w:pPr>
              <w:pStyle w:val="TableContents"/>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The Notice of Internet Availability of Proxy Materials containing instructions on how to access our proxy statement, notice of annual meeting, form of proxy and our annual report, is first being sent or given on or about April 28, 2023 to all stockholders entitled to vote at the Annual Meeting</w:t>
            </w:r>
            <w:r>
              <w:rPr>
                <w:rFonts w:ascii="Times New Roman;Times;serif" w:hAnsi="Times New Roman;Times;serif"/>
                <w:i w:val="false"/>
                <w:caps w:val="false"/>
                <w:smallCaps w:val="false"/>
                <w:color w:val="000000"/>
                <w:sz w:val="19"/>
              </w:rPr>
              <w:t>.</w:t>
            </w:r>
          </w:p>
        </w:tc>
      </w:tr>
      <w:tr>
        <w:trPr/>
        <w:tc>
          <w:tcPr>
            <w:tcW w:w="15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64" w:type="dxa"/>
            <w:tcBorders/>
            <w:shd w:fill="auto" w:val="clear"/>
            <w:vAlign w:val="center"/>
          </w:tcPr>
          <w:p>
            <w:pPr>
              <w:pStyle w:val="TableContents"/>
              <w:spacing w:before="0" w:after="0"/>
              <w:jc w:val="left"/>
              <w:rPr>
                <w:color w:val="000000"/>
              </w:rPr>
            </w:pPr>
            <w:r>
              <w:rPr>
                <w:color w:val="000000"/>
              </w:rPr>
              <w:t> </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8291" w:type="dxa"/>
            <w:tcBorders/>
            <w:shd w:fill="auto" w:val="clear"/>
            <w:vAlign w:val="center"/>
          </w:tcPr>
          <w:p>
            <w:pPr>
              <w:pStyle w:val="TableContents"/>
              <w:spacing w:before="0" w:after="0"/>
              <w:jc w:val="left"/>
              <w:rPr>
                <w:color w:val="000000"/>
              </w:rPr>
            </w:pPr>
            <w:r>
              <w:rPr>
                <w:color w:val="000000"/>
              </w:rPr>
              <w:t> </w:t>
            </w:r>
          </w:p>
        </w:tc>
      </w:tr>
      <w:tr>
        <w:trPr/>
        <w:tc>
          <w:tcPr>
            <w:tcW w:w="15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9"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The proxy materials and our annual report can be accessed by visiting ir.pmvpharma.com.</w:t>
            </w:r>
          </w:p>
        </w:tc>
      </w:tr>
      <w:tr>
        <w:trPr/>
        <w:tc>
          <w:tcPr>
            <w:tcW w:w="15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64" w:type="dxa"/>
            <w:tcBorders/>
            <w:shd w:fill="auto" w:val="clear"/>
            <w:vAlign w:val="center"/>
          </w:tcPr>
          <w:p>
            <w:pPr>
              <w:pStyle w:val="TableContents"/>
              <w:spacing w:before="0" w:after="0"/>
              <w:jc w:val="left"/>
              <w:rPr>
                <w:color w:val="000000"/>
              </w:rPr>
            </w:pPr>
            <w:r>
              <w:rPr>
                <w:color w:val="000000"/>
              </w:rPr>
              <w:t> </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8291" w:type="dxa"/>
            <w:tcBorders/>
            <w:shd w:fill="auto" w:val="clear"/>
            <w:vAlign w:val="center"/>
          </w:tcPr>
          <w:p>
            <w:pPr>
              <w:pStyle w:val="TableContents"/>
              <w:spacing w:before="0" w:after="0"/>
              <w:jc w:val="left"/>
              <w:rPr>
                <w:color w:val="000000"/>
              </w:rPr>
            </w:pPr>
            <w:r>
              <w:rPr>
                <w:color w:val="000000"/>
              </w:rPr>
              <w:t> </w:t>
            </w:r>
          </w:p>
        </w:tc>
      </w:tr>
      <w:tr>
        <w:trPr/>
        <w:tc>
          <w:tcPr>
            <w:tcW w:w="155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Voting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9" w:type="dxa"/>
            <w:gridSpan w:val="4"/>
            <w:tcBorders/>
            <w:shd w:fill="auto" w:val="clear"/>
            <w:vAlign w:val="center"/>
          </w:tcPr>
          <w:p>
            <w:pPr>
              <w:pStyle w:val="TableContents"/>
              <w:spacing w:before="0" w:after="283"/>
              <w:ind w:left="0" w:right="0" w:hanging="0"/>
              <w:jc w:val="left"/>
              <w:rPr/>
            </w:pPr>
            <w:r>
              <w:rPr>
                <w:rFonts w:ascii="Times New Roman;Times;serif" w:hAnsi="Times New Roman;Times;serif"/>
                <w:b/>
                <w:color w:val="000000"/>
                <w:sz w:val="19"/>
              </w:rPr>
              <w:t xml:space="preserve">Your vote is very important. </w:t>
            </w:r>
            <w:r>
              <w:rPr>
                <w:rFonts w:ascii="Times New Roman;Times;serif" w:hAnsi="Times New Roman;Times;serif"/>
                <w:b w:val="false"/>
                <w:color w:val="000000"/>
                <w:sz w:val="19"/>
              </w:rPr>
              <w:t xml:space="preserve">Whether or not you plan to attend the Annual Meeting, we encourage you to read this proxy statement and submit your proxy or voting instructions as soon as possible. You may submit your proxy or voting instruction card for the Annual Meeting by completing, signing, dating and returning your proxy or voting instruction card in the pre-addressed envelope provided, or, in most cases, by using the Internet. For specific instructions on how to vote your shares, please refer to the section entitled </w:t>
            </w:r>
            <w:r>
              <w:rPr>
                <w:rFonts w:ascii="Times New Roman;Times;serif" w:hAnsi="Times New Roman;Times;serif"/>
                <w:b/>
                <w:color w:val="000000"/>
                <w:sz w:val="19"/>
              </w:rPr>
              <w:t>“</w:t>
            </w:r>
            <w:r>
              <w:rPr>
                <w:rFonts w:ascii="Times New Roman;Times;serif" w:hAnsi="Times New Roman;Times;serif"/>
                <w:b w:val="false"/>
                <w:i/>
                <w:color w:val="000000"/>
                <w:sz w:val="19"/>
              </w:rPr>
              <w:t>Proxy Statement Questions and Answers</w:t>
            </w:r>
            <w:r>
              <w:rPr>
                <w:rFonts w:ascii="Times New Roman;Times;serif" w:hAnsi="Times New Roman;Times;serif"/>
                <w:b/>
                <w:color w:val="000000"/>
                <w:sz w:val="19"/>
              </w:rPr>
              <w:t xml:space="preserve">” </w:t>
            </w:r>
            <w:r>
              <w:rPr>
                <w:rFonts w:ascii="Times New Roman;Times;serif" w:hAnsi="Times New Roman;Times;serif"/>
                <w:b w:val="false"/>
                <w:color w:val="000000"/>
                <w:sz w:val="19"/>
              </w:rPr>
              <w:t xml:space="preserve">beginning on page </w:t>
            </w:r>
            <w:hyperlink w:anchor="tQAA">
              <w:r>
                <w:rPr>
                  <w:rStyle w:val="InternetLink"/>
                </w:rPr>
                <w:t>1</w:t>
              </w:r>
            </w:hyperlink>
            <w:r>
              <w:rPr>
                <w:rFonts w:ascii="Times New Roman;Times;serif" w:hAnsi="Times New Roman;Times;serif"/>
                <w:b/>
                <w:color w:val="000000"/>
                <w:sz w:val="19"/>
              </w:rPr>
              <w:t xml:space="preserve"> </w:t>
            </w:r>
            <w:r>
              <w:rPr>
                <w:rFonts w:ascii="Times New Roman;Times;serif" w:hAnsi="Times New Roman;Times;serif"/>
                <w:b w:val="false"/>
                <w:color w:val="000000"/>
                <w:sz w:val="19"/>
              </w:rPr>
              <w:t>of the accompanying proxy statement and the instructions on the proxy or voting instruction card. You can revoke a proxy prior to its exercise at the Annual Meeting by following the instructions in the accompanying proxy statement.</w:t>
            </w:r>
          </w:p>
        </w:tc>
      </w:tr>
    </w:tbl>
    <w:p>
      <w:pPr>
        <w:pStyle w:val="TextBody"/>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p>
      <w:pPr>
        <w:pStyle w:val="TextBody"/>
        <w:spacing w:before="305" w:after="283"/>
        <w:ind w:left="0" w:right="0" w:hanging="0"/>
        <w:jc w:val="left"/>
        <w:rPr>
          <w:color w:val="000000"/>
        </w:rPr>
      </w:pPr>
      <w:r>
        <w:rPr>
          <w:color w:val="000000"/>
        </w:rPr>
        <w:drawing>
          <wp:inline distT="0" distB="0" distL="0" distR="0">
            <wp:extent cx="1457325" cy="314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57325" cy="31432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Robert Ticktin</w:t>
      </w:r>
    </w:p>
    <w:p>
      <w:pPr>
        <w:pStyle w:val="TextBody"/>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General Counsel and Corporate Secretary</w:t>
      </w:r>
    </w:p>
    <w:p>
      <w:pPr>
        <w:pStyle w:val="TextBody"/>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 the Annual Meeting of Stockholders to Be Held on June 8, 2023:</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This Notice of 2023 Annual Stockholders’ Meeting and Proxy Statement and</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Fiscal Year 2022 Annual Report on Form 10-K are available</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at http://www.proxyvote.com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 w:name="DSPFPageBreakArea1"/>
      <w:bookmarkStart w:id="10" w:name="DSPFPageBreakArea1"/>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 w:name="DSPFPageBreak1"/>
      <w:bookmarkStart w:id="12" w:name="DSPFPageBreak1"/>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 w:name="ny20006675x1_def14a_103-toc_pg1"/>
        <w:bookmarkEnd w:id="1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Normal"/>
        <w:spacing w:before="0" w:after="0"/>
        <w:jc w:val="left"/>
        <w:rPr>
          <w:sz w:val="4"/>
          <w:szCs w:val="4"/>
        </w:rPr>
      </w:pPr>
      <w:r>
        <w:rPr>
          <w:sz w:val="4"/>
          <w:szCs w:val="4"/>
        </w:rPr>
      </w:r>
      <w:bookmarkStart w:id="14" w:name="TOC"/>
      <w:bookmarkStart w:id="15" w:name="TOC"/>
      <w:bookmarkEnd w:id="15"/>
    </w:p>
    <w:tbl>
      <w:tblPr>
        <w:tblW w:w="8561" w:type="dxa"/>
        <w:jc w:val="left"/>
        <w:tblInd w:w="0" w:type="dxa"/>
        <w:tblCellMar>
          <w:top w:w="0" w:type="dxa"/>
          <w:left w:w="0" w:type="dxa"/>
          <w:bottom w:w="0" w:type="dxa"/>
          <w:right w:w="0" w:type="dxa"/>
        </w:tblCellMar>
      </w:tblPr>
      <w:tblGrid>
        <w:gridCol w:w="8120"/>
        <w:gridCol w:w="23"/>
        <w:gridCol w:w="23"/>
        <w:gridCol w:w="395"/>
      </w:tblGrid>
      <w:tr>
        <w:trPr/>
        <w:tc>
          <w:tcPr>
            <w:tcW w:w="81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8120" w:type="dxa"/>
            <w:tcBorders/>
            <w:shd w:fill="CCEEFF" w:val="clear"/>
            <w:vAlign w:val="center"/>
          </w:tcPr>
          <w:p>
            <w:pPr>
              <w:pStyle w:val="TableContents"/>
              <w:spacing w:before="0" w:after="283"/>
              <w:ind w:left="0" w:right="0" w:hanging="0"/>
              <w:jc w:val="left"/>
              <w:rPr/>
            </w:pPr>
            <w:hyperlink w:anchor="tQAA">
              <w:r>
                <w:rPr>
                  <w:rStyle w:val="InternetLink"/>
                  <w:rFonts w:ascii="Times New Roman;Times;serif" w:hAnsi="Times New Roman;Times;serif"/>
                  <w:color w:val="000000"/>
                  <w:sz w:val="20"/>
                </w:rPr>
                <w:t>QUESTIONS AND ANSWERS ABOUT THE PROXY MATERIALS AND OUR ANNUAL MEETING</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QAA">
              <w:r>
                <w:rPr>
                  <w:rStyle w:val="InternetLink"/>
                  <w:rFonts w:ascii="Times New Roman;Times;serif" w:hAnsi="Times New Roman;Times;serif"/>
                  <w:color w:val="000000"/>
                  <w:sz w:val="20"/>
                </w:rPr>
                <w:t>1</w:t>
              </w:r>
            </w:hyperlink>
          </w:p>
        </w:tc>
      </w:tr>
      <w:tr>
        <w:trPr/>
        <w:tc>
          <w:tcPr>
            <w:tcW w:w="8120" w:type="dxa"/>
            <w:tcBorders/>
            <w:shd w:fill="auto" w:val="clear"/>
            <w:vAlign w:val="center"/>
          </w:tcPr>
          <w:p>
            <w:pPr>
              <w:pStyle w:val="TableContents"/>
              <w:spacing w:before="0" w:after="283"/>
              <w:ind w:left="0" w:right="0" w:hanging="0"/>
              <w:jc w:val="left"/>
              <w:rPr/>
            </w:pPr>
            <w:hyperlink w:anchor="tDCG">
              <w:r>
                <w:rPr>
                  <w:rStyle w:val="InternetLink"/>
                  <w:rFonts w:ascii="Times New Roman;Times;serif" w:hAnsi="Times New Roman;Times;serif"/>
                  <w:color w:val="000000"/>
                  <w:sz w:val="20"/>
                </w:rPr>
                <w:t>DIRECTORS AND CORPORATE GOVERNANCE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DCG">
              <w:r>
                <w:rPr>
                  <w:rStyle w:val="InternetLink"/>
                  <w:rFonts w:ascii="Times New Roman;Times;serif" w:hAnsi="Times New Roman;Times;serif"/>
                  <w:color w:val="000000"/>
                  <w:sz w:val="20"/>
                </w:rPr>
                <w:t>7</w:t>
              </w:r>
            </w:hyperlink>
          </w:p>
        </w:tc>
      </w:tr>
      <w:tr>
        <w:trPr/>
        <w:tc>
          <w:tcPr>
            <w:tcW w:w="8120" w:type="dxa"/>
            <w:tcBorders/>
            <w:shd w:fill="CCEEFF" w:val="clear"/>
            <w:vAlign w:val="center"/>
          </w:tcPr>
          <w:p>
            <w:pPr>
              <w:pStyle w:val="TableContents"/>
              <w:spacing w:before="0" w:after="283"/>
              <w:ind w:left="200" w:right="0" w:hanging="0"/>
              <w:jc w:val="left"/>
              <w:rPr/>
            </w:pPr>
            <w:hyperlink w:anchor="tBS">
              <w:r>
                <w:rPr>
                  <w:rStyle w:val="InternetLink"/>
                  <w:rFonts w:ascii="Times New Roman;Times;serif" w:hAnsi="Times New Roman;Times;serif"/>
                  <w:color w:val="000000"/>
                  <w:sz w:val="20"/>
                </w:rPr>
                <w:t>Board Composition</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BS">
              <w:r>
                <w:rPr>
                  <w:rStyle w:val="InternetLink"/>
                  <w:rFonts w:ascii="Times New Roman;Times;serif" w:hAnsi="Times New Roman;Times;serif"/>
                  <w:color w:val="000000"/>
                  <w:sz w:val="20"/>
                </w:rPr>
                <w:t>7</w:t>
              </w:r>
            </w:hyperlink>
          </w:p>
        </w:tc>
      </w:tr>
      <w:tr>
        <w:trPr/>
        <w:tc>
          <w:tcPr>
            <w:tcW w:w="8120" w:type="dxa"/>
            <w:tcBorders/>
            <w:shd w:fill="auto" w:val="clear"/>
            <w:vAlign w:val="center"/>
          </w:tcPr>
          <w:p>
            <w:pPr>
              <w:pStyle w:val="TableContents"/>
              <w:spacing w:before="0" w:after="283"/>
              <w:ind w:left="200" w:right="0" w:hanging="0"/>
              <w:jc w:val="left"/>
              <w:rPr/>
            </w:pPr>
            <w:hyperlink w:anchor="tNE">
              <w:r>
                <w:rPr>
                  <w:rStyle w:val="InternetLink"/>
                  <w:rFonts w:ascii="Times New Roman;Times;serif" w:hAnsi="Times New Roman;Times;serif"/>
                  <w:color w:val="000000"/>
                  <w:sz w:val="20"/>
                </w:rPr>
                <w:t>Nominees for Election to a Three-Year Term Ending at the 2026 Annual Meeting</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NE">
              <w:r>
                <w:rPr>
                  <w:rStyle w:val="InternetLink"/>
                  <w:rFonts w:ascii="Times New Roman;Times;serif" w:hAnsi="Times New Roman;Times;serif"/>
                  <w:color w:val="000000"/>
                  <w:sz w:val="20"/>
                </w:rPr>
                <w:t>7</w:t>
              </w:r>
            </w:hyperlink>
          </w:p>
        </w:tc>
      </w:tr>
      <w:tr>
        <w:trPr/>
        <w:tc>
          <w:tcPr>
            <w:tcW w:w="8120" w:type="dxa"/>
            <w:tcBorders/>
            <w:shd w:fill="CCEEFF" w:val="clear"/>
            <w:vAlign w:val="center"/>
          </w:tcPr>
          <w:p>
            <w:pPr>
              <w:pStyle w:val="TableContents"/>
              <w:spacing w:before="0" w:after="283"/>
              <w:ind w:left="200" w:right="0" w:hanging="0"/>
              <w:jc w:val="left"/>
              <w:rPr/>
            </w:pPr>
            <w:hyperlink w:anchor="tDC">
              <w:r>
                <w:rPr>
                  <w:rStyle w:val="InternetLink"/>
                  <w:rFonts w:ascii="Times New Roman;Times;serif" w:hAnsi="Times New Roman;Times;serif"/>
                  <w:color w:val="000000"/>
                  <w:sz w:val="20"/>
                </w:rPr>
                <w:t>Directors Continuing in Office</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DC">
              <w:r>
                <w:rPr>
                  <w:rStyle w:val="InternetLink"/>
                  <w:rFonts w:ascii="Times New Roman;Times;serif" w:hAnsi="Times New Roman;Times;serif"/>
                  <w:color w:val="000000"/>
                  <w:sz w:val="20"/>
                </w:rPr>
                <w:t>8</w:t>
              </w:r>
            </w:hyperlink>
          </w:p>
        </w:tc>
      </w:tr>
      <w:tr>
        <w:trPr/>
        <w:tc>
          <w:tcPr>
            <w:tcW w:w="8120" w:type="dxa"/>
            <w:tcBorders/>
            <w:shd w:fill="auto" w:val="clear"/>
            <w:vAlign w:val="center"/>
          </w:tcPr>
          <w:p>
            <w:pPr>
              <w:pStyle w:val="TableContents"/>
              <w:spacing w:before="0" w:after="283"/>
              <w:ind w:left="200" w:right="0" w:hanging="0"/>
              <w:jc w:val="left"/>
              <w:rPr/>
            </w:pPr>
            <w:hyperlink w:anchor="tBDD">
              <w:r>
                <w:rPr>
                  <w:rStyle w:val="InternetLink"/>
                  <w:rFonts w:ascii="Times New Roman;Times;serif" w:hAnsi="Times New Roman;Times;serif"/>
                  <w:color w:val="000000"/>
                  <w:sz w:val="20"/>
                </w:rPr>
                <w:t>Board of Directors Diversity Matrix</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BDD">
              <w:r>
                <w:rPr>
                  <w:rStyle w:val="InternetLink"/>
                  <w:rFonts w:ascii="Times New Roman;Times;serif" w:hAnsi="Times New Roman;Times;serif"/>
                  <w:color w:val="000000"/>
                  <w:sz w:val="20"/>
                </w:rPr>
                <w:t>10</w:t>
              </w:r>
            </w:hyperlink>
          </w:p>
        </w:tc>
      </w:tr>
      <w:tr>
        <w:trPr/>
        <w:tc>
          <w:tcPr>
            <w:tcW w:w="8120" w:type="dxa"/>
            <w:tcBorders/>
            <w:shd w:fill="CCEEFF" w:val="clear"/>
            <w:vAlign w:val="center"/>
          </w:tcPr>
          <w:p>
            <w:pPr>
              <w:pStyle w:val="TableContents"/>
              <w:spacing w:before="0" w:after="283"/>
              <w:ind w:left="200" w:right="0" w:hanging="0"/>
              <w:jc w:val="left"/>
              <w:rPr/>
            </w:pPr>
            <w:hyperlink w:anchor="tDI">
              <w:r>
                <w:rPr>
                  <w:rStyle w:val="InternetLink"/>
                  <w:rFonts w:ascii="Times New Roman;Times;serif" w:hAnsi="Times New Roman;Times;serif"/>
                  <w:color w:val="000000"/>
                  <w:sz w:val="20"/>
                </w:rPr>
                <w:t>Director Independence</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DI">
              <w:r>
                <w:rPr>
                  <w:rStyle w:val="InternetLink"/>
                  <w:rFonts w:ascii="Times New Roman;Times;serif" w:hAnsi="Times New Roman;Times;serif"/>
                  <w:color w:val="000000"/>
                  <w:sz w:val="20"/>
                </w:rPr>
                <w:t>10</w:t>
              </w:r>
            </w:hyperlink>
          </w:p>
        </w:tc>
      </w:tr>
      <w:tr>
        <w:trPr/>
        <w:tc>
          <w:tcPr>
            <w:tcW w:w="8120" w:type="dxa"/>
            <w:tcBorders/>
            <w:shd w:fill="auto" w:val="clear"/>
            <w:vAlign w:val="center"/>
          </w:tcPr>
          <w:p>
            <w:pPr>
              <w:pStyle w:val="TableContents"/>
              <w:spacing w:before="0" w:after="283"/>
              <w:ind w:left="200" w:right="0" w:hanging="0"/>
              <w:jc w:val="left"/>
              <w:rPr/>
            </w:pPr>
            <w:hyperlink w:anchor="tBLS">
              <w:r>
                <w:rPr>
                  <w:rStyle w:val="InternetLink"/>
                  <w:rFonts w:ascii="Times New Roman;Times;serif" w:hAnsi="Times New Roman;Times;serif"/>
                  <w:color w:val="000000"/>
                  <w:sz w:val="20"/>
                </w:rPr>
                <w:t>Board Leadership Structure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BLS">
              <w:r>
                <w:rPr>
                  <w:rStyle w:val="InternetLink"/>
                  <w:rFonts w:ascii="Times New Roman;Times;serif" w:hAnsi="Times New Roman;Times;serif"/>
                  <w:color w:val="000000"/>
                  <w:sz w:val="20"/>
                </w:rPr>
                <w:t>11</w:t>
              </w:r>
            </w:hyperlink>
          </w:p>
        </w:tc>
      </w:tr>
      <w:tr>
        <w:trPr/>
        <w:tc>
          <w:tcPr>
            <w:tcW w:w="8120" w:type="dxa"/>
            <w:tcBorders/>
            <w:shd w:fill="CCEEFF" w:val="clear"/>
            <w:vAlign w:val="center"/>
          </w:tcPr>
          <w:p>
            <w:pPr>
              <w:pStyle w:val="TableContents"/>
              <w:spacing w:before="0" w:after="283"/>
              <w:ind w:left="200" w:right="0" w:hanging="0"/>
              <w:jc w:val="left"/>
              <w:rPr/>
            </w:pPr>
            <w:hyperlink w:anchor="tBCM">
              <w:r>
                <w:rPr>
                  <w:rStyle w:val="InternetLink"/>
                  <w:rFonts w:ascii="Times New Roman;Times;serif" w:hAnsi="Times New Roman;Times;serif"/>
                  <w:color w:val="000000"/>
                  <w:sz w:val="20"/>
                </w:rPr>
                <w:t>Board Committees and Meetings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BCM">
              <w:r>
                <w:rPr>
                  <w:rStyle w:val="InternetLink"/>
                  <w:rFonts w:ascii="Times New Roman;Times;serif" w:hAnsi="Times New Roman;Times;serif"/>
                  <w:color w:val="000000"/>
                  <w:sz w:val="20"/>
                </w:rPr>
                <w:t>11</w:t>
              </w:r>
            </w:hyperlink>
          </w:p>
        </w:tc>
      </w:tr>
      <w:tr>
        <w:trPr/>
        <w:tc>
          <w:tcPr>
            <w:tcW w:w="8120" w:type="dxa"/>
            <w:tcBorders/>
            <w:shd w:fill="auto" w:val="clear"/>
            <w:vAlign w:val="center"/>
          </w:tcPr>
          <w:p>
            <w:pPr>
              <w:pStyle w:val="TableContents"/>
              <w:spacing w:before="0" w:after="283"/>
              <w:ind w:left="200" w:right="0" w:hanging="0"/>
              <w:jc w:val="left"/>
              <w:rPr/>
            </w:pPr>
            <w:hyperlink w:anchor="tIED">
              <w:r>
                <w:rPr>
                  <w:rStyle w:val="InternetLink"/>
                  <w:rFonts w:ascii="Times New Roman;Times;serif" w:hAnsi="Times New Roman;Times;serif"/>
                  <w:color w:val="000000"/>
                  <w:sz w:val="20"/>
                </w:rPr>
                <w:t>Identifying and Evaluating Director Nominees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IED">
              <w:r>
                <w:rPr>
                  <w:rStyle w:val="InternetLink"/>
                  <w:rFonts w:ascii="Times New Roman;Times;serif" w:hAnsi="Times New Roman;Times;serif"/>
                  <w:color w:val="000000"/>
                  <w:sz w:val="20"/>
                </w:rPr>
                <w:t>13</w:t>
              </w:r>
            </w:hyperlink>
          </w:p>
        </w:tc>
      </w:tr>
      <w:tr>
        <w:trPr/>
        <w:tc>
          <w:tcPr>
            <w:tcW w:w="8120" w:type="dxa"/>
            <w:tcBorders/>
            <w:shd w:fill="CCEEFF" w:val="clear"/>
            <w:vAlign w:val="center"/>
          </w:tcPr>
          <w:p>
            <w:pPr>
              <w:pStyle w:val="TableContents"/>
              <w:spacing w:before="0" w:after="283"/>
              <w:ind w:left="200" w:right="0" w:hanging="0"/>
              <w:jc w:val="left"/>
              <w:rPr/>
            </w:pPr>
            <w:hyperlink w:anchor="tRB">
              <w:r>
                <w:rPr>
                  <w:rStyle w:val="InternetLink"/>
                  <w:rFonts w:ascii="Times New Roman;Times;serif" w:hAnsi="Times New Roman;Times;serif"/>
                  <w:color w:val="000000"/>
                  <w:sz w:val="20"/>
                </w:rPr>
                <w:t>Role of the Board in Risk Oversight</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RB">
              <w:r>
                <w:rPr>
                  <w:rStyle w:val="InternetLink"/>
                  <w:rFonts w:ascii="Times New Roman;Times;serif" w:hAnsi="Times New Roman;Times;serif"/>
                  <w:color w:val="000000"/>
                  <w:sz w:val="20"/>
                </w:rPr>
                <w:t>14</w:t>
              </w:r>
            </w:hyperlink>
          </w:p>
        </w:tc>
      </w:tr>
      <w:tr>
        <w:trPr/>
        <w:tc>
          <w:tcPr>
            <w:tcW w:w="8120" w:type="dxa"/>
            <w:tcBorders/>
            <w:shd w:fill="auto" w:val="clear"/>
            <w:vAlign w:val="center"/>
          </w:tcPr>
          <w:p>
            <w:pPr>
              <w:pStyle w:val="TableContents"/>
              <w:spacing w:before="0" w:after="283"/>
              <w:ind w:left="200" w:right="0" w:hanging="0"/>
              <w:jc w:val="left"/>
              <w:rPr/>
            </w:pPr>
            <w:hyperlink w:anchor="tSRN">
              <w:r>
                <w:rPr>
                  <w:rStyle w:val="InternetLink"/>
                  <w:rFonts w:ascii="Times New Roman;Times;serif" w:hAnsi="Times New Roman;Times;serif"/>
                  <w:color w:val="000000"/>
                  <w:sz w:val="20"/>
                </w:rPr>
                <w:t>Stockholder Recommendations and Nominations to our Board of Directors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SRN">
              <w:r>
                <w:rPr>
                  <w:rStyle w:val="InternetLink"/>
                  <w:rFonts w:ascii="Times New Roman;Times;serif" w:hAnsi="Times New Roman;Times;serif"/>
                  <w:color w:val="000000"/>
                  <w:sz w:val="20"/>
                </w:rPr>
                <w:t>14</w:t>
              </w:r>
            </w:hyperlink>
          </w:p>
        </w:tc>
      </w:tr>
      <w:tr>
        <w:trPr/>
        <w:tc>
          <w:tcPr>
            <w:tcW w:w="8120" w:type="dxa"/>
            <w:tcBorders/>
            <w:shd w:fill="CCEEFF" w:val="clear"/>
            <w:vAlign w:val="center"/>
          </w:tcPr>
          <w:p>
            <w:pPr>
              <w:pStyle w:val="TableContents"/>
              <w:spacing w:before="0" w:after="283"/>
              <w:ind w:left="200" w:right="0" w:hanging="0"/>
              <w:jc w:val="left"/>
              <w:rPr/>
            </w:pPr>
            <w:hyperlink w:anchor="tCBD">
              <w:r>
                <w:rPr>
                  <w:rStyle w:val="InternetLink"/>
                  <w:rFonts w:ascii="Times New Roman;Times;serif" w:hAnsi="Times New Roman;Times;serif"/>
                  <w:color w:val="000000"/>
                  <w:sz w:val="20"/>
                </w:rPr>
                <w:t>Communications with the Board of Directors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CBD">
              <w:r>
                <w:rPr>
                  <w:rStyle w:val="InternetLink"/>
                  <w:rFonts w:ascii="Times New Roman;Times;serif" w:hAnsi="Times New Roman;Times;serif"/>
                  <w:color w:val="000000"/>
                  <w:sz w:val="20"/>
                </w:rPr>
                <w:t>14</w:t>
              </w:r>
            </w:hyperlink>
          </w:p>
        </w:tc>
      </w:tr>
      <w:tr>
        <w:trPr/>
        <w:tc>
          <w:tcPr>
            <w:tcW w:w="8120" w:type="dxa"/>
            <w:tcBorders/>
            <w:shd w:fill="auto" w:val="clear"/>
            <w:vAlign w:val="center"/>
          </w:tcPr>
          <w:p>
            <w:pPr>
              <w:pStyle w:val="TableContents"/>
              <w:spacing w:before="0" w:after="283"/>
              <w:ind w:left="200" w:right="0" w:hanging="0"/>
              <w:jc w:val="left"/>
              <w:rPr/>
            </w:pPr>
            <w:hyperlink w:anchor="tCGG">
              <w:r>
                <w:rPr>
                  <w:rStyle w:val="InternetLink"/>
                  <w:rFonts w:ascii="Times New Roman;Times;serif" w:hAnsi="Times New Roman;Times;serif"/>
                  <w:color w:val="000000"/>
                  <w:sz w:val="20"/>
                </w:rPr>
                <w:t>Corporate Governance Guidelines and Code of Business Conduct and Ethics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CGG">
              <w:r>
                <w:rPr>
                  <w:rStyle w:val="InternetLink"/>
                  <w:rFonts w:ascii="Times New Roman;Times;serif" w:hAnsi="Times New Roman;Times;serif"/>
                  <w:color w:val="000000"/>
                  <w:sz w:val="20"/>
                </w:rPr>
                <w:t>15</w:t>
              </w:r>
            </w:hyperlink>
          </w:p>
        </w:tc>
      </w:tr>
      <w:tr>
        <w:trPr/>
        <w:tc>
          <w:tcPr>
            <w:tcW w:w="8120" w:type="dxa"/>
            <w:tcBorders/>
            <w:shd w:fill="CCEEFF" w:val="clear"/>
            <w:vAlign w:val="center"/>
          </w:tcPr>
          <w:p>
            <w:pPr>
              <w:pStyle w:val="TableContents"/>
              <w:spacing w:before="0" w:after="283"/>
              <w:ind w:left="200" w:right="0" w:hanging="0"/>
              <w:jc w:val="left"/>
              <w:rPr/>
            </w:pPr>
            <w:hyperlink w:anchor="tCCI">
              <w:r>
                <w:rPr>
                  <w:rStyle w:val="InternetLink"/>
                  <w:rFonts w:ascii="Times New Roman;Times;serif" w:hAnsi="Times New Roman;Times;serif"/>
                  <w:color w:val="000000"/>
                  <w:sz w:val="20"/>
                </w:rPr>
                <w:t>Compensation Committee Interlocks and Insider Participation</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CCI">
              <w:r>
                <w:rPr>
                  <w:rStyle w:val="InternetLink"/>
                  <w:rFonts w:ascii="Times New Roman;Times;serif" w:hAnsi="Times New Roman;Times;serif"/>
                  <w:color w:val="000000"/>
                  <w:sz w:val="20"/>
                </w:rPr>
                <w:t>15</w:t>
              </w:r>
            </w:hyperlink>
          </w:p>
        </w:tc>
      </w:tr>
      <w:tr>
        <w:trPr/>
        <w:tc>
          <w:tcPr>
            <w:tcW w:w="8120" w:type="dxa"/>
            <w:tcBorders/>
            <w:shd w:fill="auto" w:val="clear"/>
            <w:vAlign w:val="center"/>
          </w:tcPr>
          <w:p>
            <w:pPr>
              <w:pStyle w:val="TableContents"/>
              <w:spacing w:before="0" w:after="283"/>
              <w:ind w:left="200" w:right="0" w:hanging="0"/>
              <w:jc w:val="left"/>
              <w:rPr/>
            </w:pPr>
            <w:hyperlink w:anchor="tODC">
              <w:r>
                <w:rPr>
                  <w:rStyle w:val="InternetLink"/>
                  <w:rFonts w:ascii="Times New Roman;Times;serif" w:hAnsi="Times New Roman;Times;serif"/>
                  <w:color w:val="000000"/>
                  <w:sz w:val="20"/>
                </w:rPr>
                <w:t>Outside Director Compensation Policy</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ODC">
              <w:r>
                <w:rPr>
                  <w:rStyle w:val="InternetLink"/>
                  <w:rFonts w:ascii="Times New Roman;Times;serif" w:hAnsi="Times New Roman;Times;serif"/>
                  <w:color w:val="000000"/>
                  <w:sz w:val="20"/>
                </w:rPr>
                <w:t>15</w:t>
              </w:r>
            </w:hyperlink>
          </w:p>
        </w:tc>
      </w:tr>
      <w:tr>
        <w:trPr/>
        <w:tc>
          <w:tcPr>
            <w:tcW w:w="8120" w:type="dxa"/>
            <w:tcBorders/>
            <w:shd w:fill="CCEEFF" w:val="clear"/>
            <w:vAlign w:val="center"/>
          </w:tcPr>
          <w:p>
            <w:pPr>
              <w:pStyle w:val="TableContents"/>
              <w:spacing w:before="0" w:after="283"/>
              <w:ind w:left="200" w:right="0" w:hanging="0"/>
              <w:jc w:val="left"/>
              <w:rPr/>
            </w:pPr>
            <w:hyperlink w:anchor="tSA">
              <w:r>
                <w:rPr>
                  <w:rStyle w:val="InternetLink"/>
                  <w:rFonts w:ascii="Times New Roman;Times;serif" w:hAnsi="Times New Roman;Times;serif"/>
                  <w:color w:val="000000"/>
                  <w:sz w:val="20"/>
                </w:rPr>
                <w:t>Scientific Advisory Board</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SA">
              <w:r>
                <w:rPr>
                  <w:rStyle w:val="InternetLink"/>
                  <w:rFonts w:ascii="Times New Roman;Times;serif" w:hAnsi="Times New Roman;Times;serif"/>
                  <w:color w:val="000000"/>
                  <w:sz w:val="20"/>
                </w:rPr>
                <w:t>17</w:t>
              </w:r>
            </w:hyperlink>
          </w:p>
        </w:tc>
      </w:tr>
      <w:tr>
        <w:trPr/>
        <w:tc>
          <w:tcPr>
            <w:tcW w:w="8120" w:type="dxa"/>
            <w:tcBorders/>
            <w:shd w:fill="auto" w:val="clear"/>
            <w:vAlign w:val="center"/>
          </w:tcPr>
          <w:p>
            <w:pPr>
              <w:pStyle w:val="TableContents"/>
              <w:spacing w:before="0" w:after="283"/>
              <w:ind w:left="200" w:right="0" w:hanging="0"/>
              <w:jc w:val="left"/>
              <w:rPr/>
            </w:pPr>
            <w:hyperlink w:anchor="tIN">
              <w:r>
                <w:rPr>
                  <w:rStyle w:val="InternetLink"/>
                  <w:rFonts w:ascii="Times New Roman;Times;serif" w:hAnsi="Times New Roman;Times;serif"/>
                  <w:color w:val="000000"/>
                  <w:sz w:val="20"/>
                </w:rPr>
                <w:t>Indemnification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IN">
              <w:r>
                <w:rPr>
                  <w:rStyle w:val="InternetLink"/>
                  <w:rFonts w:ascii="Times New Roman;Times;serif" w:hAnsi="Times New Roman;Times;serif"/>
                  <w:color w:val="000000"/>
                  <w:sz w:val="20"/>
                </w:rPr>
                <w:t>17</w:t>
              </w:r>
            </w:hyperlink>
          </w:p>
        </w:tc>
      </w:tr>
      <w:tr>
        <w:trPr/>
        <w:tc>
          <w:tcPr>
            <w:tcW w:w="8120" w:type="dxa"/>
            <w:tcBorders/>
            <w:shd w:fill="CCEEFF" w:val="clear"/>
            <w:vAlign w:val="center"/>
          </w:tcPr>
          <w:p>
            <w:pPr>
              <w:pStyle w:val="TableContents"/>
              <w:spacing w:before="0" w:after="283"/>
              <w:ind w:left="200" w:right="0" w:hanging="0"/>
              <w:jc w:val="left"/>
              <w:rPr/>
            </w:pPr>
            <w:hyperlink w:anchor="tESG">
              <w:r>
                <w:rPr>
                  <w:rStyle w:val="InternetLink"/>
                  <w:rFonts w:ascii="Times New Roman;Times;serif" w:hAnsi="Times New Roman;Times;serif"/>
                  <w:color w:val="000000"/>
                  <w:sz w:val="20"/>
                </w:rPr>
                <w:t>Environmental, Social and Governance (ESG) Initiatives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ESG">
              <w:r>
                <w:rPr>
                  <w:rStyle w:val="InternetLink"/>
                  <w:rFonts w:ascii="Times New Roman;Times;serif" w:hAnsi="Times New Roman;Times;serif"/>
                  <w:color w:val="000000"/>
                  <w:sz w:val="20"/>
                </w:rPr>
                <w:t>17</w:t>
              </w:r>
            </w:hyperlink>
          </w:p>
        </w:tc>
      </w:tr>
      <w:tr>
        <w:trPr/>
        <w:tc>
          <w:tcPr>
            <w:tcW w:w="8120" w:type="dxa"/>
            <w:tcBorders/>
            <w:shd w:fill="auto" w:val="clear"/>
            <w:vAlign w:val="center"/>
          </w:tcPr>
          <w:p>
            <w:pPr>
              <w:pStyle w:val="TableContents"/>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EO">
              <w:r>
                <w:rPr>
                  <w:rStyle w:val="InternetLink"/>
                  <w:rFonts w:ascii="Times New Roman;Times;serif" w:hAnsi="Times New Roman;Times;serif"/>
                  <w:color w:val="000000"/>
                  <w:sz w:val="20"/>
                </w:rPr>
                <w:t>18</w:t>
              </w:r>
            </w:hyperlink>
          </w:p>
        </w:tc>
      </w:tr>
      <w:tr>
        <w:trPr/>
        <w:tc>
          <w:tcPr>
            <w:tcW w:w="8120" w:type="dxa"/>
            <w:tcBorders/>
            <w:shd w:fill="CCEEFF" w:val="clear"/>
            <w:vAlign w:val="center"/>
          </w:tcPr>
          <w:p>
            <w:pPr>
              <w:pStyle w:val="TableContents"/>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EC">
              <w:r>
                <w:rPr>
                  <w:rStyle w:val="InternetLink"/>
                  <w:rFonts w:ascii="Times New Roman;Times;serif" w:hAnsi="Times New Roman;Times;serif"/>
                  <w:color w:val="000000"/>
                  <w:sz w:val="20"/>
                </w:rPr>
                <w:t>19</w:t>
              </w:r>
            </w:hyperlink>
          </w:p>
        </w:tc>
      </w:tr>
      <w:tr>
        <w:trPr/>
        <w:tc>
          <w:tcPr>
            <w:tcW w:w="8120" w:type="dxa"/>
            <w:tcBorders/>
            <w:shd w:fill="auto" w:val="clear"/>
            <w:vAlign w:val="center"/>
          </w:tcPr>
          <w:p>
            <w:pPr>
              <w:pStyle w:val="TableContents"/>
              <w:spacing w:before="0" w:after="283"/>
              <w:ind w:left="200" w:right="0" w:hanging="0"/>
              <w:jc w:val="left"/>
              <w:rPr/>
            </w:pPr>
            <w:hyperlink w:anchor="tSCT">
              <w:r>
                <w:rPr>
                  <w:rStyle w:val="InternetLink"/>
                  <w:rFonts w:ascii="Times New Roman;Times;serif" w:hAnsi="Times New Roman;Times;serif"/>
                  <w:color w:val="000000"/>
                  <w:sz w:val="20"/>
                </w:rPr>
                <w:t>Summary Compensation Table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SCT">
              <w:r>
                <w:rPr>
                  <w:rStyle w:val="InternetLink"/>
                  <w:rFonts w:ascii="Times New Roman;Times;serif" w:hAnsi="Times New Roman;Times;serif"/>
                  <w:color w:val="000000"/>
                  <w:sz w:val="20"/>
                </w:rPr>
                <w:t>19</w:t>
              </w:r>
            </w:hyperlink>
          </w:p>
        </w:tc>
      </w:tr>
      <w:tr>
        <w:trPr/>
        <w:tc>
          <w:tcPr>
            <w:tcW w:w="8120" w:type="dxa"/>
            <w:tcBorders/>
            <w:shd w:fill="CCEEFF" w:val="clear"/>
            <w:vAlign w:val="center"/>
          </w:tcPr>
          <w:p>
            <w:pPr>
              <w:pStyle w:val="TableContents"/>
              <w:spacing w:before="0" w:after="283"/>
              <w:ind w:left="200" w:right="0" w:hanging="0"/>
              <w:jc w:val="left"/>
              <w:rPr/>
            </w:pPr>
            <w:hyperlink w:anchor="tEAN">
              <w:r>
                <w:rPr>
                  <w:rStyle w:val="InternetLink"/>
                  <w:rFonts w:ascii="Times New Roman;Times;serif" w:hAnsi="Times New Roman;Times;serif"/>
                  <w:color w:val="000000"/>
                  <w:sz w:val="20"/>
                </w:rPr>
                <w:t>Employment Arrangements with our Named Executive Officers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EAN">
              <w:r>
                <w:rPr>
                  <w:rStyle w:val="InternetLink"/>
                  <w:rFonts w:ascii="Times New Roman;Times;serif" w:hAnsi="Times New Roman;Times;serif"/>
                  <w:color w:val="000000"/>
                  <w:sz w:val="20"/>
                </w:rPr>
                <w:t>20</w:t>
              </w:r>
            </w:hyperlink>
          </w:p>
        </w:tc>
      </w:tr>
      <w:tr>
        <w:trPr/>
        <w:tc>
          <w:tcPr>
            <w:tcW w:w="8120" w:type="dxa"/>
            <w:tcBorders/>
            <w:shd w:fill="auto" w:val="clear"/>
            <w:vAlign w:val="center"/>
          </w:tcPr>
          <w:p>
            <w:pPr>
              <w:pStyle w:val="TableContents"/>
              <w:spacing w:before="0" w:after="283"/>
              <w:ind w:left="200" w:right="0" w:hanging="0"/>
              <w:jc w:val="left"/>
              <w:rPr/>
            </w:pPr>
            <w:hyperlink w:anchor="tGPB">
              <w:r>
                <w:rPr>
                  <w:rStyle w:val="InternetLink"/>
                  <w:rFonts w:ascii="Times New Roman;Times;serif" w:hAnsi="Times New Roman;Times;serif"/>
                  <w:color w:val="000000"/>
                  <w:sz w:val="20"/>
                </w:rPr>
                <w:t>Grants of Plan-Based Awards for Fiscal 2022</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GPB">
              <w:r>
                <w:rPr>
                  <w:rStyle w:val="InternetLink"/>
                  <w:rFonts w:ascii="Times New Roman;Times;serif" w:hAnsi="Times New Roman;Times;serif"/>
                  <w:color w:val="000000"/>
                  <w:sz w:val="20"/>
                </w:rPr>
                <w:t>20</w:t>
              </w:r>
            </w:hyperlink>
          </w:p>
        </w:tc>
      </w:tr>
      <w:tr>
        <w:trPr/>
        <w:tc>
          <w:tcPr>
            <w:tcW w:w="8120" w:type="dxa"/>
            <w:tcBorders/>
            <w:shd w:fill="CCEEFF" w:val="clear"/>
            <w:vAlign w:val="center"/>
          </w:tcPr>
          <w:p>
            <w:pPr>
              <w:pStyle w:val="TableContents"/>
              <w:spacing w:before="0" w:after="283"/>
              <w:ind w:left="200" w:right="0" w:hanging="0"/>
              <w:jc w:val="left"/>
              <w:rPr/>
            </w:pPr>
            <w:hyperlink w:anchor="tOEA">
              <w:r>
                <w:rPr>
                  <w:rStyle w:val="InternetLink"/>
                  <w:rFonts w:ascii="Times New Roman;Times;serif" w:hAnsi="Times New Roman;Times;serif"/>
                  <w:color w:val="000000"/>
                  <w:sz w:val="20"/>
                </w:rPr>
                <w:t>Outstanding Equity Awards at Fiscal 2022 Year-End</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OEA">
              <w:r>
                <w:rPr>
                  <w:rStyle w:val="InternetLink"/>
                  <w:rFonts w:ascii="Times New Roman;Times;serif" w:hAnsi="Times New Roman;Times;serif"/>
                  <w:color w:val="000000"/>
                  <w:sz w:val="20"/>
                </w:rPr>
                <w:t>21</w:t>
              </w:r>
            </w:hyperlink>
          </w:p>
        </w:tc>
      </w:tr>
      <w:tr>
        <w:trPr/>
        <w:tc>
          <w:tcPr>
            <w:tcW w:w="8120" w:type="dxa"/>
            <w:tcBorders/>
            <w:shd w:fill="auto" w:val="clear"/>
            <w:vAlign w:val="center"/>
          </w:tcPr>
          <w:p>
            <w:pPr>
              <w:pStyle w:val="TableContents"/>
              <w:spacing w:before="0" w:after="283"/>
              <w:ind w:left="200" w:right="0" w:hanging="0"/>
              <w:jc w:val="left"/>
              <w:rPr/>
            </w:pPr>
            <w:hyperlink w:anchor="tPN">
              <w:r>
                <w:rPr>
                  <w:rStyle w:val="InternetLink"/>
                  <w:rFonts w:ascii="Times New Roman;Times;serif" w:hAnsi="Times New Roman;Times;serif"/>
                  <w:color w:val="000000"/>
                  <w:sz w:val="20"/>
                </w:rPr>
                <w:t>401(k) Plan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PN">
              <w:r>
                <w:rPr>
                  <w:rStyle w:val="InternetLink"/>
                  <w:rFonts w:ascii="Times New Roman;Times;serif" w:hAnsi="Times New Roman;Times;serif"/>
                  <w:color w:val="000000"/>
                  <w:sz w:val="20"/>
                </w:rPr>
                <w:t>22</w:t>
              </w:r>
            </w:hyperlink>
          </w:p>
        </w:tc>
      </w:tr>
      <w:tr>
        <w:trPr/>
        <w:tc>
          <w:tcPr>
            <w:tcW w:w="8120" w:type="dxa"/>
            <w:tcBorders/>
            <w:shd w:fill="CCEEFF" w:val="clear"/>
            <w:vAlign w:val="center"/>
          </w:tcPr>
          <w:p>
            <w:pPr>
              <w:pStyle w:val="TableContents"/>
              <w:spacing w:before="0" w:after="283"/>
              <w:ind w:left="200" w:right="0" w:hanging="0"/>
              <w:jc w:val="left"/>
              <w:rPr/>
            </w:pPr>
            <w:hyperlink w:anchor="tPPT">
              <w:r>
                <w:rPr>
                  <w:rStyle w:val="InternetLink"/>
                  <w:rFonts w:ascii="Times New Roman;Times;serif" w:hAnsi="Times New Roman;Times;serif"/>
                  <w:color w:val="000000"/>
                  <w:sz w:val="20"/>
                </w:rPr>
                <w:t>Potential Payments upon Termination or Change in Control</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PPT">
              <w:r>
                <w:rPr>
                  <w:rStyle w:val="InternetLink"/>
                  <w:rFonts w:ascii="Times New Roman;Times;serif" w:hAnsi="Times New Roman;Times;serif"/>
                  <w:color w:val="000000"/>
                  <w:sz w:val="20"/>
                </w:rPr>
                <w:t>22</w:t>
              </w:r>
            </w:hyperlink>
          </w:p>
        </w:tc>
      </w:tr>
      <w:tr>
        <w:trPr/>
        <w:tc>
          <w:tcPr>
            <w:tcW w:w="8120" w:type="dxa"/>
            <w:tcBorders/>
            <w:shd w:fill="auto" w:val="clear"/>
            <w:vAlign w:val="center"/>
          </w:tcPr>
          <w:p>
            <w:pPr>
              <w:pStyle w:val="TableContents"/>
              <w:spacing w:before="0" w:after="283"/>
              <w:ind w:left="200" w:right="0" w:hanging="0"/>
              <w:jc w:val="left"/>
              <w:rPr/>
            </w:pPr>
            <w:hyperlink w:anchor="tPPH">
              <w:r>
                <w:rPr>
                  <w:rStyle w:val="InternetLink"/>
                  <w:rFonts w:ascii="Times New Roman;Times;serif" w:hAnsi="Times New Roman;Times;serif"/>
                  <w:color w:val="000000"/>
                  <w:sz w:val="20"/>
                </w:rPr>
                <w:t>Policy Prohibiting Hedging or Pledging of Securities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PPH">
              <w:r>
                <w:rPr>
                  <w:rStyle w:val="InternetLink"/>
                  <w:rFonts w:ascii="Times New Roman;Times;serif" w:hAnsi="Times New Roman;Times;serif"/>
                  <w:color w:val="000000"/>
                  <w:sz w:val="20"/>
                </w:rPr>
                <w:t>23</w:t>
              </w:r>
            </w:hyperlink>
          </w:p>
        </w:tc>
      </w:tr>
      <w:tr>
        <w:trPr/>
        <w:tc>
          <w:tcPr>
            <w:tcW w:w="8120" w:type="dxa"/>
            <w:tcBorders/>
            <w:shd w:fill="CCEEFF" w:val="clear"/>
            <w:vAlign w:val="center"/>
          </w:tcPr>
          <w:p>
            <w:pPr>
              <w:pStyle w:val="TableContents"/>
              <w:spacing w:before="0" w:after="283"/>
              <w:ind w:left="200" w:right="0" w:hanging="0"/>
              <w:jc w:val="left"/>
              <w:rPr/>
            </w:pPr>
            <w:hyperlink w:anchor="tPVP">
              <w:r>
                <w:rPr>
                  <w:rStyle w:val="InternetLink"/>
                  <w:rFonts w:ascii="Times New Roman;Times;serif" w:hAnsi="Times New Roman;Times;serif"/>
                  <w:color w:val="000000"/>
                  <w:sz w:val="20"/>
                </w:rPr>
                <w:t>Pay Versus Performance</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PVP">
              <w:r>
                <w:rPr>
                  <w:rStyle w:val="InternetLink"/>
                  <w:rFonts w:ascii="Times New Roman;Times;serif" w:hAnsi="Times New Roman;Times;serif"/>
                  <w:color w:val="000000"/>
                  <w:sz w:val="20"/>
                </w:rPr>
                <w:t>24</w:t>
              </w:r>
            </w:hyperlink>
          </w:p>
        </w:tc>
      </w:tr>
      <w:tr>
        <w:trPr/>
        <w:tc>
          <w:tcPr>
            <w:tcW w:w="8120" w:type="dxa"/>
            <w:tcBorders/>
            <w:shd w:fill="auto" w:val="clear"/>
            <w:vAlign w:val="center"/>
          </w:tcPr>
          <w:p>
            <w:pPr>
              <w:pStyle w:val="TableContents"/>
              <w:spacing w:before="0" w:after="283"/>
              <w:ind w:left="200" w:right="0" w:hanging="0"/>
              <w:jc w:val="left"/>
              <w:rPr/>
            </w:pPr>
            <w:hyperlink w:anchor="tECI">
              <w:r>
                <w:rPr>
                  <w:rStyle w:val="InternetLink"/>
                  <w:rFonts w:ascii="Times New Roman;Times;serif" w:hAnsi="Times New Roman;Times;serif"/>
                  <w:color w:val="000000"/>
                  <w:sz w:val="20"/>
                </w:rPr>
                <w:t>Equity Compensation Plan Information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ECI">
              <w:r>
                <w:rPr>
                  <w:rStyle w:val="InternetLink"/>
                  <w:rFonts w:ascii="Times New Roman;Times;serif" w:hAnsi="Times New Roman;Times;serif"/>
                  <w:color w:val="000000"/>
                  <w:sz w:val="20"/>
                </w:rPr>
                <w:t>26</w:t>
              </w:r>
            </w:hyperlink>
          </w:p>
        </w:tc>
      </w:tr>
      <w:tr>
        <w:trPr/>
        <w:tc>
          <w:tcPr>
            <w:tcW w:w="8120" w:type="dxa"/>
            <w:tcBorders/>
            <w:shd w:fill="CCEEFF" w:val="clear"/>
            <w:vAlign w:val="center"/>
          </w:tcPr>
          <w:p>
            <w:pPr>
              <w:pStyle w:val="TableContents"/>
              <w:spacing w:before="0" w:after="283"/>
              <w:ind w:left="0" w:right="0" w:hanging="0"/>
              <w:jc w:val="left"/>
              <w:rPr/>
            </w:pPr>
            <w:hyperlink w:anchor="tBOS">
              <w:r>
                <w:rPr>
                  <w:rStyle w:val="InternetLink"/>
                  <w:rFonts w:ascii="Times New Roman;Times;serif" w:hAnsi="Times New Roman;Times;serif"/>
                  <w:color w:val="000000"/>
                  <w:sz w:val="20"/>
                </w:rPr>
                <w:t>BENEFICIAL OWNERSHIP OF SHARES OF COMMON STOCK</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BOS">
              <w:r>
                <w:rPr>
                  <w:rStyle w:val="InternetLink"/>
                  <w:rFonts w:ascii="Times New Roman;Times;serif" w:hAnsi="Times New Roman;Times;serif"/>
                  <w:color w:val="000000"/>
                  <w:sz w:val="20"/>
                </w:rPr>
                <w:t>27</w:t>
              </w:r>
            </w:hyperlink>
          </w:p>
        </w:tc>
      </w:tr>
      <w:tr>
        <w:trPr/>
        <w:tc>
          <w:tcPr>
            <w:tcW w:w="8120" w:type="dxa"/>
            <w:tcBorders/>
            <w:shd w:fill="auto" w:val="clear"/>
            <w:vAlign w:val="center"/>
          </w:tcPr>
          <w:p>
            <w:pPr>
              <w:pStyle w:val="TableContents"/>
              <w:spacing w:before="0" w:after="283"/>
              <w:ind w:left="0" w:right="0" w:hanging="0"/>
              <w:jc w:val="left"/>
              <w:rPr/>
            </w:pPr>
            <w:hyperlink w:anchor="tDSRS">
              <w:r>
                <w:rPr>
                  <w:rStyle w:val="InternetLink"/>
                  <w:rFonts w:ascii="Times New Roman;Times;serif" w:hAnsi="Times New Roman;Times;serif"/>
                  <w:color w:val="000000"/>
                  <w:sz w:val="20"/>
                </w:rPr>
                <w:t>DELINQUENT SECTION 16(A) REPORTS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DSRS">
              <w:r>
                <w:rPr>
                  <w:rStyle w:val="InternetLink"/>
                  <w:rFonts w:ascii="Times New Roman;Times;serif" w:hAnsi="Times New Roman;Times;serif"/>
                  <w:color w:val="000000"/>
                  <w:sz w:val="20"/>
                </w:rPr>
                <w:t>30</w:t>
              </w:r>
            </w:hyperlink>
          </w:p>
        </w:tc>
      </w:tr>
      <w:tr>
        <w:trPr/>
        <w:tc>
          <w:tcPr>
            <w:tcW w:w="8120" w:type="dxa"/>
            <w:tcBorders/>
            <w:shd w:fill="CCEEFF" w:val="clear"/>
            <w:vAlign w:val="center"/>
          </w:tcPr>
          <w:p>
            <w:pPr>
              <w:pStyle w:val="TableContents"/>
              <w:spacing w:before="0" w:after="283"/>
              <w:ind w:left="0" w:right="0" w:hanging="0"/>
              <w:jc w:val="left"/>
              <w:rPr/>
            </w:pPr>
            <w:hyperlink w:anchor="tCRA">
              <w:r>
                <w:rPr>
                  <w:rStyle w:val="InternetLink"/>
                  <w:rFonts w:ascii="Times New Roman;Times;serif" w:hAnsi="Times New Roman;Times;serif"/>
                  <w:color w:val="000000"/>
                  <w:sz w:val="20"/>
                </w:rPr>
                <w:t>CERTAIN RELATIONSHIPS AND RELATED PERSON TRANSACTIONS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CRA">
              <w:r>
                <w:rPr>
                  <w:rStyle w:val="InternetLink"/>
                  <w:rFonts w:ascii="Times New Roman;Times;serif" w:hAnsi="Times New Roman;Times;serif"/>
                  <w:color w:val="000000"/>
                  <w:sz w:val="20"/>
                </w:rPr>
                <w:t>31</w:t>
              </w:r>
            </w:hyperlink>
          </w:p>
        </w:tc>
      </w:tr>
      <w:tr>
        <w:trPr/>
        <w:tc>
          <w:tcPr>
            <w:tcW w:w="8120" w:type="dxa"/>
            <w:tcBorders/>
            <w:shd w:fill="auto" w:val="clear"/>
            <w:vAlign w:val="center"/>
          </w:tcPr>
          <w:p>
            <w:pPr>
              <w:pStyle w:val="TableContents"/>
              <w:spacing w:before="0" w:after="283"/>
              <w:ind w:left="200" w:right="0" w:hanging="0"/>
              <w:jc w:val="left"/>
              <w:rPr/>
            </w:pPr>
            <w:hyperlink w:anchor="tRPT">
              <w:r>
                <w:rPr>
                  <w:rStyle w:val="InternetLink"/>
                  <w:rFonts w:ascii="Times New Roman;Times;serif" w:hAnsi="Times New Roman;Times;serif"/>
                  <w:color w:val="000000"/>
                  <w:sz w:val="20"/>
                </w:rPr>
                <w:t>Related Party Transactions Policy</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RPT">
              <w:r>
                <w:rPr>
                  <w:rStyle w:val="InternetLink"/>
                  <w:rFonts w:ascii="Times New Roman;Times;serif" w:hAnsi="Times New Roman;Times;serif"/>
                  <w:color w:val="000000"/>
                  <w:sz w:val="20"/>
                </w:rPr>
                <w:t>31</w:t>
              </w:r>
            </w:hyperlink>
          </w:p>
        </w:tc>
      </w:tr>
      <w:tr>
        <w:trPr/>
        <w:tc>
          <w:tcPr>
            <w:tcW w:w="8120" w:type="dxa"/>
            <w:tcBorders/>
            <w:shd w:fill="CCEEFF" w:val="clear"/>
            <w:vAlign w:val="center"/>
          </w:tcPr>
          <w:p>
            <w:pPr>
              <w:pStyle w:val="TableContents"/>
              <w:spacing w:before="0" w:after="283"/>
              <w:ind w:left="200" w:right="0" w:hanging="0"/>
              <w:jc w:val="left"/>
              <w:rPr/>
            </w:pPr>
            <w:hyperlink w:anchor="tTRD">
              <w:r>
                <w:rPr>
                  <w:rStyle w:val="InternetLink"/>
                  <w:rFonts w:ascii="Times New Roman;Times;serif" w:hAnsi="Times New Roman;Times;serif"/>
                  <w:color w:val="000000"/>
                  <w:sz w:val="20"/>
                </w:rPr>
                <w:t>Transactions and Relationships with Directors, Officers and 5% Stockholders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TRD">
              <w:r>
                <w:rPr>
                  <w:rStyle w:val="InternetLink"/>
                  <w:rFonts w:ascii="Times New Roman;Times;serif" w:hAnsi="Times New Roman;Times;serif"/>
                  <w:color w:val="000000"/>
                  <w:sz w:val="20"/>
                </w:rPr>
                <w:t>31</w:t>
              </w:r>
            </w:hyperlink>
          </w:p>
        </w:tc>
      </w:tr>
      <w:tr>
        <w:trPr/>
        <w:tc>
          <w:tcPr>
            <w:tcW w:w="8120" w:type="dxa"/>
            <w:tcBorders/>
            <w:shd w:fill="auto" w:val="clear"/>
            <w:vAlign w:val="center"/>
          </w:tcPr>
          <w:p>
            <w:pPr>
              <w:pStyle w:val="TableContents"/>
              <w:spacing w:before="0" w:after="283"/>
              <w:ind w:left="0" w:right="0" w:hanging="0"/>
              <w:jc w:val="left"/>
              <w:rPr/>
            </w:pPr>
            <w:hyperlink w:anchor="tPED">
              <w:r>
                <w:rPr>
                  <w:rStyle w:val="InternetLink"/>
                  <w:rFonts w:ascii="Times New Roman;Times;serif" w:hAnsi="Times New Roman;Times;serif"/>
                  <w:color w:val="000000"/>
                  <w:sz w:val="20"/>
                </w:rPr>
                <w:t>PROPOSAL NO. 1: ELECTION OF CLASS III DIRECTORS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PED">
              <w:r>
                <w:rPr>
                  <w:rStyle w:val="InternetLink"/>
                  <w:rFonts w:ascii="Times New Roman;Times;serif" w:hAnsi="Times New Roman;Times;serif"/>
                  <w:color w:val="000000"/>
                  <w:sz w:val="20"/>
                </w:rPr>
                <w:t>33</w:t>
              </w:r>
            </w:hyperlink>
          </w:p>
        </w:tc>
      </w:tr>
      <w:tr>
        <w:trPr/>
        <w:tc>
          <w:tcPr>
            <w:tcW w:w="8120" w:type="dxa"/>
            <w:tcBorders/>
            <w:shd w:fill="CCEEFF" w:val="clear"/>
            <w:vAlign w:val="center"/>
          </w:tcPr>
          <w:p>
            <w:pPr>
              <w:pStyle w:val="TableContents"/>
              <w:spacing w:before="0" w:after="283"/>
              <w:ind w:left="200" w:right="0" w:hanging="0"/>
              <w:jc w:val="left"/>
              <w:rPr/>
            </w:pPr>
            <w:hyperlink w:anchor="tNDB">
              <w:r>
                <w:rPr>
                  <w:rStyle w:val="InternetLink"/>
                  <w:rFonts w:ascii="Times New Roman;Times;serif" w:hAnsi="Times New Roman;Times;serif"/>
                  <w:color w:val="000000"/>
                  <w:sz w:val="20"/>
                </w:rPr>
                <w:t>Number of Directors; Board Structure</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NDB">
              <w:r>
                <w:rPr>
                  <w:rStyle w:val="InternetLink"/>
                  <w:rFonts w:ascii="Times New Roman;Times;serif" w:hAnsi="Times New Roman;Times;serif"/>
                  <w:color w:val="000000"/>
                  <w:sz w:val="20"/>
                </w:rPr>
                <w:t>33</w:t>
              </w:r>
            </w:hyperlink>
          </w:p>
        </w:tc>
      </w:tr>
      <w:tr>
        <w:trPr/>
        <w:tc>
          <w:tcPr>
            <w:tcW w:w="8120" w:type="dxa"/>
            <w:tcBorders/>
            <w:shd w:fill="auto" w:val="clear"/>
            <w:vAlign w:val="center"/>
          </w:tcPr>
          <w:p>
            <w:pPr>
              <w:pStyle w:val="TableContents"/>
              <w:spacing w:before="0" w:after="283"/>
              <w:ind w:left="200" w:right="0" w:hanging="0"/>
              <w:jc w:val="left"/>
              <w:rPr/>
            </w:pPr>
            <w:hyperlink w:anchor="tNS">
              <w:r>
                <w:rPr>
                  <w:rStyle w:val="InternetLink"/>
                  <w:rFonts w:ascii="Times New Roman;Times;serif" w:hAnsi="Times New Roman;Times;serif"/>
                  <w:color w:val="000000"/>
                  <w:sz w:val="20"/>
                </w:rPr>
                <w:t>Nominees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NS">
              <w:r>
                <w:rPr>
                  <w:rStyle w:val="InternetLink"/>
                  <w:rFonts w:ascii="Times New Roman;Times;serif" w:hAnsi="Times New Roman;Times;serif"/>
                  <w:color w:val="000000"/>
                  <w:sz w:val="20"/>
                </w:rPr>
                <w:t>33</w:t>
              </w:r>
            </w:hyperlink>
          </w:p>
        </w:tc>
      </w:tr>
      <w:tr>
        <w:trPr/>
        <w:tc>
          <w:tcPr>
            <w:tcW w:w="8120" w:type="dxa"/>
            <w:tcBorders/>
            <w:shd w:fill="CCEEFF" w:val="clear"/>
            <w:vAlign w:val="center"/>
          </w:tcPr>
          <w:p>
            <w:pPr>
              <w:pStyle w:val="TableContents"/>
              <w:spacing w:before="0" w:after="283"/>
              <w:ind w:left="200" w:right="0" w:hanging="0"/>
              <w:jc w:val="left"/>
              <w:rPr/>
            </w:pPr>
            <w:hyperlink w:anchor="tVR">
              <w:r>
                <w:rPr>
                  <w:rStyle w:val="InternetLink"/>
                  <w:rFonts w:ascii="Times New Roman;Times;serif" w:hAnsi="Times New Roman;Times;serif"/>
                  <w:color w:val="000000"/>
                  <w:sz w:val="20"/>
                </w:rPr>
                <w:t>Vote Required</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VR">
              <w:r>
                <w:rPr>
                  <w:rStyle w:val="InternetLink"/>
                  <w:rFonts w:ascii="Times New Roman;Times;serif" w:hAnsi="Times New Roman;Times;serif"/>
                  <w:color w:val="000000"/>
                  <w:sz w:val="20"/>
                </w:rPr>
                <w:t>33</w:t>
              </w:r>
            </w:hyperlink>
          </w:p>
        </w:tc>
      </w:tr>
      <w:tr>
        <w:trPr/>
        <w:tc>
          <w:tcPr>
            <w:tcW w:w="8120" w:type="dxa"/>
            <w:tcBorders/>
            <w:shd w:fill="auto" w:val="clear"/>
            <w:vAlign w:val="center"/>
          </w:tcPr>
          <w:p>
            <w:pPr>
              <w:pStyle w:val="TableContents"/>
              <w:spacing w:before="0" w:after="283"/>
              <w:ind w:left="200" w:right="0" w:hanging="0"/>
              <w:jc w:val="left"/>
              <w:rPr/>
            </w:pPr>
            <w:hyperlink w:anchor="tBR">
              <w:r>
                <w:rPr>
                  <w:rStyle w:val="InternetLink"/>
                  <w:rFonts w:ascii="Times New Roman;Times;serif" w:hAnsi="Times New Roman;Times;serif"/>
                  <w:color w:val="000000"/>
                  <w:sz w:val="20"/>
                </w:rPr>
                <w:t>Board Recommendation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BR">
              <w:r>
                <w:rPr>
                  <w:rStyle w:val="InternetLink"/>
                  <w:rFonts w:ascii="Times New Roman;Times;serif" w:hAnsi="Times New Roman;Times;serif"/>
                  <w:color w:val="000000"/>
                  <w:sz w:val="20"/>
                </w:rPr>
                <w:t>33</w:t>
              </w:r>
            </w:hyperlink>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 w:name="DSPFPageBreakArea2"/>
      <w:bookmarkStart w:id="17" w:name="DSPFPageBreakArea2"/>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 w:name="DSPFPageBreak2"/>
      <w:bookmarkStart w:id="19" w:name="DSPFPageBreak2"/>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 w:name="ny20006675x1_def14a_103-toc_pg2"/>
        <w:bookmarkEnd w:id="20"/>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9764"/>
        <w:gridCol w:w="23"/>
        <w:gridCol w:w="23"/>
        <w:gridCol w:w="395"/>
      </w:tblGrid>
      <w:tr>
        <w:trPr/>
        <w:tc>
          <w:tcPr>
            <w:tcW w:w="9764"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9764" w:type="dxa"/>
            <w:tcBorders/>
            <w:shd w:fill="CCEEFF" w:val="clear"/>
            <w:vAlign w:val="center"/>
          </w:tcPr>
          <w:p>
            <w:pPr>
              <w:pStyle w:val="TableContents"/>
              <w:spacing w:before="0" w:after="283"/>
              <w:ind w:left="200" w:right="0" w:hanging="200"/>
              <w:jc w:val="left"/>
              <w:rPr/>
            </w:pPr>
            <w:hyperlink w:anchor="tPND">
              <w:r>
                <w:rPr>
                  <w:rStyle w:val="InternetLink"/>
                  <w:rFonts w:ascii="Times New Roman;Times;serif" w:hAnsi="Times New Roman;Times;serif"/>
                  <w:color w:val="000000"/>
                  <w:sz w:val="20"/>
                </w:rPr>
                <w:t>PROPOSAL NO. 2: NON-BINDING ADVISORY VOTE TO APPROVE THE COMPENSATION OF OUR NAMED EXECUTIVE OFFICERS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PND">
              <w:r>
                <w:rPr>
                  <w:rStyle w:val="InternetLink"/>
                  <w:rFonts w:ascii="Times New Roman;Times;serif" w:hAnsi="Times New Roman;Times;serif"/>
                  <w:color w:val="000000"/>
                  <w:sz w:val="20"/>
                </w:rPr>
                <w:t>34</w:t>
              </w:r>
            </w:hyperlink>
          </w:p>
        </w:tc>
      </w:tr>
      <w:tr>
        <w:trPr/>
        <w:tc>
          <w:tcPr>
            <w:tcW w:w="9764" w:type="dxa"/>
            <w:tcBorders/>
            <w:shd w:fill="auto" w:val="clear"/>
            <w:vAlign w:val="center"/>
          </w:tcPr>
          <w:p>
            <w:pPr>
              <w:pStyle w:val="TableContents"/>
              <w:spacing w:before="0" w:after="283"/>
              <w:ind w:left="200" w:right="0" w:hanging="0"/>
              <w:jc w:val="left"/>
              <w:rPr/>
            </w:pPr>
            <w:hyperlink w:anchor="tVD">
              <w:r>
                <w:rPr>
                  <w:rStyle w:val="InternetLink"/>
                  <w:rFonts w:ascii="Times New Roman;Times;serif" w:hAnsi="Times New Roman;Times;serif"/>
                  <w:color w:val="000000"/>
                  <w:sz w:val="20"/>
                </w:rPr>
                <w:t>Vote Required</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VD">
              <w:r>
                <w:rPr>
                  <w:rStyle w:val="InternetLink"/>
                  <w:rFonts w:ascii="Times New Roman;Times;serif" w:hAnsi="Times New Roman;Times;serif"/>
                  <w:color w:val="000000"/>
                  <w:sz w:val="20"/>
                </w:rPr>
                <w:t>34</w:t>
              </w:r>
            </w:hyperlink>
          </w:p>
        </w:tc>
      </w:tr>
      <w:tr>
        <w:trPr/>
        <w:tc>
          <w:tcPr>
            <w:tcW w:w="9764" w:type="dxa"/>
            <w:tcBorders/>
            <w:shd w:fill="CCEEFF" w:val="clear"/>
            <w:vAlign w:val="center"/>
          </w:tcPr>
          <w:p>
            <w:pPr>
              <w:pStyle w:val="TableContents"/>
              <w:spacing w:before="0" w:after="283"/>
              <w:ind w:left="200" w:right="0" w:hanging="0"/>
              <w:jc w:val="left"/>
              <w:rPr/>
            </w:pPr>
            <w:hyperlink w:anchor="tBC">
              <w:r>
                <w:rPr>
                  <w:rStyle w:val="InternetLink"/>
                  <w:rFonts w:ascii="Times New Roman;Times;serif" w:hAnsi="Times New Roman;Times;serif"/>
                  <w:color w:val="000000"/>
                  <w:sz w:val="20"/>
                </w:rPr>
                <w:t>Board Recommendation</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BC">
              <w:r>
                <w:rPr>
                  <w:rStyle w:val="InternetLink"/>
                  <w:rFonts w:ascii="Times New Roman;Times;serif" w:hAnsi="Times New Roman;Times;serif"/>
                  <w:color w:val="000000"/>
                  <w:sz w:val="20"/>
                </w:rPr>
                <w:t>34</w:t>
              </w:r>
            </w:hyperlink>
          </w:p>
        </w:tc>
      </w:tr>
      <w:tr>
        <w:trPr/>
        <w:tc>
          <w:tcPr>
            <w:tcW w:w="9764" w:type="dxa"/>
            <w:tcBorders/>
            <w:shd w:fill="auto" w:val="clear"/>
            <w:vAlign w:val="center"/>
          </w:tcPr>
          <w:p>
            <w:pPr>
              <w:pStyle w:val="TableContents"/>
              <w:spacing w:before="0" w:after="283"/>
              <w:ind w:left="200" w:right="0" w:hanging="200"/>
              <w:jc w:val="left"/>
              <w:rPr/>
            </w:pPr>
            <w:hyperlink w:anchor="tPRI">
              <w:r>
                <w:rPr>
                  <w:rStyle w:val="InternetLink"/>
                  <w:rFonts w:ascii="Times New Roman;Times;serif" w:hAnsi="Times New Roman;Times;serif"/>
                  <w:color w:val="000000"/>
                  <w:sz w:val="20"/>
                </w:rPr>
                <w:t>PROPOSAL NO. 3: RATIFICATION OF APPOINTMENT OF INDEPENDENT REGISTERED PUBLIC ACCOUNTING FIRM</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PRI">
              <w:r>
                <w:rPr>
                  <w:rStyle w:val="InternetLink"/>
                  <w:rFonts w:ascii="Times New Roman;Times;serif" w:hAnsi="Times New Roman;Times;serif"/>
                  <w:color w:val="000000"/>
                  <w:sz w:val="20"/>
                </w:rPr>
                <w:t>35</w:t>
              </w:r>
            </w:hyperlink>
          </w:p>
        </w:tc>
      </w:tr>
      <w:tr>
        <w:trPr/>
        <w:tc>
          <w:tcPr>
            <w:tcW w:w="9764" w:type="dxa"/>
            <w:tcBorders/>
            <w:shd w:fill="CCEEFF" w:val="clear"/>
            <w:vAlign w:val="center"/>
          </w:tcPr>
          <w:p>
            <w:pPr>
              <w:pStyle w:val="TableContents"/>
              <w:spacing w:before="0" w:after="283"/>
              <w:ind w:left="200" w:right="0" w:hanging="0"/>
              <w:jc w:val="left"/>
              <w:rPr/>
            </w:pPr>
            <w:hyperlink w:anchor="tAAR">
              <w:r>
                <w:rPr>
                  <w:rStyle w:val="InternetLink"/>
                  <w:rFonts w:ascii="Times New Roman;Times;serif" w:hAnsi="Times New Roman;Times;serif"/>
                  <w:color w:val="000000"/>
                  <w:sz w:val="20"/>
                </w:rPr>
                <w:t>Audit and Audit-Related Fees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AAR">
              <w:r>
                <w:rPr>
                  <w:rStyle w:val="InternetLink"/>
                  <w:rFonts w:ascii="Times New Roman;Times;serif" w:hAnsi="Times New Roman;Times;serif"/>
                  <w:color w:val="000000"/>
                  <w:sz w:val="20"/>
                </w:rPr>
                <w:t>35</w:t>
              </w:r>
            </w:hyperlink>
          </w:p>
        </w:tc>
      </w:tr>
      <w:tr>
        <w:trPr/>
        <w:tc>
          <w:tcPr>
            <w:tcW w:w="9764" w:type="dxa"/>
            <w:tcBorders/>
            <w:shd w:fill="auto" w:val="clear"/>
            <w:vAlign w:val="center"/>
          </w:tcPr>
          <w:p>
            <w:pPr>
              <w:pStyle w:val="TableContents"/>
              <w:spacing w:before="0" w:after="283"/>
              <w:ind w:left="200" w:right="0" w:hanging="0"/>
              <w:jc w:val="left"/>
              <w:rPr/>
            </w:pPr>
            <w:hyperlink w:anchor="tAE">
              <w:r>
                <w:rPr>
                  <w:rStyle w:val="InternetLink"/>
                  <w:rFonts w:ascii="Times New Roman;Times;serif" w:hAnsi="Times New Roman;Times;serif"/>
                  <w:color w:val="000000"/>
                  <w:sz w:val="20"/>
                </w:rPr>
                <w:t>Auditor Independence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AE">
              <w:r>
                <w:rPr>
                  <w:rStyle w:val="InternetLink"/>
                  <w:rFonts w:ascii="Times New Roman;Times;serif" w:hAnsi="Times New Roman;Times;serif"/>
                  <w:color w:val="000000"/>
                  <w:sz w:val="20"/>
                </w:rPr>
                <w:t>35</w:t>
              </w:r>
            </w:hyperlink>
          </w:p>
        </w:tc>
      </w:tr>
      <w:tr>
        <w:trPr/>
        <w:tc>
          <w:tcPr>
            <w:tcW w:w="9764" w:type="dxa"/>
            <w:tcBorders/>
            <w:shd w:fill="CCEEFF" w:val="clear"/>
            <w:vAlign w:val="center"/>
          </w:tcPr>
          <w:p>
            <w:pPr>
              <w:pStyle w:val="TableContents"/>
              <w:spacing w:before="0" w:after="283"/>
              <w:ind w:left="400" w:right="0" w:hanging="200"/>
              <w:jc w:val="left"/>
              <w:rPr/>
            </w:pPr>
            <w:hyperlink w:anchor="tACP">
              <w:r>
                <w:rPr>
                  <w:rStyle w:val="InternetLink"/>
                  <w:rFonts w:ascii="Times New Roman;Times;serif" w:hAnsi="Times New Roman;Times;serif"/>
                  <w:color w:val="000000"/>
                  <w:sz w:val="20"/>
                </w:rPr>
                <w:t>Audit Committee Policy on Pre-Approval of Audit and Permissible Non-Audit Services of Independent Registered Public Accounting Firm</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ACP">
              <w:r>
                <w:rPr>
                  <w:rStyle w:val="InternetLink"/>
                  <w:rFonts w:ascii="Times New Roman;Times;serif" w:hAnsi="Times New Roman;Times;serif"/>
                  <w:color w:val="000000"/>
                  <w:sz w:val="20"/>
                </w:rPr>
                <w:t>35</w:t>
              </w:r>
            </w:hyperlink>
          </w:p>
        </w:tc>
      </w:tr>
      <w:tr>
        <w:trPr/>
        <w:tc>
          <w:tcPr>
            <w:tcW w:w="9764" w:type="dxa"/>
            <w:tcBorders/>
            <w:shd w:fill="auto" w:val="clear"/>
            <w:vAlign w:val="center"/>
          </w:tcPr>
          <w:p>
            <w:pPr>
              <w:pStyle w:val="TableContents"/>
              <w:spacing w:before="0" w:after="283"/>
              <w:ind w:left="200" w:right="0" w:hanging="0"/>
              <w:jc w:val="left"/>
              <w:rPr/>
            </w:pPr>
            <w:hyperlink w:anchor="tVQ">
              <w:r>
                <w:rPr>
                  <w:rStyle w:val="InternetLink"/>
                  <w:rFonts w:ascii="Times New Roman;Times;serif" w:hAnsi="Times New Roman;Times;serif"/>
                  <w:color w:val="000000"/>
                  <w:sz w:val="20"/>
                </w:rPr>
                <w:t>Vote Required</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VQ">
              <w:r>
                <w:rPr>
                  <w:rStyle w:val="InternetLink"/>
                  <w:rFonts w:ascii="Times New Roman;Times;serif" w:hAnsi="Times New Roman;Times;serif"/>
                  <w:color w:val="000000"/>
                  <w:sz w:val="20"/>
                </w:rPr>
                <w:t>35</w:t>
              </w:r>
            </w:hyperlink>
          </w:p>
        </w:tc>
      </w:tr>
      <w:tr>
        <w:trPr/>
        <w:tc>
          <w:tcPr>
            <w:tcW w:w="9764" w:type="dxa"/>
            <w:tcBorders/>
            <w:shd w:fill="CCEEFF" w:val="clear"/>
            <w:vAlign w:val="center"/>
          </w:tcPr>
          <w:p>
            <w:pPr>
              <w:pStyle w:val="TableContents"/>
              <w:spacing w:before="0" w:after="283"/>
              <w:ind w:left="200" w:right="0" w:hanging="0"/>
              <w:jc w:val="left"/>
              <w:rPr/>
            </w:pPr>
            <w:hyperlink w:anchor="tBI">
              <w:r>
                <w:rPr>
                  <w:rStyle w:val="InternetLink"/>
                  <w:rFonts w:ascii="Times New Roman;Times;serif" w:hAnsi="Times New Roman;Times;serif"/>
                  <w:color w:val="000000"/>
                  <w:sz w:val="20"/>
                </w:rPr>
                <w:t>Board Recommendation</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BI">
              <w:r>
                <w:rPr>
                  <w:rStyle w:val="InternetLink"/>
                  <w:rFonts w:ascii="Times New Roman;Times;serif" w:hAnsi="Times New Roman;Times;serif"/>
                  <w:color w:val="000000"/>
                  <w:sz w:val="20"/>
                </w:rPr>
                <w:t>35</w:t>
              </w:r>
            </w:hyperlink>
          </w:p>
        </w:tc>
      </w:tr>
      <w:tr>
        <w:trPr/>
        <w:tc>
          <w:tcPr>
            <w:tcW w:w="9764" w:type="dxa"/>
            <w:tcBorders/>
            <w:shd w:fill="auto" w:val="clear"/>
            <w:vAlign w:val="center"/>
          </w:tcPr>
          <w:p>
            <w:pPr>
              <w:pStyle w:val="TableContents"/>
              <w:spacing w:before="0" w:after="283"/>
              <w:ind w:left="0" w:right="0" w:hanging="0"/>
              <w:jc w:val="left"/>
              <w:rPr/>
            </w:pPr>
            <w:hyperlink w:anchor="tRTC">
              <w:r>
                <w:rPr>
                  <w:rStyle w:val="InternetLink"/>
                  <w:rFonts w:ascii="Times New Roman;Times;serif" w:hAnsi="Times New Roman;Times;serif"/>
                  <w:color w:val="000000"/>
                  <w:sz w:val="20"/>
                </w:rPr>
                <w:t>REPORT OF THE AUDIT COMMITTEE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RTC">
              <w:r>
                <w:rPr>
                  <w:rStyle w:val="InternetLink"/>
                  <w:rFonts w:ascii="Times New Roman;Times;serif" w:hAnsi="Times New Roman;Times;serif"/>
                  <w:color w:val="000000"/>
                  <w:sz w:val="20"/>
                </w:rPr>
                <w:t>36</w:t>
              </w:r>
            </w:hyperlink>
          </w:p>
        </w:tc>
      </w:tr>
      <w:tr>
        <w:trPr/>
        <w:tc>
          <w:tcPr>
            <w:tcW w:w="9764" w:type="dxa"/>
            <w:tcBorders/>
            <w:shd w:fill="CCEEFF" w:val="clear"/>
            <w:vAlign w:val="center"/>
          </w:tcPr>
          <w:p>
            <w:pPr>
              <w:pStyle w:val="TableContents"/>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OM">
              <w:r>
                <w:rPr>
                  <w:rStyle w:val="InternetLink"/>
                  <w:rFonts w:ascii="Times New Roman;Times;serif" w:hAnsi="Times New Roman;Times;serif"/>
                  <w:color w:val="000000"/>
                  <w:sz w:val="20"/>
                </w:rPr>
                <w:t>37</w:t>
              </w:r>
            </w:hyperlink>
          </w:p>
        </w:tc>
      </w:tr>
      <w:tr>
        <w:trPr/>
        <w:tc>
          <w:tcPr>
            <w:tcW w:w="9764" w:type="dxa"/>
            <w:tcBorders/>
            <w:shd w:fill="auto" w:val="clear"/>
            <w:vAlign w:val="center"/>
          </w:tcPr>
          <w:p>
            <w:pPr>
              <w:pStyle w:val="TableContents"/>
              <w:spacing w:before="0" w:after="283"/>
              <w:ind w:left="200" w:right="0" w:hanging="0"/>
              <w:jc w:val="left"/>
              <w:rPr/>
            </w:pPr>
            <w:hyperlink w:anchor="tSPN">
              <w:r>
                <w:rPr>
                  <w:rStyle w:val="InternetLink"/>
                  <w:rFonts w:ascii="Times New Roman;Times;serif" w:hAnsi="Times New Roman;Times;serif"/>
                  <w:color w:val="000000"/>
                  <w:sz w:val="20"/>
                </w:rPr>
                <w:t>Stockholder Proposals or Director Nominations for 2024 Annual Meeting</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SPN">
              <w:r>
                <w:rPr>
                  <w:rStyle w:val="InternetLink"/>
                  <w:rFonts w:ascii="Times New Roman;Times;serif" w:hAnsi="Times New Roman;Times;serif"/>
                  <w:color w:val="000000"/>
                  <w:sz w:val="20"/>
                </w:rPr>
                <w:t>37</w:t>
              </w:r>
            </w:hyperlink>
          </w:p>
        </w:tc>
      </w:tr>
      <w:tr>
        <w:trPr/>
        <w:tc>
          <w:tcPr>
            <w:tcW w:w="9764" w:type="dxa"/>
            <w:tcBorders/>
            <w:shd w:fill="CCEEFF" w:val="clear"/>
            <w:vAlign w:val="center"/>
          </w:tcPr>
          <w:p>
            <w:pPr>
              <w:pStyle w:val="TableContents"/>
              <w:spacing w:before="0" w:after="283"/>
              <w:ind w:left="200" w:right="0" w:hanging="0"/>
              <w:jc w:val="left"/>
              <w:rPr/>
            </w:pPr>
            <w:hyperlink w:anchor="tAAB">
              <w:r>
                <w:rPr>
                  <w:rStyle w:val="InternetLink"/>
                  <w:rFonts w:ascii="Times New Roman;Times;serif" w:hAnsi="Times New Roman;Times;serif"/>
                  <w:color w:val="000000"/>
                  <w:sz w:val="20"/>
                </w:rPr>
                <w:t>Availability of Amended and Restated Bylaws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64" w:right="0" w:hanging="0"/>
              <w:jc w:val="left"/>
              <w:rPr/>
            </w:pPr>
            <w:hyperlink w:anchor="tAAB">
              <w:r>
                <w:rPr>
                  <w:rStyle w:val="InternetLink"/>
                  <w:rFonts w:ascii="Times New Roman;Times;serif" w:hAnsi="Times New Roman;Times;serif"/>
                  <w:color w:val="000000"/>
                  <w:sz w:val="20"/>
                </w:rPr>
                <w:t>37</w:t>
              </w:r>
            </w:hyperlink>
          </w:p>
        </w:tc>
      </w:tr>
      <w:tr>
        <w:trPr/>
        <w:tc>
          <w:tcPr>
            <w:tcW w:w="9764" w:type="dxa"/>
            <w:tcBorders/>
            <w:shd w:fill="auto" w:val="clear"/>
            <w:vAlign w:val="center"/>
          </w:tcPr>
          <w:p>
            <w:pPr>
              <w:pStyle w:val="TableContents"/>
              <w:spacing w:before="0" w:after="283"/>
              <w:ind w:left="200" w:right="0" w:hanging="0"/>
              <w:jc w:val="left"/>
              <w:rPr/>
            </w:pPr>
            <w:hyperlink w:anchor="tAO">
              <w:r>
                <w:rPr>
                  <w:rStyle w:val="InternetLink"/>
                  <w:rFonts w:ascii="Times New Roman;Times;serif" w:hAnsi="Times New Roman;Times;serif"/>
                  <w:color w:val="000000"/>
                  <w:sz w:val="20"/>
                </w:rPr>
                <w:t>2022 Annual Report</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64" w:right="0" w:hanging="0"/>
              <w:jc w:val="left"/>
              <w:rPr/>
            </w:pPr>
            <w:hyperlink w:anchor="tAO">
              <w:r>
                <w:rPr>
                  <w:rStyle w:val="InternetLink"/>
                  <w:rFonts w:ascii="Times New Roman;Times;serif" w:hAnsi="Times New Roman;Times;serif"/>
                  <w:color w:val="000000"/>
                  <w:sz w:val="20"/>
                </w:rPr>
                <w:t>38</w:t>
              </w:r>
            </w:hyperlink>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 w:name="DSPFPageBreakArea3"/>
      <w:bookmarkStart w:id="22" w:name="DSPFPageBreakArea3"/>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 w:name="DSPFPageBreak3"/>
      <w:bookmarkStart w:id="24" w:name="DSPFPageBreak3"/>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5" w:name="ny20006675x1_def14a_104-qa_pg1"/>
        <w:bookmarkEnd w:id="2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PMV PHARMACEUTICALS,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One Research Way</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Princeton, New Jersey 08540</w:t>
      </w:r>
    </w:p>
    <w:p>
      <w:pPr>
        <w:pStyle w:val="TextBody"/>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w:t>
      </w:r>
    </w:p>
    <w:p>
      <w:pPr>
        <w:pStyle w:val="TextBody"/>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FOR 2023 ANNUAL MEETING OF STOCKHOLDERS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 be held at 10:00 am, Eastern, on Thursday, June 8, 2023</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information provided in the “question and answer” format below is for your convenience only and is merely a summary of the information contained in this proxy statement. You should read this entire proxy statement carefully.</w:t>
      </w:r>
    </w:p>
    <w:p>
      <w:pPr>
        <w:pStyle w:val="TextBody"/>
        <w:spacing w:before="240" w:after="283"/>
        <w:jc w:val="center"/>
        <w:rPr>
          <w:rFonts w:ascii="Times New Roman;Times;serif" w:hAnsi="Times New Roman;Times;serif"/>
          <w:b/>
          <w:color w:val="000000"/>
          <w:sz w:val="20"/>
        </w:rPr>
      </w:pPr>
      <w:bookmarkStart w:id="26" w:name="tQAA"/>
      <w:bookmarkEnd w:id="26"/>
      <w:r>
        <w:rPr>
          <w:rFonts w:ascii="Times New Roman;Times;serif" w:hAnsi="Times New Roman;Times;serif"/>
          <w:b/>
          <w:color w:val="000000"/>
          <w:sz w:val="20"/>
        </w:rPr>
        <w:t>QUESTIONS AND ANSWERS ABOUT THE PROXY MATERIALS AND OUR ANNUAL MEETING</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Why am I receiving these materials?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board of directors of PMV Pharmaceuticals, Inc., a Delaware corporation (“PMV Pharmaceuticals,” the “Company,” “we,” “us,” or “our”), has made these proxy materials available to you on the Internet or, upon your request, by delivering printed versions of these materials to you by mail, in connection with the solicitation of proxies for use at our 2023 Annual Meeting of Stockholders (the “Annual Meeting”) which will take place on Thursday, June 8, 2023 at 10:00 a.m., Eastern.</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Why did I receive a one-page notice in the mail regarding the Internet availability of proxy materials instead of a full set of printed proxy materials?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Pursuant to the “notice and access” rules adopted by the U.S. Securities and Exchange Commission (the “SEC”), we have elected to provide stockholders access to our proxy materials over the Internet. Accordingly, we sent a Notice of Internet Availability of Proxy Materials (the “Notice”) to all of our stockholders as of April 12, 2023 (the “Record Date”). The Notice includes instructions on how to access our proxy materials over the Internet and how to request a printed copy of these materials. Internet distribution of our proxy materials is designed to expedite receipt by stockholders, lower the cost of the Annual Meeting and conserve natural resources. However, if you would prefer to receive paper copies of proxy materials, please follow the instructions included in the Notice.</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proposals will be voted on at the Annual Meeting?</w:t>
      </w:r>
    </w:p>
    <w:p>
      <w:pPr>
        <w:pStyle w:val="TextBody"/>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stockholders to vote on the following proposals to:</w:t>
      </w:r>
    </w:p>
    <w:tbl>
      <w:tblPr>
        <w:tblW w:w="7540" w:type="dxa"/>
        <w:jc w:val="left"/>
        <w:tblInd w:w="0" w:type="dxa"/>
        <w:tblCellMar>
          <w:top w:w="0" w:type="dxa"/>
          <w:left w:w="0" w:type="dxa"/>
          <w:bottom w:w="0" w:type="dxa"/>
          <w:right w:w="0" w:type="dxa"/>
        </w:tblCellMar>
      </w:tblPr>
      <w:tblGrid>
        <w:gridCol w:w="110"/>
        <w:gridCol w:w="74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4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elect Richard Heyman, Ph.D., David H. Mack, Ph.D. and Laurie Stelzer as Class III directors;</w:t>
            </w:r>
          </w:p>
        </w:tc>
      </w:tr>
    </w:tbl>
    <w:tbl>
      <w:tblPr>
        <w:tblW w:w="7675" w:type="dxa"/>
        <w:jc w:val="left"/>
        <w:tblInd w:w="0" w:type="dxa"/>
        <w:tblCellMar>
          <w:top w:w="0" w:type="dxa"/>
          <w:left w:w="0" w:type="dxa"/>
          <w:bottom w:w="0" w:type="dxa"/>
          <w:right w:w="0" w:type="dxa"/>
        </w:tblCellMar>
      </w:tblPr>
      <w:tblGrid>
        <w:gridCol w:w="110"/>
        <w:gridCol w:w="75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5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approve, on a non-binding advisory basis, the compensation of our named executive officers;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ratify the appointment of Ernst &amp; Young LLP as our independent registered public accounting firm for the fiscal year ending December 31, 2023; and</w:t>
            </w:r>
          </w:p>
        </w:tc>
      </w:tr>
    </w:tbl>
    <w:tbl>
      <w:tblPr>
        <w:tblW w:w="6400" w:type="dxa"/>
        <w:jc w:val="left"/>
        <w:tblInd w:w="0" w:type="dxa"/>
        <w:tblCellMar>
          <w:top w:w="0" w:type="dxa"/>
          <w:left w:w="0" w:type="dxa"/>
          <w:bottom w:w="0" w:type="dxa"/>
          <w:right w:w="0" w:type="dxa"/>
        </w:tblCellMar>
      </w:tblPr>
      <w:tblGrid>
        <w:gridCol w:w="110"/>
        <w:gridCol w:w="62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2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transact any other business as may properly come before the Annual Meeting.</w:t>
            </w:r>
          </w:p>
        </w:tc>
      </w:tr>
    </w:tbl>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 does the board of directors recommend that I vote on these proposals?</w:t>
      </w:r>
    </w:p>
    <w:p>
      <w:pPr>
        <w:pStyle w:val="TextBody"/>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recommends that you vote your shares:</w:t>
      </w:r>
    </w:p>
    <w:tbl>
      <w:tblPr>
        <w:tblW w:w="8935" w:type="dxa"/>
        <w:jc w:val="left"/>
        <w:tblInd w:w="0" w:type="dxa"/>
        <w:tblCellMar>
          <w:top w:w="0" w:type="dxa"/>
          <w:left w:w="0" w:type="dxa"/>
          <w:bottom w:w="0" w:type="dxa"/>
          <w:right w:w="0" w:type="dxa"/>
        </w:tblCellMar>
      </w:tblPr>
      <w:tblGrid>
        <w:gridCol w:w="110"/>
        <w:gridCol w:w="88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82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FOR” the election of Richard Heyman, Ph.D., David H. Mack, Ph.D. and Laurie Stelzer as Class III directors;</w:t>
            </w:r>
          </w:p>
        </w:tc>
      </w:tr>
    </w:tbl>
    <w:tbl>
      <w:tblPr>
        <w:tblW w:w="6460" w:type="dxa"/>
        <w:jc w:val="left"/>
        <w:tblInd w:w="0" w:type="dxa"/>
        <w:tblCellMar>
          <w:top w:w="0" w:type="dxa"/>
          <w:left w:w="0" w:type="dxa"/>
          <w:bottom w:w="0" w:type="dxa"/>
          <w:right w:w="0" w:type="dxa"/>
        </w:tblCellMar>
      </w:tblPr>
      <w:tblGrid>
        <w:gridCol w:w="110"/>
        <w:gridCol w:w="635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350"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FOR” the approval of the compensation of our named executive officers;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FOR” the ratification of the appointment of Ernst &amp; Young LLP as our independent registered public accounting firm for our fiscal year ending December 31, 2023.</w:t>
            </w:r>
          </w:p>
        </w:tc>
      </w:tr>
    </w:tbl>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Who is entitled to vote at the Annual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Holders of our common stock as of the Record Date are entitled to receive the Notice and may vote their shares at the Annual Meeting. As of the Record Date, there were 45,774,761 shares of our common stock outstanding. Each share of common stock is entitled to one vote on each matter properly brought before the Annual Meeting. Stockholders are not permitted to cumulate votes with respect to the election of directors.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 w:name="DSPFPageBreakArea4"/>
      <w:bookmarkStart w:id="28" w:name="DSPFPageBreakArea4"/>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 w:name="DSPFPageBreak4"/>
      <w:bookmarkStart w:id="30" w:name="DSPFPageBreak4"/>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1" w:name="ny20006675x1_def14a_104-qa_pg2"/>
        <w:bookmarkEnd w:id="3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is the difference between holding shares as a stockholder of record and as a beneficial owner?</w:t>
      </w:r>
    </w:p>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Stockholders of Record</w:t>
      </w:r>
      <w:r>
        <w:rPr>
          <w:rFonts w:ascii="Times New Roman;Times;serif" w:hAnsi="Times New Roman;Times;serif"/>
          <w:i w:val="false"/>
          <w:caps w:val="false"/>
          <w:smallCaps w:val="false"/>
          <w:color w:val="000000"/>
          <w:sz w:val="20"/>
        </w:rPr>
        <w:t>. If your shares are registered directly in your name with our transfer agent, American Stock Transfer &amp; Trust Company, LLC, then you are considered the stockholder of record with respect to those shares, and the Notice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Street Name Stockholders</w:t>
      </w:r>
      <w:r>
        <w:rPr>
          <w:rFonts w:ascii="Times New Roman;Times;serif" w:hAnsi="Times New Roman;Times;serif"/>
          <w:i w:val="false"/>
          <w:caps w:val="false"/>
          <w:smallCaps w:val="false"/>
          <w:color w:val="000000"/>
          <w:sz w:val="20"/>
        </w:rPr>
        <w:t>. If your shares are held in a brokerage account or by a broker, bank or other nominee, then you are considered the “beneficial owner” of shares held in street name, and the Notice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 can I vote my shares?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instructions for accessing proxy materials and voting can be found in the Notice that you received either by mail or e-mail. In order to access proxy materials and vote, you will need the control number provided on the Notice. There are four ways a stockholder of record can vote:</w:t>
      </w:r>
    </w:p>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8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By Internet</w:t>
            </w:r>
            <w:r>
              <w:rPr>
                <w:rFonts w:ascii="Times New Roman;Times;serif" w:hAnsi="Times New Roman;Times;serif"/>
                <w:color w:val="000000"/>
                <w:sz w:val="20"/>
              </w:rPr>
              <w:t>: You may vote over the Internet by following the instructions provided in the Notice or if you requested printed copies of proxy materials, the instructions provided in the proxy card.</w:t>
            </w:r>
          </w:p>
        </w:tc>
      </w:tr>
    </w:tbl>
    <w:tbl>
      <w:tblPr>
        <w:tblW w:w="10205" w:type="dxa"/>
        <w:jc w:val="left"/>
        <w:tblInd w:w="0" w:type="dxa"/>
        <w:tblCellMar>
          <w:top w:w="0" w:type="dxa"/>
          <w:left w:w="0" w:type="dxa"/>
          <w:bottom w:w="0" w:type="dxa"/>
          <w:right w:w="0" w:type="dxa"/>
        </w:tblCellMar>
      </w:tblPr>
      <w:tblGrid>
        <w:gridCol w:w="224"/>
        <w:gridCol w:w="9981"/>
      </w:tblGrid>
      <w:tr>
        <w:trPr/>
        <w:tc>
          <w:tcPr>
            <w:tcW w:w="22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8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By Telephone</w:t>
            </w:r>
            <w:r>
              <w:rPr>
                <w:rFonts w:ascii="Times New Roman;Times;serif" w:hAnsi="Times New Roman;Times;serif"/>
                <w:color w:val="000000"/>
                <w:sz w:val="20"/>
              </w:rPr>
              <w:t>: You can vote by telephone by following the instructions in the Notice or if you requested printed copies of proxy materials, the instructions provided in the proxy card.</w:t>
            </w:r>
          </w:p>
        </w:tc>
      </w:tr>
    </w:tbl>
    <w:tbl>
      <w:tblPr>
        <w:tblW w:w="10205" w:type="dxa"/>
        <w:jc w:val="left"/>
        <w:tblInd w:w="0" w:type="dxa"/>
        <w:tblCellMar>
          <w:top w:w="0" w:type="dxa"/>
          <w:left w:w="0" w:type="dxa"/>
          <w:bottom w:w="0" w:type="dxa"/>
          <w:right w:w="0" w:type="dxa"/>
        </w:tblCellMar>
      </w:tblPr>
      <w:tblGrid>
        <w:gridCol w:w="238"/>
        <w:gridCol w:w="9967"/>
      </w:tblGrid>
      <w:tr>
        <w:trPr/>
        <w:tc>
          <w:tcPr>
            <w:tcW w:w="23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6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By Mail</w:t>
            </w:r>
            <w:r>
              <w:rPr>
                <w:rFonts w:ascii="Times New Roman;Times;serif" w:hAnsi="Times New Roman;Times;serif"/>
                <w:color w:val="000000"/>
                <w:sz w:val="20"/>
              </w:rPr>
              <w:t>: If you requested printed copies of proxy materials, you can vote by mailing your proxy card as described in the proxy materials.</w:t>
            </w:r>
          </w:p>
        </w:tc>
      </w:tr>
    </w:tbl>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During the meeting</w:t>
            </w:r>
            <w:r>
              <w:rPr>
                <w:rFonts w:ascii="Times New Roman;Times;serif" w:hAnsi="Times New Roman;Times;serif"/>
                <w:color w:val="000000"/>
                <w:sz w:val="20"/>
              </w:rPr>
              <w:t>: If you are a stockholder as of the Record Date, you may vote online during the Annual Meeting, follow the provided instructions to join the Annual Meeting at www.virtualshareholdermeeting.com/PMVP2023, starting at 10:00 a.m., Eastern, on Thursday, June 8, 2023. The webcast will open 15 minutes before the start of the Annual Meeting. Submitting a proxy will not prevent a stockholder from attending the Annual Meeting, revoking their earlier-submitted proxy, and voting in person. You may also be represented by another person at the Annual Meeting by executing a legal proxy designating that person.</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order to be counted, proxies submitted by telephone or Internet must be received by 11:59 p.m., Eastern, on Wednesday, June 7, 2023. If you vote by telephone or Internet, you do not need to return your proxy card or voting instruction card. Proxies submitted by mail must be received before the start of the virtual Annual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are a street name stockholder, then you will receive voting instructions from your broker, bank or other nominee. The availability of telephone or Internet voting options will depend on the voting process of your broker, bank or other nominee. We therefore recommend that you follow the voting instructions in the materials you receive. If your voting instruction form or the Notice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obtain a legal proxy from your broker, bank or other nominee. All shares that have been properly voted and not revoked will be cast as votes at the Annual Meeting.</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happens if I decide to attend the virtual Annual Meeting, but I have already voted or submitted a proxy covering my shares?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may still attend the virtual Annual Meeting. Please be aware that attendance at the Annual Meeting will not, by itself, revoke a proxy. </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Where will the Annual Meeting be held?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Annual Meeting will be a completely “virtual meeting” of shareholders. You will be able to attend the Annual Meeting, vote and submit your questions during the Annual Meeting via live webcast by visiting www.virtualshareholdermeeting.com/PMVP2023.</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 w:name="DSPFPageBreakArea5"/>
      <w:bookmarkStart w:id="33" w:name="DSPFPageBreakArea5"/>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4" w:name="DSPFPageBreak5"/>
      <w:bookmarkStart w:id="35" w:name="DSPFPageBreak5"/>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6" w:name="ny20006675x1_def14a_104-qa_pg3"/>
        <w:bookmarkEnd w:id="3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Why is the Annual Meeting a virtual, online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decided to hold the Annual Meeting virtually this year and there will not be a physical location for attending the 2023 Annual Meeting. We believe that by conducting our Annual Meeting solely online via the Internet, we eliminate many of the costs associated with a physical meeting. We also anticipate that a virtual meeting will provide greater accessibility for stockholders, encourage stockholder participation from around the world, and improve our ability to communicate more effectively with our stockholders, all while reducing the environmental impact of the Annual Meeting.</w:t>
      </w:r>
    </w:p>
    <w:p>
      <w:pPr>
        <w:pStyle w:val="TextBody"/>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is the quorum requirement for the Annual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quorum is the minimum number of shares required to be present or represented at the Annual Meeting for the meeting to be properly held under our amended and restated bylaws and Delaware law. The presence, in person (including virtually)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If there is no quorum, the chairperson of the meeting may adjourn the meeting to another time or place.</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if I do not specify how my shares are to be voted or fail to provide timely directions to my broker, bank or other nominee?</w:t>
      </w:r>
    </w:p>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Stockholder of Record</w:t>
      </w:r>
      <w:r>
        <w:rPr>
          <w:rFonts w:ascii="Times New Roman;Times;serif" w:hAnsi="Times New Roman;Times;serif"/>
          <w:i w:val="false"/>
          <w:caps w:val="false"/>
          <w:smallCaps w:val="false"/>
          <w:color w:val="000000"/>
          <w:sz w:val="20"/>
        </w:rPr>
        <w:t>. If you are a stockholder of record and you submit a proxy, but you do not provide voting instructions, your shares will be voted:</w:t>
      </w:r>
    </w:p>
    <w:tbl>
      <w:tblPr>
        <w:tblW w:w="7090" w:type="dxa"/>
        <w:jc w:val="left"/>
        <w:tblInd w:w="0" w:type="dxa"/>
        <w:tblCellMar>
          <w:top w:w="0" w:type="dxa"/>
          <w:left w:w="0" w:type="dxa"/>
          <w:bottom w:w="0" w:type="dxa"/>
          <w:right w:w="0" w:type="dxa"/>
        </w:tblCellMar>
      </w:tblPr>
      <w:tblGrid>
        <w:gridCol w:w="110"/>
        <w:gridCol w:w="698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980"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xml:space="preserve">” the election of each Class III director nominee named in this proxy statement; </w:t>
            </w:r>
          </w:p>
        </w:tc>
      </w:tr>
    </w:tbl>
    <w:tbl>
      <w:tblPr>
        <w:tblW w:w="5215" w:type="dxa"/>
        <w:jc w:val="left"/>
        <w:tblInd w:w="0" w:type="dxa"/>
        <w:tblCellMar>
          <w:top w:w="0" w:type="dxa"/>
          <w:left w:w="0" w:type="dxa"/>
          <w:bottom w:w="0" w:type="dxa"/>
          <w:right w:w="0" w:type="dxa"/>
        </w:tblCellMar>
      </w:tblPr>
      <w:tblGrid>
        <w:gridCol w:w="110"/>
        <w:gridCol w:w="51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10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the compensation of our named executive officers;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the ratification of the appointment of Ernst &amp; Young LLP as our independent registered public accounting firm for our fiscal year ending December 31, 2023.</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addition, if any other matters are properly brought before the Annual Meeting, the persons named as proxies will be authorized to vote or otherwise act on those matters in accordance with their judgment.</w:t>
      </w:r>
    </w:p>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Street Name Stockholders</w:t>
      </w:r>
      <w:r>
        <w:rPr>
          <w:rFonts w:ascii="Times New Roman;Times;serif" w:hAnsi="Times New Roman;Times;serif"/>
          <w:i w:val="false"/>
          <w:caps w:val="false"/>
          <w:smallCaps w:val="false"/>
          <w:color w:val="000000"/>
          <w:sz w:val="20"/>
        </w:rPr>
        <w:t>.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the proposal to ratify the appointment of Ernst &amp; Young LLP as our independent registered public accounting firm for our fiscal year ending December 31, 2023.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Can I change my vote or revoke my proxy?</w:t>
      </w:r>
    </w:p>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Stockholder of Record</w:t>
      </w:r>
      <w:r>
        <w:rPr>
          <w:rFonts w:ascii="Times New Roman;Times;serif" w:hAnsi="Times New Roman;Times;serif"/>
          <w:i w:val="false"/>
          <w:caps w:val="false"/>
          <w:smallCaps w:val="false"/>
          <w:color w:val="000000"/>
          <w:sz w:val="20"/>
        </w:rPr>
        <w:t>. If you are a stockholder of record, you can change your vote or revoke your proxy before the Annual Meeting by:</w:t>
      </w:r>
    </w:p>
    <w:tbl>
      <w:tblPr>
        <w:tblW w:w="9565" w:type="dxa"/>
        <w:jc w:val="left"/>
        <w:tblInd w:w="0" w:type="dxa"/>
        <w:tblCellMar>
          <w:top w:w="0" w:type="dxa"/>
          <w:left w:w="0" w:type="dxa"/>
          <w:bottom w:w="0" w:type="dxa"/>
          <w:right w:w="0" w:type="dxa"/>
        </w:tblCellMar>
      </w:tblPr>
      <w:tblGrid>
        <w:gridCol w:w="110"/>
        <w:gridCol w:w="94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4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entering a new vote by Internet or telephone (subject to the applicable deadlines for each method as set forth above);</w:t>
            </w:r>
          </w:p>
        </w:tc>
      </w:tr>
    </w:tbl>
    <w:tbl>
      <w:tblPr>
        <w:tblW w:w="8755" w:type="dxa"/>
        <w:jc w:val="left"/>
        <w:tblInd w:w="0" w:type="dxa"/>
        <w:tblCellMar>
          <w:top w:w="0" w:type="dxa"/>
          <w:left w:w="0" w:type="dxa"/>
          <w:bottom w:w="0" w:type="dxa"/>
          <w:right w:w="0" w:type="dxa"/>
        </w:tblCellMar>
      </w:tblPr>
      <w:tblGrid>
        <w:gridCol w:w="110"/>
        <w:gridCol w:w="86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6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completing and returning a later-dated proxy card, which must be received prior to the Annual Meeting; or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delivering a written notice of revocation to our corporate secretary at PMV Pharmaceuticals, Inc., One Research Way Princeton, New Jersey 08540, Attention: Corporate Secretary, which must be received prior to the Annual Meeting.</w:t>
            </w:r>
          </w:p>
        </w:tc>
      </w:tr>
    </w:tbl>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Street Name Stockholders</w:t>
      </w:r>
      <w:r>
        <w:rPr>
          <w:rFonts w:ascii="Times New Roman;Times;serif" w:hAnsi="Times New Roman;Times;serif"/>
          <w:i w:val="false"/>
          <w:caps w:val="false"/>
          <w:smallCaps w:val="false"/>
          <w:color w:val="000000"/>
          <w:sz w:val="20"/>
        </w:rPr>
        <w:t>. If you are a street name stockholder, then your broker, bank or other nominee can provide you with instructions on how to change or revoke your proxy.</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7" w:name="DSPFPageBreakArea6"/>
      <w:bookmarkStart w:id="38" w:name="DSPFPageBreakArea6"/>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9" w:name="DSPFPageBreak6"/>
      <w:bookmarkStart w:id="40" w:name="DSPFPageBreak6"/>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1" w:name="ny20006675x1_def14a_104-qa_pg4"/>
        <w:bookmarkEnd w:id="4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if I have technical difficulties or trouble accessing the virtual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on the Annual Meeting log-in page. Technical support will be available starting at 9:30 a.m., Eastern, on Thursday, June 8, 2023.</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 do I attend, participate in, and ask questions during the virtual Annual Meeting online?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will be hosting the Annual Meeting via live webcast only. Any stockholder can attend the virtual Annual Meeting live online at www.virtualshareholdermeeting.com/PMVP2023. The meeting will start at 10:00 a.m., Eastern, on Thursday, June 8, 2023. Stockholders attending the virtual Annual Meeting will be afforded the same rights and opportunities to participate as they would at an in-person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order to enter the Annual Meeting, you will need the 16-digit control number, which is included in the Notice or on your proxy card if you are a stockholder of record of shares of common stock, or included with your voting instruction card and voting instructions received from your broker, bank or other agent if you hold your shares of common stock in a “street name.” Shares held in your name as the shareholder of record may be voted electronically during the Annual Meeting. Shares for which you are the beneficial owner but not the shareholder of record also may be voted electronically during the Annual Meeting. Even if you plan to attend the Annual Meeting online, we recommend that you also vote by proxy as described above so that your vote will be counted if you later decide not to attend the Annual Meeting. We urge you to submit your proxy as soon as possible. We recommend that you log in before 10:00 a.m., Eastern, to ensure you are logged in when the Annual Meeting starts. Online check-in will begin at 9:45 a.m., Eastern, and you should also allow ample time for the online check-in procedures.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would like to submit a question during the Annual Meeting, you may log in at www.virtualshareholdermeeting.com/PMVP2023 using your 16-digit control number, click on the “</w:t>
      </w:r>
      <w:r>
        <w:rPr>
          <w:rFonts w:ascii="Times New Roman;Times;serif" w:hAnsi="Times New Roman;Times;serif"/>
          <w:b/>
          <w:i/>
          <w:color w:val="000000"/>
          <w:sz w:val="20"/>
        </w:rPr>
        <w:t>Q&amp;A</w:t>
      </w:r>
      <w:r>
        <w:rPr>
          <w:rFonts w:ascii="Times New Roman;Times;serif" w:hAnsi="Times New Roman;Times;serif"/>
          <w:color w:val="000000"/>
          <w:sz w:val="20"/>
        </w:rPr>
        <w:t>” button to open the panel, enter your question in the field labelled “</w:t>
      </w:r>
      <w:r>
        <w:rPr>
          <w:rFonts w:ascii="Times New Roman;Times;serif" w:hAnsi="Times New Roman;Times;serif"/>
          <w:b/>
          <w:i/>
          <w:color w:val="000000"/>
          <w:sz w:val="20"/>
        </w:rPr>
        <w:t>ASK a question</w:t>
      </w:r>
      <w:r>
        <w:rPr>
          <w:rFonts w:ascii="Times New Roman;Times;serif" w:hAnsi="Times New Roman;Times;serif"/>
          <w:color w:val="000000"/>
          <w:sz w:val="20"/>
        </w:rPr>
        <w:t>” and click “</w:t>
      </w:r>
      <w:r>
        <w:rPr>
          <w:rFonts w:ascii="Times New Roman;Times;serif" w:hAnsi="Times New Roman;Times;serif"/>
          <w:b/>
          <w:i/>
          <w:color w:val="000000"/>
          <w:sz w:val="20"/>
        </w:rPr>
        <w:t>SUBMIT</w:t>
      </w:r>
      <w:r>
        <w:rPr>
          <w:rFonts w:ascii="Times New Roman;Times;serif" w:hAnsi="Times New Roman;Times;serif"/>
          <w:color w:val="000000"/>
          <w:sz w:val="20"/>
        </w:rPr>
        <w: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You may submit questions and comments electronically through the meeting portal or by calling the toll-free number listed there during the Annual Meeting.</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Only stockholders of record as of the Record Date for the Annual Meeting and their proxy holders may submit questions or comments.</w:t>
            </w:r>
          </w:p>
        </w:tc>
      </w:tr>
    </w:tbl>
    <w:tbl>
      <w:tblPr>
        <w:tblW w:w="7975" w:type="dxa"/>
        <w:jc w:val="left"/>
        <w:tblInd w:w="0" w:type="dxa"/>
        <w:tblCellMar>
          <w:top w:w="0" w:type="dxa"/>
          <w:left w:w="0" w:type="dxa"/>
          <w:bottom w:w="0" w:type="dxa"/>
          <w:right w:w="0" w:type="dxa"/>
        </w:tblCellMar>
      </w:tblPr>
      <w:tblGrid>
        <w:gridCol w:w="110"/>
        <w:gridCol w:w="78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8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Please direct all questions to David H. Mack, our President, Chief Executive Officer and Director.</w:t>
            </w:r>
          </w:p>
        </w:tc>
      </w:tr>
    </w:tbl>
    <w:tbl>
      <w:tblPr>
        <w:tblW w:w="7345" w:type="dxa"/>
        <w:jc w:val="left"/>
        <w:tblInd w:w="0" w:type="dxa"/>
        <w:tblCellMar>
          <w:top w:w="0" w:type="dxa"/>
          <w:left w:w="0" w:type="dxa"/>
          <w:bottom w:w="0" w:type="dxa"/>
          <w:right w:w="0" w:type="dxa"/>
        </w:tblCellMar>
      </w:tblPr>
      <w:tblGrid>
        <w:gridCol w:w="110"/>
        <w:gridCol w:w="72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2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Please include your name and affiliation, if any, when submitting a question or comment.</w:t>
            </w:r>
          </w:p>
        </w:tc>
      </w:tr>
    </w:tbl>
    <w:tbl>
      <w:tblPr>
        <w:tblW w:w="9205" w:type="dxa"/>
        <w:jc w:val="left"/>
        <w:tblInd w:w="0" w:type="dxa"/>
        <w:tblCellMar>
          <w:top w:w="0" w:type="dxa"/>
          <w:left w:w="0" w:type="dxa"/>
          <w:bottom w:w="0" w:type="dxa"/>
          <w:right w:w="0" w:type="dxa"/>
        </w:tblCellMar>
      </w:tblPr>
      <w:tblGrid>
        <w:gridCol w:w="110"/>
        <w:gridCol w:w="9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Limit your remarks to one brief question or comment that is relevant to the Annual Meeting and/or our business.</w:t>
            </w:r>
          </w:p>
        </w:tc>
      </w:tr>
    </w:tbl>
    <w:tbl>
      <w:tblPr>
        <w:tblW w:w="4705" w:type="dxa"/>
        <w:jc w:val="left"/>
        <w:tblInd w:w="0" w:type="dxa"/>
        <w:tblCellMar>
          <w:top w:w="0" w:type="dxa"/>
          <w:left w:w="0" w:type="dxa"/>
          <w:bottom w:w="0" w:type="dxa"/>
          <w:right w:w="0" w:type="dxa"/>
        </w:tblCellMar>
      </w:tblPr>
      <w:tblGrid>
        <w:gridCol w:w="110"/>
        <w:gridCol w:w="45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5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Questions may be grouped by topic by our management.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Questions may also be ruled as out of order if they are, among other things, irrelevant to our business, related to pending or threatened litigation, disorderly, repetitious of statements already made, or in furtherance of the speaker’s own personal, political or business interests.</w:t>
            </w:r>
          </w:p>
        </w:tc>
      </w:tr>
    </w:tbl>
    <w:tbl>
      <w:tblPr>
        <w:tblW w:w="6235" w:type="dxa"/>
        <w:jc w:val="left"/>
        <w:tblInd w:w="0" w:type="dxa"/>
        <w:tblCellMar>
          <w:top w:w="0" w:type="dxa"/>
          <w:left w:w="0" w:type="dxa"/>
          <w:bottom w:w="0" w:type="dxa"/>
          <w:right w:w="0" w:type="dxa"/>
        </w:tblCellMar>
      </w:tblPr>
      <w:tblGrid>
        <w:gridCol w:w="110"/>
        <w:gridCol w:w="61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1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Be respectful of your fellow stockholders and Annual Meeting participants.</w:t>
            </w:r>
          </w:p>
        </w:tc>
      </w:tr>
    </w:tbl>
    <w:tbl>
      <w:tblPr>
        <w:tblW w:w="5545" w:type="dxa"/>
        <w:jc w:val="left"/>
        <w:tblInd w:w="0" w:type="dxa"/>
        <w:tblCellMar>
          <w:top w:w="0" w:type="dxa"/>
          <w:left w:w="0" w:type="dxa"/>
          <w:bottom w:w="0" w:type="dxa"/>
          <w:right w:w="0" w:type="dxa"/>
        </w:tblCellMar>
      </w:tblPr>
      <w:tblGrid>
        <w:gridCol w:w="110"/>
        <w:gridCol w:w="54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4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No audio or video recordings of the Annual Meeting are permitted.</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2" w:name="DSPFPageBreakArea7"/>
      <w:bookmarkStart w:id="43" w:name="DSPFPageBreakArea7"/>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4" w:name="DSPFPageBreak7"/>
      <w:bookmarkStart w:id="45" w:name="DSPFPageBreak7"/>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6" w:name="ny20006675x1_def14a_104-qa_pg5"/>
        <w:bookmarkEnd w:id="4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can I do if I change my mind after I vote my shares?</w:t>
      </w:r>
    </w:p>
    <w:p>
      <w:pPr>
        <w:pStyle w:val="TextBody"/>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are a stockholder of record, you can change your vote or revoke your proxy before it is exercised by:</w:t>
      </w:r>
    </w:p>
    <w:tbl>
      <w:tblPr>
        <w:tblW w:w="4825" w:type="dxa"/>
        <w:jc w:val="left"/>
        <w:tblInd w:w="0" w:type="dxa"/>
        <w:tblCellMar>
          <w:top w:w="0" w:type="dxa"/>
          <w:left w:w="0" w:type="dxa"/>
          <w:bottom w:w="0" w:type="dxa"/>
          <w:right w:w="0" w:type="dxa"/>
        </w:tblCellMar>
      </w:tblPr>
      <w:tblGrid>
        <w:gridCol w:w="110"/>
        <w:gridCol w:w="47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7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written notice to the Corporate Secretary of the Company;</w:t>
            </w:r>
          </w:p>
        </w:tc>
      </w:tr>
    </w:tbl>
    <w:tbl>
      <w:tblPr>
        <w:tblW w:w="6835" w:type="dxa"/>
        <w:jc w:val="left"/>
        <w:tblInd w:w="0" w:type="dxa"/>
        <w:tblCellMar>
          <w:top w:w="0" w:type="dxa"/>
          <w:left w:w="0" w:type="dxa"/>
          <w:bottom w:w="0" w:type="dxa"/>
          <w:right w:w="0" w:type="dxa"/>
        </w:tblCellMar>
      </w:tblPr>
      <w:tblGrid>
        <w:gridCol w:w="110"/>
        <w:gridCol w:w="67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7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timely delivery of a valid, later-dated proxy or a later-dated vote on the Internet; or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voting in person at the virtual Annual Meeting; however, simply attending the virtual meeting will not, by itself, revoke your proxy.</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are a beneficial owner of shares, you should follow the instructions of your bank, broker or other nominee to change or revoke your voting instructions. You may also vote in person at the Annual Meeting if you obtain a legal proxy as described in the answer to the previous question.</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is the effect of giving a proxy?</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Proxies are solicited on behalf of the Company and our board of directors. David H. Mack, Ph.D., our President, Chief Executive Officer and Director, and Winston Kung, our Chief Operating Officer and Chief Financial Officer,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proxy holders will use their own judgment to determine how to vote your shares. If the Annual Meeting is postponed or adjourned, then the proxy holders can vote your shares on the new meeting date, unless you have properly revoked your proxy, as described above.</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Is there a list of stockholders entitled to vote at the Annual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names of stockholders of record entitled to vote at the Annual Meeting will be available online during the Annual Meeting at www.virtualshareholdermeeting.com/PMVP2023, for those stockholders attending the Annual Meeting. A list of names of stockholders of record entitled to vote at the Annual Meeting will be made available for examination by any stockholder for any purpose germane to the meeting for a period of at least ten days prior to the Annual Meeting between the hours of 9:30 a.m. and 4:30 p.m., Eastern, at our principal executive offices at One Research Way, Princeton, New Jersey 08540, by contacting the Corporate Secretary of the Company.</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 many shares are required to approve the proposals being voted upon at the Annual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presence of the holders of a majority of the outstanding shares of common stock entitled to vote at the Annual Meeting, present in person or represented by proxy, is necessary to constitute a quorum. Assuming there is a proper quorum of shares represented at the Annual Meeting, the voting requirements for approval of the proposals at the Annual Meeting are as follows:</w:t>
      </w:r>
    </w:p>
    <w:tbl>
      <w:tblPr>
        <w:tblW w:w="10205" w:type="dxa"/>
        <w:jc w:val="left"/>
        <w:tblInd w:w="0" w:type="dxa"/>
        <w:tblCellMar>
          <w:top w:w="0" w:type="dxa"/>
          <w:left w:w="0" w:type="dxa"/>
          <w:bottom w:w="85" w:type="dxa"/>
          <w:right w:w="0" w:type="dxa"/>
        </w:tblCellMar>
      </w:tblPr>
      <w:tblGrid>
        <w:gridCol w:w="8431"/>
        <w:gridCol w:w="23"/>
        <w:gridCol w:w="23"/>
        <w:gridCol w:w="1728"/>
      </w:tblGrid>
      <w:tr>
        <w:trPr/>
        <w:tc>
          <w:tcPr>
            <w:tcW w:w="843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72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Vote required</w:t>
            </w:r>
          </w:p>
        </w:tc>
      </w:tr>
      <w:tr>
        <w:trPr/>
        <w:tc>
          <w:tcPr>
            <w:tcW w:w="843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 </w:t>
            </w:r>
            <w:r>
              <w:rPr>
                <w:rFonts w:ascii="Times New Roman;Times;serif" w:hAnsi="Times New Roman;Times;serif"/>
                <w:b w:val="false"/>
                <w:color w:val="000000"/>
                <w:sz w:val="20"/>
              </w:rPr>
              <w:t>Election of directors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728"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Plurality of votes cast</w:t>
            </w:r>
          </w:p>
        </w:tc>
      </w:tr>
      <w:tr>
        <w:trPr/>
        <w:tc>
          <w:tcPr>
            <w:tcW w:w="843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w:t>
            </w:r>
            <w:r>
              <w:rPr>
                <w:rFonts w:ascii="Times New Roman;Times;serif" w:hAnsi="Times New Roman;Times;serif"/>
                <w:b w:val="false"/>
                <w:color w:val="000000"/>
                <w:sz w:val="20"/>
              </w:rPr>
              <w:t>Compensation of our named executive officers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728"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Majority of votes cast</w:t>
            </w:r>
          </w:p>
        </w:tc>
      </w:tr>
      <w:tr>
        <w:trPr/>
        <w:tc>
          <w:tcPr>
            <w:tcW w:w="8431" w:type="dxa"/>
            <w:tcBorders/>
            <w:shd w:fill="auto" w:val="clear"/>
            <w:tcMar>
              <w:bottom w:w="0" w:type="dxa"/>
            </w:tcMar>
            <w:vAlign w:val="center"/>
          </w:tcPr>
          <w:p>
            <w:pPr>
              <w:pStyle w:val="TableContents"/>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 xml:space="preserve">3. </w:t>
            </w:r>
            <w:r>
              <w:rPr>
                <w:rFonts w:ascii="Times New Roman;Times;serif" w:hAnsi="Times New Roman;Times;serif"/>
                <w:b w:val="false"/>
                <w:color w:val="000000"/>
                <w:sz w:val="20"/>
              </w:rPr>
              <w:t>Ratification of Ernst &amp; Young LLP as our independent registered public accounting firm for fiscal year 2023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728"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Majority of votes cast</w:t>
            </w:r>
          </w:p>
        </w:tc>
      </w:tr>
    </w:tbl>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Could other matters be decided at the Annual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 the date of this proxy statement, we did not know of any matters to be raised at the Annual Meeting other than those referred to in this proxy statement. If other matters are properly presented at the Annual Meeting for consideration, the proxy holders named on the proxy card will have the discretion to vote on those matters for you.</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Who will pay for the cost of this proxy solicitation?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pay the cost of soliciting proxies. Our directors, senior executives or employees, acting without special compensation, may also solicit proxies. Proxies may be solicited by personal interview, mail, electronic transmission, facsimile transmission or telephone. We are required to send copies of proxy-related materials or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7" w:name="DSPFPageBreakArea8"/>
      <w:bookmarkStart w:id="48" w:name="DSPFPageBreakArea8"/>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9" w:name="DSPFPageBreak8"/>
      <w:bookmarkStart w:id="50" w:name="DSPFPageBreak8"/>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1" w:name="ny20006675x1_def14a_104-qa_pg6"/>
        <w:bookmarkEnd w:id="5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solicitation materials to brokers, fiduciaries and custodians who will forward these materials to the beneficial owners of our shares. On request, we will reimburse brokers and other persons representing beneficial owners of shares for their reasonable expenses in forwarding these materials to beneficial owners.</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Who will count the votes?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PMV Pharmaceuticals has designated Lou Larsen, a representative from Broadridge Financial Solutions, Inc., as the Inspector of Election who will tabulate the votes.</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 can I contact PMV Pharmaceuticals’ transfer agent?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may contact our transfer agent, American Stock Transfer &amp; Trust Company, LLC, by telephone at (800) 937-5449, or by writing American Stock Transfer &amp; Trust Company, LLC, at 6201 15th Avenue, Brooklyn, New York 11219.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Where can I find the voting results of the Annual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will disclose voting results on a Current Report on Form 8-K that we will file with the SEC within four business days after the meeting. If final voting results are not available to us in time to file a Form 8-K, we will file a Form 8-K to publish preliminary results and will provide the final results in an amendment to the Form 8-K as soon as they become available.</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does it mean if I receive more than one Notice or more than one set of printed proxy materials?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receive more than one Notice or more than one set of printed proxy materials, then your shares may be registered in more than one name and/or are registered in different accounts. Please follow the voting instructions on each Notice or each set of printed proxy materials, as applicable, to ensure that all of your shares are voted.</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 share an address with another stockholder, and we received only one copy of the Notice or proxy statement and annual report. How may I obtain an additional copy of the Notice or proxy statement and annual report?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adopted a procedure approved by the SEC called “householding,” under which we can deliver a single copy of the Notice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if applicable, the proxy statement and annual report, to any stockholder at a shared address to which we delivered a single copy of these documents. To receive a separate copy, or, if you are receiving multiple copies, to request that we only send a single copy of next year’s Notice proxy statement and annual report, as applicable, you may contact us as follows:</w:t>
      </w:r>
    </w:p>
    <w:p>
      <w:pPr>
        <w:pStyle w:val="TextBody"/>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PMV Pharmaceuticals,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Attention: Corporate Secretary</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One Research Way</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Princeton, New Jersey 08540</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Tel: (609) 642-6670</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Street name stockholders may contact their broker, bank or other nominee to request information about householding.</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2" w:name="DSPFPageBreakArea9"/>
      <w:bookmarkStart w:id="53" w:name="DSPFPageBreakArea9"/>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4" w:name="DSPFPageBreak9"/>
      <w:bookmarkStart w:id="55" w:name="DSPFPageBreak9"/>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6" w:name="ny20006675x1_def14a_105-director_pg1"/>
        <w:bookmarkEnd w:id="5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7" w:name="tDCG"/>
      <w:bookmarkEnd w:id="57"/>
      <w:r>
        <w:rPr>
          <w:rFonts w:ascii="Times New Roman;Times;serif" w:hAnsi="Times New Roman;Times;serif"/>
          <w:b/>
          <w:color w:val="000000"/>
          <w:sz w:val="20"/>
        </w:rPr>
        <w:t>DIRECTORS AND CORPORATE GOVERNANCE</w:t>
      </w:r>
    </w:p>
    <w:p>
      <w:pPr>
        <w:pStyle w:val="TextBody"/>
        <w:spacing w:before="350" w:after="283"/>
        <w:ind w:left="0" w:right="0" w:hanging="0"/>
        <w:jc w:val="left"/>
        <w:rPr>
          <w:rFonts w:ascii="Times New Roman;Times;serif" w:hAnsi="Times New Roman;Times;serif"/>
          <w:b/>
          <w:color w:val="000000"/>
          <w:sz w:val="20"/>
        </w:rPr>
      </w:pPr>
      <w:bookmarkStart w:id="58" w:name="tBS"/>
      <w:bookmarkEnd w:id="58"/>
      <w:r>
        <w:rPr>
          <w:rFonts w:ascii="Times New Roman;Times;serif" w:hAnsi="Times New Roman;Times;serif"/>
          <w:b/>
          <w:color w:val="000000"/>
          <w:sz w:val="20"/>
        </w:rPr>
        <w:t>Board Composition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currently consists of seven members. Our directors are divided into three classes serving staggered three-year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principal occupations and certain other information about the nominees and the additional members of our board of directors (including the skills and qualifications that led to the conclusion that they should serve as directors) are set forth below.</w:t>
      </w:r>
    </w:p>
    <w:tbl>
      <w:tblPr>
        <w:tblW w:w="9581" w:type="dxa"/>
        <w:jc w:val="left"/>
        <w:tblInd w:w="0" w:type="dxa"/>
        <w:tblCellMar>
          <w:top w:w="0" w:type="dxa"/>
          <w:left w:w="0" w:type="dxa"/>
          <w:bottom w:w="85" w:type="dxa"/>
          <w:right w:w="0" w:type="dxa"/>
        </w:tblCellMar>
      </w:tblPr>
      <w:tblGrid>
        <w:gridCol w:w="2705"/>
        <w:gridCol w:w="23"/>
        <w:gridCol w:w="23"/>
        <w:gridCol w:w="365"/>
        <w:gridCol w:w="23"/>
        <w:gridCol w:w="23"/>
        <w:gridCol w:w="260"/>
        <w:gridCol w:w="23"/>
        <w:gridCol w:w="23"/>
        <w:gridCol w:w="4040"/>
        <w:gridCol w:w="23"/>
        <w:gridCol w:w="23"/>
        <w:gridCol w:w="575"/>
        <w:gridCol w:w="23"/>
        <w:gridCol w:w="23"/>
        <w:gridCol w:w="575"/>
        <w:gridCol w:w="23"/>
        <w:gridCol w:w="23"/>
        <w:gridCol w:w="785"/>
      </w:tblGrid>
      <w:tr>
        <w:trPr/>
        <w:tc>
          <w:tcPr>
            <w:tcW w:w="270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Class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Age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0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Position(s)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Director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Since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Current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Term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Expires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8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Expiration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of Term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for Which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Nominated</w:t>
            </w:r>
          </w:p>
        </w:tc>
      </w:tr>
      <w:tr>
        <w:trPr/>
        <w:tc>
          <w:tcPr>
            <w:tcW w:w="270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Nominees for Director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6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0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7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7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85" w:type="dxa"/>
            <w:tcBorders/>
            <w:shd w:fill="CCEEFF" w:val="clear"/>
            <w:tcMar>
              <w:bottom w:w="0" w:type="dxa"/>
            </w:tcMar>
            <w:vAlign w:val="center"/>
          </w:tcPr>
          <w:p>
            <w:pPr>
              <w:pStyle w:val="TableContents"/>
              <w:spacing w:before="0" w:after="0"/>
              <w:jc w:val="left"/>
              <w:rPr>
                <w:color w:val="000000"/>
              </w:rPr>
            </w:pPr>
            <w:r>
              <w:rPr>
                <w:color w:val="000000"/>
              </w:rPr>
              <w:t> </w:t>
            </w:r>
          </w:p>
        </w:tc>
      </w:tr>
      <w:tr>
        <w:trPr/>
        <w:tc>
          <w:tcPr>
            <w:tcW w:w="27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David H. Mack, Ph.D.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6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18"/>
              </w:rPr>
            </w:pPr>
            <w:r>
              <w:rPr>
                <w:rFonts w:ascii="Times New Roman;Times;serif" w:hAnsi="Times New Roman;Times;serif"/>
                <w:color w:val="000000"/>
                <w:sz w:val="18"/>
              </w:rPr>
              <w:t>III</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60" w:type="dxa"/>
            <w:tcBorders/>
            <w:shd w:fill="auto"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18"/>
              </w:rPr>
            </w:pPr>
            <w:r>
              <w:rPr>
                <w:rFonts w:ascii="Times New Roman;Times;serif" w:hAnsi="Times New Roman;Times;serif"/>
                <w:color w:val="000000"/>
                <w:sz w:val="18"/>
              </w:rPr>
              <w:t>61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0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President, Chief Executive Officer and Class III 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75" w:type="dxa"/>
            <w:tcBorders/>
            <w:shd w:fill="auto"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2013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75" w:type="dxa"/>
            <w:tcBorders/>
            <w:shd w:fill="auto"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85" w:type="dxa"/>
            <w:tcBorders/>
            <w:shd w:fill="auto"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2026</w:t>
            </w:r>
          </w:p>
        </w:tc>
      </w:tr>
      <w:tr>
        <w:trPr/>
        <w:tc>
          <w:tcPr>
            <w:tcW w:w="2705"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Richard Heyman, Ph.D.(1)(2)(3)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65"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18"/>
              </w:rPr>
            </w:pPr>
            <w:r>
              <w:rPr>
                <w:rFonts w:ascii="Times New Roman;Times;serif" w:hAnsi="Times New Roman;Times;serif"/>
                <w:color w:val="000000"/>
                <w:sz w:val="18"/>
              </w:rPr>
              <w:t>III</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18"/>
              </w:rPr>
            </w:pPr>
            <w:r>
              <w:rPr>
                <w:rFonts w:ascii="Times New Roman;Times;serif" w:hAnsi="Times New Roman;Times;serif"/>
                <w:color w:val="000000"/>
                <w:sz w:val="18"/>
              </w:rPr>
              <w:t>65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0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Chairperson and Class III Director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75" w:type="dxa"/>
            <w:tcBorders/>
            <w:shd w:fill="CCEEFF"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75" w:type="dxa"/>
            <w:tcBorders/>
            <w:shd w:fill="CCEEFF"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85" w:type="dxa"/>
            <w:tcBorders/>
            <w:shd w:fill="CCEEFF"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2026</w:t>
            </w:r>
          </w:p>
        </w:tc>
      </w:tr>
      <w:tr>
        <w:trPr/>
        <w:tc>
          <w:tcPr>
            <w:tcW w:w="270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Laurie Stelzer(1)(2)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6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18"/>
              </w:rPr>
            </w:pPr>
            <w:r>
              <w:rPr>
                <w:rFonts w:ascii="Times New Roman;Times;serif" w:hAnsi="Times New Roman;Times;serif"/>
                <w:color w:val="000000"/>
                <w:sz w:val="18"/>
              </w:rPr>
              <w:t>III</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60" w:type="dxa"/>
            <w:tcBorders/>
            <w:shd w:fill="auto"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18"/>
              </w:rPr>
            </w:pPr>
            <w:r>
              <w:rPr>
                <w:rFonts w:ascii="Times New Roman;Times;serif" w:hAnsi="Times New Roman;Times;serif"/>
                <w:color w:val="000000"/>
                <w:sz w:val="18"/>
              </w:rPr>
              <w:t>55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0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Class III 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75" w:type="dxa"/>
            <w:tcBorders/>
            <w:shd w:fill="auto"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75" w:type="dxa"/>
            <w:tcBorders/>
            <w:shd w:fill="auto"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85" w:type="dxa"/>
            <w:tcBorders/>
            <w:shd w:fill="auto"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2026</w:t>
            </w:r>
          </w:p>
        </w:tc>
      </w:tr>
      <w:tr>
        <w:trPr/>
        <w:tc>
          <w:tcPr>
            <w:tcW w:w="270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65" w:type="dxa"/>
            <w:tcBorders/>
            <w:shd w:fill="CCEEFF" w:val="clear"/>
            <w:tcMar>
              <w:bottom w:w="0" w:type="dxa"/>
            </w:tcMar>
            <w:vAlign w:val="center"/>
          </w:tcPr>
          <w:p>
            <w:pPr>
              <w:pStyle w:val="TableContents"/>
              <w:spacing w:before="0" w:after="0"/>
              <w:jc w:val="center"/>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0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7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7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85" w:type="dxa"/>
            <w:tcBorders/>
            <w:shd w:fill="CCEEFF" w:val="clear"/>
            <w:tcMar>
              <w:bottom w:w="0" w:type="dxa"/>
            </w:tcMar>
            <w:vAlign w:val="center"/>
          </w:tcPr>
          <w:p>
            <w:pPr>
              <w:pStyle w:val="TableContents"/>
              <w:spacing w:before="0" w:after="0"/>
              <w:jc w:val="left"/>
              <w:rPr>
                <w:color w:val="000000"/>
              </w:rPr>
            </w:pPr>
            <w:r>
              <w:rPr>
                <w:color w:val="000000"/>
              </w:rPr>
              <w:t> </w:t>
            </w:r>
          </w:p>
        </w:tc>
      </w:tr>
      <w:tr>
        <w:trPr/>
        <w:tc>
          <w:tcPr>
            <w:tcW w:w="27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Continuing Directors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6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6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0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7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7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8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705"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Kirsten Flowers(1)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65"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18"/>
              </w:rPr>
            </w:pPr>
            <w:r>
              <w:rPr>
                <w:rFonts w:ascii="Times New Roman;Times;serif" w:hAnsi="Times New Roman;Times;serif"/>
                <w:color w:val="000000"/>
                <w:sz w:val="18"/>
              </w:rPr>
              <w:t>I</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18"/>
              </w:rPr>
            </w:pPr>
            <w:r>
              <w:rPr>
                <w:rFonts w:ascii="Times New Roman;Times;serif" w:hAnsi="Times New Roman;Times;serif"/>
                <w:color w:val="000000"/>
                <w:sz w:val="18"/>
              </w:rPr>
              <w:t>48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0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Class I Director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75" w:type="dxa"/>
            <w:tcBorders/>
            <w:shd w:fill="CCEEFF"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75" w:type="dxa"/>
            <w:tcBorders/>
            <w:shd w:fill="CCEEFF"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85" w:type="dxa"/>
            <w:tcBorders/>
            <w:shd w:fill="CCEEFF" w:val="clear"/>
            <w:tcMar>
              <w:bottom w:w="0" w:type="dxa"/>
            </w:tcMar>
            <w:vAlign w:val="center"/>
          </w:tcPr>
          <w:p>
            <w:pPr>
              <w:pStyle w:val="TableContents"/>
              <w:spacing w:before="0" w:after="283"/>
              <w:ind w:left="180" w:right="0" w:hanging="0"/>
              <w:jc w:val="left"/>
              <w:rPr>
                <w:color w:val="000000"/>
              </w:rPr>
            </w:pPr>
            <w:r>
              <w:rPr>
                <w:color w:val="000000"/>
              </w:rPr>
              <w:t>—</w:t>
            </w:r>
          </w:p>
        </w:tc>
      </w:tr>
      <w:tr>
        <w:trPr/>
        <w:tc>
          <w:tcPr>
            <w:tcW w:w="270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Carol Gallagher, Pharm.D.(3)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6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18"/>
              </w:rPr>
            </w:pPr>
            <w:r>
              <w:rPr>
                <w:rFonts w:ascii="Times New Roman;Times;serif" w:hAnsi="Times New Roman;Times;serif"/>
                <w:color w:val="000000"/>
                <w:sz w:val="18"/>
              </w:rPr>
              <w:t>I</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60" w:type="dxa"/>
            <w:tcBorders/>
            <w:shd w:fill="auto"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18"/>
              </w:rPr>
            </w:pPr>
            <w:r>
              <w:rPr>
                <w:rFonts w:ascii="Times New Roman;Times;serif" w:hAnsi="Times New Roman;Times;serif"/>
                <w:color w:val="000000"/>
                <w:sz w:val="18"/>
              </w:rPr>
              <w:t>58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0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Class I 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75" w:type="dxa"/>
            <w:tcBorders/>
            <w:shd w:fill="auto"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75" w:type="dxa"/>
            <w:tcBorders/>
            <w:shd w:fill="auto"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85" w:type="dxa"/>
            <w:tcBorders/>
            <w:shd w:fill="auto" w:val="clear"/>
            <w:tcMar>
              <w:bottom w:w="0" w:type="dxa"/>
            </w:tcMar>
            <w:vAlign w:val="center"/>
          </w:tcPr>
          <w:p>
            <w:pPr>
              <w:pStyle w:val="TableContents"/>
              <w:spacing w:before="0" w:after="283"/>
              <w:ind w:left="180" w:right="0" w:hanging="0"/>
              <w:jc w:val="left"/>
              <w:rPr>
                <w:color w:val="000000"/>
              </w:rPr>
            </w:pPr>
            <w:r>
              <w:rPr>
                <w:color w:val="000000"/>
              </w:rPr>
              <w:t>—</w:t>
            </w:r>
          </w:p>
        </w:tc>
      </w:tr>
      <w:tr>
        <w:trPr/>
        <w:tc>
          <w:tcPr>
            <w:tcW w:w="270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Arnold Levine, Ph.D.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65"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18"/>
              </w:rPr>
            </w:pPr>
            <w:r>
              <w:rPr>
                <w:rFonts w:ascii="Times New Roman;Times;serif" w:hAnsi="Times New Roman;Times;serif"/>
                <w:color w:val="000000"/>
                <w:sz w:val="18"/>
              </w:rPr>
              <w:t>II</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18"/>
              </w:rPr>
            </w:pPr>
            <w:r>
              <w:rPr>
                <w:rFonts w:ascii="Times New Roman;Times;serif" w:hAnsi="Times New Roman;Times;serif"/>
                <w:color w:val="000000"/>
                <w:sz w:val="18"/>
              </w:rPr>
              <w:t>83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0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Class II Director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75" w:type="dxa"/>
            <w:tcBorders/>
            <w:shd w:fill="CCEEFF"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2013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75" w:type="dxa"/>
            <w:tcBorders/>
            <w:shd w:fill="CCEEFF"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85" w:type="dxa"/>
            <w:tcBorders/>
            <w:shd w:fill="CCEEFF" w:val="clear"/>
            <w:tcMar>
              <w:bottom w:w="0" w:type="dxa"/>
            </w:tcMar>
            <w:vAlign w:val="center"/>
          </w:tcPr>
          <w:p>
            <w:pPr>
              <w:pStyle w:val="TableContents"/>
              <w:spacing w:before="0" w:after="283"/>
              <w:ind w:left="180" w:right="0" w:hanging="0"/>
              <w:jc w:val="left"/>
              <w:rPr>
                <w:color w:val="000000"/>
              </w:rPr>
            </w:pPr>
            <w:r>
              <w:rPr>
                <w:color w:val="000000"/>
              </w:rPr>
              <w:t>—</w:t>
            </w:r>
          </w:p>
        </w:tc>
      </w:tr>
      <w:tr>
        <w:trPr/>
        <w:tc>
          <w:tcPr>
            <w:tcW w:w="270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Charles M. Baum, M.D., Ph.D.(2)(3)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6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18"/>
              </w:rPr>
            </w:pPr>
            <w:r>
              <w:rPr>
                <w:rFonts w:ascii="Times New Roman;Times;serif" w:hAnsi="Times New Roman;Times;serif"/>
                <w:color w:val="000000"/>
                <w:sz w:val="18"/>
              </w:rPr>
              <w:t>II</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60" w:type="dxa"/>
            <w:tcBorders/>
            <w:shd w:fill="auto" w:val="clear"/>
            <w:tcMar>
              <w:bottom w:w="0" w:type="dxa"/>
            </w:tcMar>
            <w:vAlign w:val="center"/>
          </w:tcPr>
          <w:p>
            <w:pPr>
              <w:pStyle w:val="TableContents"/>
              <w:spacing w:before="0" w:after="283"/>
              <w:ind w:left="150" w:right="0" w:hanging="0"/>
              <w:jc w:val="left"/>
              <w:rPr>
                <w:rFonts w:ascii="Times New Roman;Times;serif" w:hAnsi="Times New Roman;Times;serif"/>
                <w:color w:val="000000"/>
                <w:sz w:val="18"/>
              </w:rPr>
            </w:pPr>
            <w:r>
              <w:rPr>
                <w:rFonts w:ascii="Times New Roman;Times;serif" w:hAnsi="Times New Roman;Times;serif"/>
                <w:color w:val="000000"/>
                <w:sz w:val="18"/>
              </w:rPr>
              <w:t>65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0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Class II 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75" w:type="dxa"/>
            <w:tcBorders/>
            <w:shd w:fill="auto"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75" w:type="dxa"/>
            <w:tcBorders/>
            <w:shd w:fill="auto" w:val="clear"/>
            <w:tcMar>
              <w:bottom w:w="0" w:type="dxa"/>
            </w:tcMar>
            <w:vAlign w:val="center"/>
          </w:tcPr>
          <w:p>
            <w:pPr>
              <w:pStyle w:val="TableContents"/>
              <w:spacing w:before="0" w:after="283"/>
              <w:ind w:left="180" w:right="0" w:hanging="0"/>
              <w:jc w:val="left"/>
              <w:rPr>
                <w:rFonts w:ascii="Times New Roman;Times;serif" w:hAnsi="Times New Roman;Times;serif"/>
                <w:color w:val="000000"/>
                <w:sz w:val="18"/>
              </w:rPr>
            </w:pPr>
            <w:r>
              <w:rPr>
                <w:rFonts w:ascii="Times New Roman;Times;serif" w:hAnsi="Times New Roman;Times;serif"/>
                <w:color w:val="000000"/>
                <w:sz w:val="18"/>
              </w:rPr>
              <w:t>2025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85" w:type="dxa"/>
            <w:tcBorders/>
            <w:shd w:fill="auto" w:val="clear"/>
            <w:tcMar>
              <w:bottom w:w="0" w:type="dxa"/>
            </w:tcMar>
            <w:vAlign w:val="center"/>
          </w:tcPr>
          <w:p>
            <w:pPr>
              <w:pStyle w:val="TableContents"/>
              <w:spacing w:before="0" w:after="283"/>
              <w:ind w:left="180" w:right="0" w:hanging="0"/>
              <w:jc w:val="left"/>
              <w:rPr>
                <w:color w:val="000000"/>
              </w:rPr>
            </w:pPr>
            <w:r>
              <w:rPr>
                <w:color w:val="000000"/>
              </w:rPr>
              <w:t>—</w:t>
            </w:r>
          </w:p>
        </w:tc>
      </w:tr>
    </w:tbl>
    <w:tbl>
      <w:tblPr>
        <w:tblW w:w="2440" w:type="dxa"/>
        <w:jc w:val="left"/>
        <w:tblInd w:w="0" w:type="dxa"/>
        <w:tblCellMar>
          <w:top w:w="0" w:type="dxa"/>
          <w:left w:w="0" w:type="dxa"/>
          <w:bottom w:w="0" w:type="dxa"/>
          <w:right w:w="0" w:type="dxa"/>
        </w:tblCellMar>
      </w:tblPr>
      <w:tblGrid>
        <w:gridCol w:w="230"/>
        <w:gridCol w:w="221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2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Member of the audit committee</w:t>
            </w:r>
          </w:p>
        </w:tc>
      </w:tr>
    </w:tbl>
    <w:tbl>
      <w:tblPr>
        <w:tblW w:w="3055" w:type="dxa"/>
        <w:jc w:val="left"/>
        <w:tblInd w:w="0" w:type="dxa"/>
        <w:tblCellMar>
          <w:top w:w="0" w:type="dxa"/>
          <w:left w:w="0" w:type="dxa"/>
          <w:bottom w:w="0" w:type="dxa"/>
          <w:right w:w="0" w:type="dxa"/>
        </w:tblCellMar>
      </w:tblPr>
      <w:tblGrid>
        <w:gridCol w:w="230"/>
        <w:gridCol w:w="282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82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Member of the compensation committee</w:t>
            </w:r>
          </w:p>
        </w:tc>
      </w:tr>
    </w:tbl>
    <w:tbl>
      <w:tblPr>
        <w:tblW w:w="4750" w:type="dxa"/>
        <w:jc w:val="left"/>
        <w:tblInd w:w="0" w:type="dxa"/>
        <w:tblCellMar>
          <w:top w:w="0" w:type="dxa"/>
          <w:left w:w="0" w:type="dxa"/>
          <w:bottom w:w="0" w:type="dxa"/>
          <w:right w:w="0" w:type="dxa"/>
        </w:tblCellMar>
      </w:tblPr>
      <w:tblGrid>
        <w:gridCol w:w="230"/>
        <w:gridCol w:w="452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5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Member of the nominating and corporate governance committee</w:t>
            </w:r>
          </w:p>
        </w:tc>
      </w:tr>
    </w:tbl>
    <w:p>
      <w:pPr>
        <w:pStyle w:val="TextBody"/>
        <w:spacing w:before="350" w:after="283"/>
        <w:ind w:left="0" w:right="0" w:hanging="0"/>
        <w:jc w:val="left"/>
        <w:rPr>
          <w:rFonts w:ascii="Times New Roman;Times;serif" w:hAnsi="Times New Roman;Times;serif"/>
          <w:b/>
          <w:color w:val="000000"/>
          <w:sz w:val="20"/>
        </w:rPr>
      </w:pPr>
      <w:bookmarkStart w:id="59" w:name="tNE"/>
      <w:bookmarkEnd w:id="59"/>
      <w:r>
        <w:rPr>
          <w:rFonts w:ascii="Times New Roman;Times;serif" w:hAnsi="Times New Roman;Times;serif"/>
          <w:b/>
          <w:color w:val="000000"/>
          <w:sz w:val="20"/>
        </w:rPr>
        <w:t>Nominees for Election to a Three-Year Term Ending at the 2026 Annual Meeting</w:t>
      </w:r>
    </w:p>
    <w:p>
      <w:pPr>
        <w:pStyle w:val="TextBody"/>
        <w:spacing w:lineRule="auto" w:line="240"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Richard Heyman, Ph.D.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of directors and as our Chairperson since June 2020. Dr. Heyman is the co-founder of ORIC Pharmaceuticals (Nasdaq: ORIC), a clinical-stage biopharmaceutical company (“ORIC”). Dr. Heyman has served on ORIC’s board of directors since March 2015 and was appointed to the chairman role in May 2018. Dr. Heyman most recently served as Chairman of the board of directors of Vividion Therapeutics, a biopharmaceutical company, which was acquired in August 2021 by Bayer AG, and Amunix Pharmaceuticals, an immuno-oncology company, which was acquired by Sanofi S.A. in December 2021. Previously, Dr. Heyman was the co-founder and Chief Executive Officer of Aragon Pharmaceuticals, a biotechnology company which was acquired by Johnson &amp; Johnson in August 2013, and Seragon Pharmaceuticals, a pharmaceuticals company which was acquired by Roche Genetech in August 2014. Dr. Heyman has been involved in the discovery and development of multiple therapeutic agents approved by the U.S. Food and Drug Administration, including the prostate cancer drug, Erleada®. Since 2019, Dr. Heyman has served as a Venture Partner for Arch Ventures, a venture capital firm. Dr. Heyman currently serves as Chairman of RayzeBio, Inc., a biotechnology company, as well as serving on the board of directors of Enliven Therapeutics, Inc. (Nasdaq: ELVN), a pharmaceutical company. Dr. Heyman is also Vice Chair of the Board of Trustees at the Salk Institute for Biological Studies and serves on the Board Foundation for the American Association for Cancer Research and on the board at the University of California at San Diego (“UCSD”) Moores Cancer Center. Previously, Dr. Heyman served on the board of directors of Gritstone bio, Inc. (Nasdaq: GRTS), a clinical-stage biotechnology company, Metacrine, Inc. (Nasdaq: MTCR), a clinical-stage biopharmaceutical company, and Yumanity Therapeutics, Inc. (Nasdaq: YMTX), a biotechnology company. Dr. Heyman has won numerous awards, including the Ernst and Young San Diego Regional Entrepreneur of the Year, the Connect Hall of Fame Award, the Endocrine Society Outstanding Innovation Award and the UCSD Rell Sunn Award. Dr. Heyman received a B.S. in Chemistry from the University of Connecticut and a Ph.D. in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0" w:name="DSPFPageBreakArea10"/>
      <w:bookmarkStart w:id="61" w:name="DSPFPageBreakArea10"/>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2" w:name="DSPFPageBreak10"/>
      <w:bookmarkStart w:id="63" w:name="DSPFPageBreak10"/>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4" w:name="ny20006675x1_def14a_105-director_pg2"/>
        <w:bookmarkEnd w:id="6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Pharmacology from the University of Minnesota. We believe that Dr. Heyman is qualified to serve on our board of directors because of his perspective having served as both an executive and director of similar corporations, including public companies, his scientific background, and his extensive career in the biotechnology industry. </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David H. Mack, Ph.D. </w:t>
      </w:r>
      <w:r>
        <w:rPr>
          <w:rFonts w:ascii="Times New Roman;Times;serif" w:hAnsi="Times New Roman;Times;serif"/>
          <w:b w:val="false"/>
          <w:i w:val="false"/>
          <w:caps w:val="false"/>
          <w:smallCaps w:val="false"/>
          <w:color w:val="000000"/>
          <w:sz w:val="20"/>
        </w:rPr>
        <w:t>has served as a member of our board of directors since June 2013 and as our President and Chief Executive Officer since July 2013. Previously, Dr. Mack was a general partner at Alta Partners, a venture capital firm focusing on investments in biotechnology and life sciences companies, from 2002 to 2013. Prior to working at Alta Partners, Dr. Mack served as Vice President of Genomics Research at Eos Biotechnology, which was acquired by Protein Design Labs in 2003. From 1994 to 1997, Dr. Mack served as the Head of Cancer Biology at Affymetrix, a biotechnology company that was acquired by Thermo Fisher (NYSE: TMO) in January 2016, where he oversaw the development and application of DNA array technology in the areas of oncology and inflammation. Dr. Mack has co-authored more than 30 scientific articles and reviews, including papers published in Cell, Science, and Nature, and is an inventor on 26 issued U.S. patents. Dr. Mack was an American Cancer Society Postdoctoral Fellow in microbiology and immunology at Stanford University School of Medicine. Dr. Mack received a B.A. in Molecular Biology from the University of California, Berkeley and a Ph.D. in Molecular Genetics and Cell Biology from the University of Chicago. We believe that Dr. Mack is qualified to serve on our board of directors because of the perspective and experience he provides as our Chief Executive Officer as well as his broad experience in the biotechnology and life sciences industries.</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Laurie Stelzer </w:t>
      </w:r>
      <w:r>
        <w:rPr>
          <w:rFonts w:ascii="Times New Roman;Times;serif" w:hAnsi="Times New Roman;Times;serif"/>
          <w:b w:val="false"/>
          <w:i w:val="false"/>
          <w:caps w:val="false"/>
          <w:smallCaps w:val="false"/>
          <w:color w:val="000000"/>
          <w:sz w:val="20"/>
        </w:rPr>
        <w:t>has served as a member of our board of directors since August 2020. Ms. Stelzer has served as the Chief Financial Officer of Mirati Therapeutics Inc. (Nasdaq: MRTX), a clinical-stage targeted oncology company (“Mirati”), since May 2022. Ms. Stelzer formerly served as Executive Vice President and Chief Financial Officer of Arena Pharmaceuticals, Inc. (acquired by Pfizer Inc. (NYSE: PFE) (“Pfizer”)), a biopharmaceutical company, from March 2020 until the completion of Pfizer’s acquisition in March 2022. She also serves on the board of directors of Surface Oncology, Inc. (Nasdaq: SURF), a clinical-stage immuno-oncology company. Prior to joining Arena Pharmaceuticals, Ms. Stelzer was the Chief Financial Officer at Halozyme Therapeutics, Inc. (Nasdaq: HALO), a biopharma technology platform company, from June 2015 to March 2020, where she led the Finance, Information Technology, Business Development, Project Management and Site Operations organizations. Prior to joining Halozyme Therapeutics, Ms. Stelzer held senior management roles at Shire Plc (acquired by Takeda), including Senior Vice President of Finance, Division Chief Financial Officer for the Regenerative Medicine Division and Head of Investor Relations. Previously, she also worked at Amgen, Inc. (Nasdaq: AMGN), a global biopharmaceutical company, for 15 years, serving in positions of increasing responsibility in the areas of Finance, Treasury, Global Accounting and International/Emerging Markets. Ms. Stelzer received her B.S. in Accounting from Arizona State University and her M.B.A. from University of California, Los Angeles, Anderson School of Management. We believe that Ms. Stelzer is qualified to serve on our board of directors because of her extensive executive and financial experience at multiple public companies in the biopharmaceutical and biotechnology industries.</w:t>
      </w:r>
    </w:p>
    <w:p>
      <w:pPr>
        <w:pStyle w:val="TextBody"/>
        <w:spacing w:before="280" w:after="283"/>
        <w:ind w:left="0" w:right="0" w:hanging="0"/>
        <w:jc w:val="left"/>
        <w:rPr>
          <w:rFonts w:ascii="Times New Roman;Times;serif" w:hAnsi="Times New Roman;Times;serif"/>
          <w:b/>
          <w:color w:val="000000"/>
          <w:sz w:val="20"/>
        </w:rPr>
      </w:pPr>
      <w:bookmarkStart w:id="65" w:name="tDC"/>
      <w:bookmarkEnd w:id="65"/>
      <w:r>
        <w:rPr>
          <w:rFonts w:ascii="Times New Roman;Times;serif" w:hAnsi="Times New Roman;Times;serif"/>
          <w:b/>
          <w:color w:val="000000"/>
          <w:sz w:val="20"/>
        </w:rPr>
        <w:t>Directors Continuing in Office</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Kirsten Flowers </w:t>
      </w:r>
      <w:r>
        <w:rPr>
          <w:rFonts w:ascii="Times New Roman;Times;serif" w:hAnsi="Times New Roman;Times;serif"/>
          <w:b w:val="false"/>
          <w:i w:val="false"/>
          <w:caps w:val="false"/>
          <w:smallCaps w:val="false"/>
          <w:color w:val="000000"/>
          <w:sz w:val="20"/>
        </w:rPr>
        <w:t>has served as a member of our board of directors since January 2022. Ms. Flowers previously served as the Chief Commercial &amp; Corporate Strategy Officer of Kura Oncology, Inc. (Nasdaq: KURA), a clinical-stage biopharmaceutical company, from July 2022 to January 2023 and also served as its Chief Commercial Officer from January 2020 to June 2022. She serves as a member of the board of directors of Comera Life Sciences (Nasdaq: CMRA) (formerly Reform Biologics Inc.), a biologic formulations company, since September 2021. Prior to joining Kura Oncology, Inc., Ms. Flowers was the Senior Vice President of Commercial Operations at Array Biopharma, Inc. (acquired by Pfizer) from April 2018 to October 2019 and was the Vice President of Global Marketing from August 2017 to April 2018. Previously, Ms. Flowers was at Pfizer and held several leadership positions, including Group Leader for the United States oncology business. Ms. Flowers has more than 15 years of pharmaceutical and biotech experience. Ms. Flowers received her B.S. in Molecular &amp; Cellular Biology / Psychology from the University of Arizona and her M.B.A. from Harvard Business School. We believe that Ms. Flowers is qualified to serve on our board of directors because of her extensive executive and commercial experience in the biopharmaceutical and biotechnology industries.</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Arnold Levine, Ph.D. </w:t>
      </w:r>
      <w:r>
        <w:rPr>
          <w:rFonts w:ascii="Times New Roman;Times;serif" w:hAnsi="Times New Roman;Times;serif"/>
          <w:b w:val="false"/>
          <w:i w:val="false"/>
          <w:caps w:val="false"/>
          <w:smallCaps w:val="false"/>
          <w:color w:val="000000"/>
          <w:sz w:val="20"/>
        </w:rPr>
        <w:t xml:space="preserve">has served as a member of our board of directors since June 2013. Since 2011, Dr. Levine has served as a Professor Emeritus at The Simons Center for Systems Biology at the Institute for Advanced Study in Princeton, New Jersey. Dr. Levine trained as a Postdoctoral Fellow at California Institute of Technology in the laboratory of Robert Sinsheimer. Dr. Levine is a widely acclaimed leader in cancer research. Dr. Levine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6" w:name="DSPFPageBreakArea11"/>
      <w:bookmarkStart w:id="67" w:name="DSPFPageBreakArea11"/>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8" w:name="DSPFPageBreak11"/>
      <w:bookmarkStart w:id="69" w:name="DSPFPageBreak11"/>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0" w:name="ny20006675x1_def14a_105-director_pg3"/>
        <w:bookmarkEnd w:id="7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currently serves on the board of directors of GeneCentric Therapeutics, a private biomarker producer, and Chugai Pharmabody Research, a subsidiary of Chugai Pharmaceutical focused on utilizing proprietary antibody engineering technologies. Dr. Levine previously was a member of the board of directors of Adaptive Biotechnologies (Nasdaq: ADPT), a commercial-stage biotechnology company, and Meira GTX (Nasdaq: MGTX), a clinical-stage gene therapy company. In 1979, Dr. Levine and others discovered the p53 tumor suppressor protein. Dr. Levine helped shape U.S. science priorities as chairman of an influential 1996 review panel on federal AIDS research funding. He also chaired the National Cancer Advisory Board, which advises the National Academy of Sciences and its Institute of Medicine on cancer policy. He was elected to the National Academy of Sciences in 1991 and to its Institute of Medicine in 1995. In April 2001, Levine received the first Albany Medical Center Prize in Medicine and Biomedical Research, the largest annual prize in science or medicine offered in the United States. In 1968, Dr. Levine joined Princeton University as an Assistant Professor, becoming a Professor of biochemistry in 1976. In 1979, he moved to the SUNY Stony Brook School of Medicine to Chair the Department of Microbiology. He returned to Princeton in 1984 and between 1984 and 1996, he presided over a major expansion of Princeton’s life sciences programs as Chairman of the Department of Molecular Biology. From 1998 to 2002, Dr. Levine was President of the Rockefeller University. Dr. Levine received a B.A. from Harpur College, State University of New York and a Ph.D. in Microbiology from the University of Pennsylvania. We believe Dr. Levine is qualified to serve on our board of directors due to his extensive academic and professional experience in cancer research and molecular biology.</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Charles M. Baum, M.D., Ph.D. </w:t>
      </w:r>
      <w:r>
        <w:rPr>
          <w:rFonts w:ascii="Times New Roman;Times;serif" w:hAnsi="Times New Roman;Times;serif"/>
          <w:b w:val="false"/>
          <w:i w:val="false"/>
          <w:caps w:val="false"/>
          <w:smallCaps w:val="false"/>
          <w:color w:val="000000"/>
          <w:sz w:val="20"/>
        </w:rPr>
        <w:t>has served as a member of our board of directors since April 2021. Dr. Baum served as the President and Chief Executive Officer from November 2012 to September of 2021 and now serves as President, Founder and Head of Research and Development and a member of the board of directors of Mirati. Since May 2022, Dr. Baum has served on the board of directors of Poseida Therapeutics, Inc. (Nasdaq: PSTX), a clinical-stage biopharmaceutical company. From June 2003 to September 2012, Dr. Baum worked at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Dr. Baum was responsible for the development of several oncology compounds at Schering-Plough Corporation (acquired by Merck &amp; Co., Inc. (NYSE: MRK) (“Merck”)). Dr. Baum’s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received his M.D. and Ph.D. (Immunology) degrees from Washington University School of Medicine in St. Louis, Missouri and completed his post-doctoral training at Stanford University. We believe that Dr. Baum is qualified to serve on our board of directors because of the perspective and executive-level experience he provides in the biotechnology industry as well as his experience serving on the board of directors of public companies.</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Carol Gallagher, Pharm.D. </w:t>
      </w:r>
      <w:r>
        <w:rPr>
          <w:rFonts w:ascii="Times New Roman;Times;serif" w:hAnsi="Times New Roman;Times;serif"/>
          <w:b w:val="false"/>
          <w:i w:val="false"/>
          <w:caps w:val="false"/>
          <w:smallCaps w:val="false"/>
          <w:color w:val="000000"/>
          <w:sz w:val="20"/>
        </w:rPr>
        <w:t xml:space="preserve">has served as a member of our board of directors since November 2022. Since October 2014, Dr. Gallagher has served as a partner with New Enterprise Associates, a venture capital firm, and she now serves as a venture advisor, a part-time role. Prior to joining New Enterprise Associates, Dr. Gallagher served as a venture partner with Frazier Healthcare, a venture capital firm, from October 2013 to September 2014. Dr. Gallagher served as the President and Chief Executive Officer of Calistoga Pharmaceuticals, a biopharmaceutical company, from 2008 to 2011, when the company was acquired by Gilead. From 2007 to 2008, Dr. Gallagher was the President and Chief Executive Officer of Metastatix, Inc., a biopharmaceutical company. Prior to that time starting in 1989, she served in various roles at pharmaceutical companies Eli Lilly and Company, Amgen, Agouron Pharmaceuticals, Pfizer, Biogen Inc., CancerVax, Inc. and Anadys Pharmaceuticals, Inc. In addition to our Board, Dr. Gallagher serves as a director at the following public companies: Atara Biotherapeutics, Inc. (Nasdaq: ATRA), an allogeneic T-cell immunotherapy company, since 2013, and Frazier Life Sciences Acquisition Corp. (Nasdaq: FLAC), a special purpose acquisition company, since October 2020. She previously served on the boards of directors at Anaptys Bio Inc. (Nasdaq: ANAB) from 2011 until 2018, Tempest Therapeutics (formerly Millendo Therapeutics, Inc.) (Nasdaq: TPST) from 2012 until 2021, Annexon, Inc. (Nasdaq: ANNX) from 2018 to February 2021, Turning Point Therapeutics, Inc. from July 2019 until its acquisition by Bristol-Myers Squibb Company in August 2022, and Certara, Inc. (Nasdaq: CERT) from June 2021 to April 2022. Dr. Gallagher attended Vanderbilt University and holds a B.S. and Doctor of Pharmacy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1" w:name="DSPFPageBreakArea12"/>
      <w:bookmarkStart w:id="72" w:name="DSPFPageBreakArea12"/>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3" w:name="DSPFPageBreak12"/>
      <w:bookmarkStart w:id="74" w:name="DSPFPageBreak12"/>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5" w:name="ny20006675x1_def14a_105-director_pg4"/>
        <w:bookmarkEnd w:id="7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degrees from the University of Kentucky. We believe that Dr. Gallagher is qualified to serve on our Board due to her extensive experience in the pharmaceuticals industry, her leadership and management experience, and her service as a director of other biopharmaceutical companies.</w:t>
      </w:r>
    </w:p>
    <w:p>
      <w:pPr>
        <w:pStyle w:val="TextBody"/>
        <w:spacing w:before="240" w:after="283"/>
        <w:ind w:left="0" w:right="0" w:hanging="0"/>
        <w:jc w:val="left"/>
        <w:rPr>
          <w:rFonts w:ascii="Times New Roman;Times;serif" w:hAnsi="Times New Roman;Times;serif"/>
          <w:b/>
          <w:color w:val="000000"/>
          <w:sz w:val="20"/>
        </w:rPr>
      </w:pPr>
      <w:bookmarkStart w:id="76" w:name="tBDD"/>
      <w:bookmarkEnd w:id="76"/>
      <w:r>
        <w:rPr>
          <w:rFonts w:ascii="Times New Roman;Times;serif" w:hAnsi="Times New Roman;Times;serif"/>
          <w:b/>
          <w:color w:val="000000"/>
          <w:sz w:val="20"/>
        </w:rPr>
        <w:t xml:space="preserve">Board of Directors Diversity Matrix </w:t>
      </w:r>
    </w:p>
    <w:p>
      <w:pPr>
        <w:pStyle w:val="TextBody"/>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of Directors Diversity Matrix (as of March 31, 2023)</w:t>
      </w:r>
    </w:p>
    <w:tbl>
      <w:tblPr>
        <w:tblW w:w="7274" w:type="dxa"/>
        <w:jc w:val="left"/>
        <w:tblInd w:w="0" w:type="dxa"/>
        <w:tblCellMar>
          <w:top w:w="0" w:type="dxa"/>
          <w:left w:w="0" w:type="dxa"/>
          <w:bottom w:w="85" w:type="dxa"/>
          <w:right w:w="0" w:type="dxa"/>
        </w:tblCellMar>
      </w:tblPr>
      <w:tblGrid>
        <w:gridCol w:w="4280"/>
        <w:gridCol w:w="23"/>
        <w:gridCol w:w="23"/>
        <w:gridCol w:w="545"/>
        <w:gridCol w:w="23"/>
        <w:gridCol w:w="23"/>
        <w:gridCol w:w="380"/>
        <w:gridCol w:w="23"/>
        <w:gridCol w:w="23"/>
        <w:gridCol w:w="875"/>
        <w:gridCol w:w="23"/>
        <w:gridCol w:w="23"/>
        <w:gridCol w:w="1010"/>
      </w:tblGrid>
      <w:tr>
        <w:trPr/>
        <w:tc>
          <w:tcPr>
            <w:tcW w:w="428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Number of Directors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948" w:type="dxa"/>
            <w:gridSpan w:val="10"/>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7</w:t>
            </w:r>
          </w:p>
        </w:tc>
      </w:tr>
      <w:tr>
        <w:trPr/>
        <w:tc>
          <w:tcPr>
            <w:tcW w:w="428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Gender Identity: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Female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Non-Binary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 Disclosed</w:t>
            </w:r>
          </w:p>
        </w:tc>
      </w:tr>
      <w:tr>
        <w:trPr/>
        <w:tc>
          <w:tcPr>
            <w:tcW w:w="42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Directors based on Gender Identity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42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6"/>
                <w:u w:val="single"/>
              </w:rPr>
            </w:pPr>
            <w:r>
              <w:rPr>
                <w:rFonts w:ascii="Times New Roman;Times;serif" w:hAnsi="Times New Roman;Times;serif"/>
                <w:b/>
                <w:color w:val="000000"/>
                <w:sz w:val="16"/>
                <w:u w:val="single"/>
              </w:rPr>
              <w:t>Number of Directors who identify in any categories below:</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0"/>
              <w:jc w:val="center"/>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0"/>
              <w:jc w:val="center"/>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0"/>
              <w:jc w:val="center"/>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0"/>
              <w:jc w:val="center"/>
              <w:rPr>
                <w:color w:val="000000"/>
              </w:rPr>
            </w:pPr>
            <w:r>
              <w:rPr>
                <w:color w:val="000000"/>
              </w:rPr>
              <w:t> </w:t>
            </w:r>
          </w:p>
        </w:tc>
      </w:tr>
      <w:tr>
        <w:trPr/>
        <w:tc>
          <w:tcPr>
            <w:tcW w:w="42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African American or Black</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Alaskan Native or Native American</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Asian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Hispanic or Latinx</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Native Hawaiian or Pacific Islander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White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Two or More Races or Ethnicities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LGBTQ+</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Disclosed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bl>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of Directors Diversity Matrix (as of March 31, 2022)</w:t>
      </w:r>
    </w:p>
    <w:tbl>
      <w:tblPr>
        <w:tblW w:w="7274" w:type="dxa"/>
        <w:jc w:val="left"/>
        <w:tblInd w:w="0" w:type="dxa"/>
        <w:tblCellMar>
          <w:top w:w="0" w:type="dxa"/>
          <w:left w:w="0" w:type="dxa"/>
          <w:bottom w:w="85" w:type="dxa"/>
          <w:right w:w="0" w:type="dxa"/>
        </w:tblCellMar>
      </w:tblPr>
      <w:tblGrid>
        <w:gridCol w:w="4280"/>
        <w:gridCol w:w="23"/>
        <w:gridCol w:w="23"/>
        <w:gridCol w:w="545"/>
        <w:gridCol w:w="23"/>
        <w:gridCol w:w="23"/>
        <w:gridCol w:w="380"/>
        <w:gridCol w:w="23"/>
        <w:gridCol w:w="23"/>
        <w:gridCol w:w="875"/>
        <w:gridCol w:w="23"/>
        <w:gridCol w:w="23"/>
        <w:gridCol w:w="1010"/>
      </w:tblGrid>
      <w:tr>
        <w:trPr/>
        <w:tc>
          <w:tcPr>
            <w:tcW w:w="428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Number of Directors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948" w:type="dxa"/>
            <w:gridSpan w:val="10"/>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7</w:t>
            </w:r>
          </w:p>
        </w:tc>
      </w:tr>
      <w:tr>
        <w:trPr/>
        <w:tc>
          <w:tcPr>
            <w:tcW w:w="428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Gender Identity: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Female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Non-Binary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 Disclosed</w:t>
            </w:r>
          </w:p>
        </w:tc>
      </w:tr>
      <w:tr>
        <w:trPr/>
        <w:tc>
          <w:tcPr>
            <w:tcW w:w="42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Directors based on Gender Identity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42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6"/>
                <w:u w:val="single"/>
              </w:rPr>
            </w:pPr>
            <w:r>
              <w:rPr>
                <w:rFonts w:ascii="Times New Roman;Times;serif" w:hAnsi="Times New Roman;Times;serif"/>
                <w:b/>
                <w:color w:val="000000"/>
                <w:sz w:val="16"/>
                <w:u w:val="single"/>
              </w:rPr>
              <w:t>Number of Directors who identify in any categories below:</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0"/>
              <w:jc w:val="center"/>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0"/>
              <w:jc w:val="center"/>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0"/>
              <w:jc w:val="center"/>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0"/>
              <w:jc w:val="center"/>
              <w:rPr>
                <w:color w:val="000000"/>
              </w:rPr>
            </w:pPr>
            <w:r>
              <w:rPr>
                <w:color w:val="000000"/>
              </w:rPr>
              <w:t> </w:t>
            </w:r>
          </w:p>
        </w:tc>
      </w:tr>
      <w:tr>
        <w:trPr/>
        <w:tc>
          <w:tcPr>
            <w:tcW w:w="42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African American or Black</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Alaskan Native or Native American</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Asian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Hispanic or Latinx</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Native Hawaiian or Pacific Islander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White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Two or More Races or Ethnicities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LGBTQ+</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42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Disclosed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283"/>
              <w:ind w:left="46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bl>
    <w:p>
      <w:pPr>
        <w:pStyle w:val="TextBody"/>
        <w:spacing w:before="240" w:after="283"/>
        <w:ind w:left="0" w:right="0" w:hanging="0"/>
        <w:jc w:val="left"/>
        <w:rPr>
          <w:rFonts w:ascii="Times New Roman;Times;serif" w:hAnsi="Times New Roman;Times;serif"/>
          <w:b/>
          <w:color w:val="000000"/>
          <w:sz w:val="20"/>
        </w:rPr>
      </w:pPr>
      <w:bookmarkStart w:id="77" w:name="tDI"/>
      <w:bookmarkEnd w:id="77"/>
      <w:r>
        <w:rPr>
          <w:rFonts w:ascii="Times New Roman;Times;serif" w:hAnsi="Times New Roman;Times;serif"/>
          <w:b/>
          <w:color w:val="000000"/>
          <w:sz w:val="20"/>
        </w:rPr>
        <w:t>Director Independence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common stock is listed on the Nasdaq Global Select Market (“Nasdaq”). Under the rules of Nasdaq, independent directors must comprise a majority of a listed company’s board of directors. In addition, the rules of Nasdaq require that, subject to specified exceptions and phase-in periods, each member of a listed company’s audit committee, compensation committee and nominating and corporate governance committee be independent. Audit committee members must also satisfy the independence criteria set forth in Rule 10A-3 under the Securities Exchange Act of 1934, as amended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8" w:name="DSPFPageBreakArea13"/>
      <w:bookmarkStart w:id="79" w:name="DSPFPageBreakArea13"/>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0" w:name="DSPFPageBreak13"/>
      <w:bookmarkStart w:id="81" w:name="DSPFPageBreak13"/>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2" w:name="ny20006675x1_def14a_105-director_pg5"/>
        <w:bookmarkEnd w:id="8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Charles M. Baum, M.D., Ph.D., Kirsten Flowers, Carol Gallagher, Pharm.D., Richard Heyman, Ph.D. and Laurie Stelzer, representing five of our seven directors, do not have a relationship that would interfere with the exercise of independent judgment in carrying out the responsibilities of a director and that each of these directors is “independent” as that term is defined under the rules of Nasdaq. Dr. Mack is not an independent director because he is our President and Chief Executive Officer. Dr. Levine is not independent because he provides general consulting and advisory services to us, serves as a member of our scientific advisory board (“SAB”) and, within the last three fiscal years, received compensation for his consulting and advisory services, as well as for his SAB service, in excess of Nasdaq’s minimum independence thresholds.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There are no family relationships among any of our directors or executive officers.</w:t>
      </w:r>
    </w:p>
    <w:p>
      <w:pPr>
        <w:pStyle w:val="TextBody"/>
        <w:spacing w:before="350" w:after="283"/>
        <w:ind w:left="0" w:right="0" w:hanging="0"/>
        <w:jc w:val="left"/>
        <w:rPr>
          <w:rFonts w:ascii="Times New Roman;Times;serif" w:hAnsi="Times New Roman;Times;serif"/>
          <w:b/>
          <w:color w:val="000000"/>
          <w:sz w:val="20"/>
        </w:rPr>
      </w:pPr>
      <w:bookmarkStart w:id="83" w:name="tBLS"/>
      <w:bookmarkEnd w:id="83"/>
      <w:r>
        <w:rPr>
          <w:rFonts w:ascii="Times New Roman;Times;serif" w:hAnsi="Times New Roman;Times;serif"/>
          <w:b/>
          <w:color w:val="000000"/>
          <w:sz w:val="20"/>
        </w:rPr>
        <w:t>Board Leadership Structure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is currently chaired by Richard Heyman, Ph.D. As a general policy, our board of directors believes that separation of the positions of chairperson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David H. Mack, Ph.D. serves as our Chief Executive Officer while Dr. Heyman serves as the chairperson of our board of directors, but is not an officer. We currently expect and intend the positions of chairperson of our board of directors and Chief Executive Officer to continue to be held by two individuals in the future. We believe that our board leadership structure is appropriate for our Company, particularly where we have a majority of independent directors who are all actively involved in meetings of the board of directors and its committees, which include activate engagement with management for oversight of our key risk areas. In addition, our board of directors, including our leadership, is comprised of individuals who have expertise in research, product and clinical development, finance, accounting, commercialization, corporate development and general management of other biopharmaceutical companies.</w:t>
      </w:r>
    </w:p>
    <w:p>
      <w:pPr>
        <w:pStyle w:val="TextBody"/>
        <w:spacing w:before="350" w:after="283"/>
        <w:ind w:left="0" w:right="0" w:hanging="0"/>
        <w:jc w:val="left"/>
        <w:rPr>
          <w:rFonts w:ascii="Times New Roman;Times;serif" w:hAnsi="Times New Roman;Times;serif"/>
          <w:b/>
          <w:color w:val="000000"/>
          <w:sz w:val="20"/>
        </w:rPr>
      </w:pPr>
      <w:bookmarkStart w:id="84" w:name="tBCM"/>
      <w:bookmarkEnd w:id="84"/>
      <w:r>
        <w:rPr>
          <w:rFonts w:ascii="Times New Roman;Times;serif" w:hAnsi="Times New Roman;Times;serif"/>
          <w:b/>
          <w:color w:val="000000"/>
          <w:sz w:val="20"/>
        </w:rPr>
        <w:t>Board Committees and Meetings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has established an audit committee, a compensation committee and a nominating and corporate governance committee. The composition and responsibilities of each committee are described below. Members serve on these committees until their resignation or until otherwise determined by our board of directors. Each of the audit committee, compensation committee, and nominating and corporate governance committee is a standing committee and operates pursuant to a separate written charter adopted by our board of directors that is available on the Investors section of the Company’s website at ir.pmvpharma.com. The inclusion of our website address in this proxy statement does not include or incorporate by reference into this proxy statement the information on or accessible through our website.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met 12 times during fiscal year 2022. During fiscal year 2022, each of our directors attended 75% or more of the aggregate of (a) the total number of meetings of the board of directors held while a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5" w:name="DSPFPageBreakArea14"/>
      <w:bookmarkStart w:id="86" w:name="DSPFPageBreakArea14"/>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7" w:name="DSPFPageBreak14"/>
      <w:bookmarkStart w:id="88" w:name="DSPFPageBreak14"/>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9" w:name="ny20006675x1_def14a_105-director_pg6"/>
        <w:bookmarkEnd w:id="8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(during the period in which the director served on the board of directors) and (b) the total number of meetings held by all committees on which the director served (during the period in which the director served on such committees). Pursuant to our corporate governance guidelines, each director is encouraged to attend each annual meeting of stockholders.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Although we do not have a formal policy regarding attendance by members of our board of directors at the annual meetings of stockholders, we encourage, but do not require, directors to attend. Two of our seven directors attended our 2022 annual meeting of stockholders.</w:t>
      </w:r>
    </w:p>
    <w:p>
      <w:pPr>
        <w:pStyle w:val="TextBody"/>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audit committee consists of Ms. Stelzer, Ms. Flowers and Dr. Heyman. Ms. Stelzer is the chairperson of the audit committee. Our board of directors has determined that all members are independent under the listing standards of Nasdaq and Rule 10A-3(b)(1) of the Exchange Act and that Ms. Stelzer is an audit committee financial expert, as that term is defined under the SEC rules implementing Section 407 of the Sarbanes-Oxley Act of 2012, as amended, and possesses financial sophistication, as defined under the rules of Nasdaq. Our board of directors has also determined that each member of our audit committee can read and understand fundamental financial statements, in accordance with applicable requirements. Our audit committee oversees our corporate accounting and financial reporting process and assists our board of directors in monitoring our financial systems. Among other matters, our audit committee also:</w:t>
      </w:r>
    </w:p>
    <w:tbl>
      <w:tblPr>
        <w:tblW w:w="8275" w:type="dxa"/>
        <w:jc w:val="left"/>
        <w:tblInd w:w="0" w:type="dxa"/>
        <w:tblCellMar>
          <w:top w:w="0" w:type="dxa"/>
          <w:left w:w="0" w:type="dxa"/>
          <w:bottom w:w="0" w:type="dxa"/>
          <w:right w:w="0" w:type="dxa"/>
        </w:tblCellMar>
      </w:tblPr>
      <w:tblGrid>
        <w:gridCol w:w="110"/>
        <w:gridCol w:w="81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1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selects and hires the independent registered public accounting firm to audit our financial statements;</w:t>
            </w:r>
          </w:p>
        </w:tc>
      </w:tr>
    </w:tbl>
    <w:tbl>
      <w:tblPr>
        <w:tblW w:w="8605" w:type="dxa"/>
        <w:jc w:val="left"/>
        <w:tblInd w:w="0" w:type="dxa"/>
        <w:tblCellMar>
          <w:top w:w="0" w:type="dxa"/>
          <w:left w:w="0" w:type="dxa"/>
          <w:bottom w:w="0" w:type="dxa"/>
          <w:right w:w="0" w:type="dxa"/>
        </w:tblCellMar>
      </w:tblPr>
      <w:tblGrid>
        <w:gridCol w:w="110"/>
        <w:gridCol w:w="84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4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helps to ensure the independence and performance of the independent registered public accounting firm;</w:t>
            </w:r>
          </w:p>
        </w:tc>
      </w:tr>
    </w:tbl>
    <w:tbl>
      <w:tblPr>
        <w:tblW w:w="3970" w:type="dxa"/>
        <w:jc w:val="left"/>
        <w:tblInd w:w="0" w:type="dxa"/>
        <w:tblCellMar>
          <w:top w:w="0" w:type="dxa"/>
          <w:left w:w="0" w:type="dxa"/>
          <w:bottom w:w="0" w:type="dxa"/>
          <w:right w:w="0" w:type="dxa"/>
        </w:tblCellMar>
      </w:tblPr>
      <w:tblGrid>
        <w:gridCol w:w="110"/>
        <w:gridCol w:w="38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8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approves audit and non-audit services and fees;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reviews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tc>
      </w:tr>
    </w:tbl>
    <w:tbl>
      <w:tblPr>
        <w:tblW w:w="8500" w:type="dxa"/>
        <w:jc w:val="left"/>
        <w:tblInd w:w="0" w:type="dxa"/>
        <w:tblCellMar>
          <w:top w:w="0" w:type="dxa"/>
          <w:left w:w="0" w:type="dxa"/>
          <w:bottom w:w="0" w:type="dxa"/>
          <w:right w:w="0" w:type="dxa"/>
        </w:tblCellMar>
      </w:tblPr>
      <w:tblGrid>
        <w:gridCol w:w="110"/>
        <w:gridCol w:w="83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3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prepares the audit committee report that the SEC requires to be included in our annual proxy statement;</w:t>
            </w:r>
          </w:p>
        </w:tc>
      </w:tr>
    </w:tbl>
    <w:tbl>
      <w:tblPr>
        <w:tblW w:w="7675" w:type="dxa"/>
        <w:jc w:val="left"/>
        <w:tblInd w:w="0" w:type="dxa"/>
        <w:tblCellMar>
          <w:top w:w="0" w:type="dxa"/>
          <w:left w:w="0" w:type="dxa"/>
          <w:bottom w:w="0" w:type="dxa"/>
          <w:right w:w="0" w:type="dxa"/>
        </w:tblCellMar>
      </w:tblPr>
      <w:tblGrid>
        <w:gridCol w:w="110"/>
        <w:gridCol w:w="75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5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reviews reports and communications from the independent registered public accounting firm;</w:t>
            </w:r>
          </w:p>
        </w:tc>
      </w:tr>
    </w:tbl>
    <w:tbl>
      <w:tblPr>
        <w:tblW w:w="8395" w:type="dxa"/>
        <w:jc w:val="left"/>
        <w:tblInd w:w="0" w:type="dxa"/>
        <w:tblCellMar>
          <w:top w:w="0" w:type="dxa"/>
          <w:left w:w="0" w:type="dxa"/>
          <w:bottom w:w="0" w:type="dxa"/>
          <w:right w:w="0" w:type="dxa"/>
        </w:tblCellMar>
      </w:tblPr>
      <w:tblGrid>
        <w:gridCol w:w="110"/>
        <w:gridCol w:w="82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2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reviews the adequacy and effectiveness of our internal controls and disclosure controls and procedure;</w:t>
            </w:r>
          </w:p>
        </w:tc>
      </w:tr>
    </w:tbl>
    <w:tbl>
      <w:tblPr>
        <w:tblW w:w="5110" w:type="dxa"/>
        <w:jc w:val="left"/>
        <w:tblInd w:w="0" w:type="dxa"/>
        <w:tblCellMar>
          <w:top w:w="0" w:type="dxa"/>
          <w:left w:w="0" w:type="dxa"/>
          <w:bottom w:w="0" w:type="dxa"/>
          <w:right w:w="0" w:type="dxa"/>
        </w:tblCellMar>
      </w:tblPr>
      <w:tblGrid>
        <w:gridCol w:w="110"/>
        <w:gridCol w:w="50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0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reviews our policies on risk assessment and risk management;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reviews and monitor conflicts of interest situations, and approve or prohibit any involvement in matters that may involve a conflict of interest or taking of a corporate opportunity;</w:t>
            </w:r>
          </w:p>
        </w:tc>
      </w:tr>
    </w:tbl>
    <w:tbl>
      <w:tblPr>
        <w:tblW w:w="3355" w:type="dxa"/>
        <w:jc w:val="left"/>
        <w:tblInd w:w="0" w:type="dxa"/>
        <w:tblCellMar>
          <w:top w:w="0" w:type="dxa"/>
          <w:left w:w="0" w:type="dxa"/>
          <w:bottom w:w="0" w:type="dxa"/>
          <w:right w:w="0" w:type="dxa"/>
        </w:tblCellMar>
      </w:tblPr>
      <w:tblGrid>
        <w:gridCol w:w="110"/>
        <w:gridCol w:w="32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reviews related person transactions;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establishes and oversees procedures for the receipt, retention and treatment of accounting related complaints and the confidential submission by our employees of concerns regarding questionable accounting or auditing matters.</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audit committee operates under a written charter that satisfies the applicable rules of the SEC and Nasdaq listing rules. Our audit committee’s written charter may be located on our website at ir.pmvpharma.com. The audit committee met five times in fiscal year 2022.</w:t>
      </w:r>
    </w:p>
    <w:p>
      <w:pPr>
        <w:pStyle w:val="TextBody"/>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Compensation Committee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compensation committee consists of Dr. Heyman, Ms. Stelzer and Dr. Baum, each of whom meets the requirements for independence under current Nasdaq listing standards and SEC rules and regulations. Dr. Heyman is the chairperson of the compensation committee. Each member of the compensation committee is also a non-employee director, as defined pursuant to Rule 16b-3 promulgated under the Exchange Act. The compensation committee oversees our compensation policies, plans and benefits programs. Our compensation committee also:</w:t>
      </w:r>
    </w:p>
    <w:tbl>
      <w:tblPr>
        <w:tblW w:w="8545" w:type="dxa"/>
        <w:jc w:val="left"/>
        <w:tblInd w:w="0" w:type="dxa"/>
        <w:tblCellMar>
          <w:top w:w="0" w:type="dxa"/>
          <w:left w:w="0" w:type="dxa"/>
          <w:bottom w:w="0" w:type="dxa"/>
          <w:right w:w="0" w:type="dxa"/>
        </w:tblCellMar>
      </w:tblPr>
      <w:tblGrid>
        <w:gridCol w:w="110"/>
        <w:gridCol w:w="84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4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oversees our overall compensation philosophy and compensation policies, plans and benefits programs;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reviews and approves, or recommends to the board of directors for approval, compensation for our executive officers and directors;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0" w:name="DSPFPageBreakArea15"/>
      <w:bookmarkStart w:id="91" w:name="DSPFPageBreakArea15"/>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2" w:name="DSPFPageBreak15"/>
      <w:bookmarkStart w:id="93" w:name="DSPFPageBreak15"/>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4" w:name="ny20006675x1_def14a_105-director_pg7"/>
        <w:bookmarkEnd w:id="94"/>
        <w:r>
          <w:rPr>
            <w:rStyle w:val="InternetLink"/>
            <w:rFonts w:ascii="Times New Roman;Times;Serif" w:hAnsi="Times New Roman;Times;Serif"/>
            <w:b/>
            <w:caps w:val="false"/>
            <w:smallCaps w:val="false"/>
            <w:sz w:val="16"/>
          </w:rPr>
          <w:t>TABLE OF CONTENTS</w:t>
        </w:r>
      </w:hyperlink>
    </w:p>
    <w:tbl>
      <w:tblPr>
        <w:tblW w:w="9850" w:type="dxa"/>
        <w:jc w:val="left"/>
        <w:tblInd w:w="0" w:type="dxa"/>
        <w:tblCellMar>
          <w:top w:w="0" w:type="dxa"/>
          <w:left w:w="0" w:type="dxa"/>
          <w:bottom w:w="0" w:type="dxa"/>
          <w:right w:w="0" w:type="dxa"/>
        </w:tblCellMar>
      </w:tblPr>
      <w:tblGrid>
        <w:gridCol w:w="110"/>
        <w:gridCol w:w="97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7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prepares the compensation committee report that the SEC will require to be included in our annual proxy statement; and</w:t>
            </w:r>
          </w:p>
        </w:tc>
      </w:tr>
    </w:tbl>
    <w:tbl>
      <w:tblPr>
        <w:tblW w:w="3655" w:type="dxa"/>
        <w:jc w:val="left"/>
        <w:tblInd w:w="0" w:type="dxa"/>
        <w:tblCellMar>
          <w:top w:w="0" w:type="dxa"/>
          <w:left w:w="0" w:type="dxa"/>
          <w:bottom w:w="0" w:type="dxa"/>
          <w:right w:w="0" w:type="dxa"/>
        </w:tblCellMar>
      </w:tblPr>
      <w:tblGrid>
        <w:gridCol w:w="110"/>
        <w:gridCol w:w="35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5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administers our equity compensation plans.</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compensation committee has the right, in its sole discretion, to retain or obtain the advice of compensation consultants, independent legal counsel and other advisers.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compensation committee operates under a written charter that satisfies the applicable rules of the SEC and Nasdaq listing rules. Our compensation committee’s written charter may be located on our website at ir.pmvpharma.com. The compensation committee met four times in fiscal year 2022.</w:t>
      </w:r>
    </w:p>
    <w:p>
      <w:pPr>
        <w:pStyle w:val="TextBody"/>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Nominating and Corporate Governance Committee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nominating and corporate governance committee consists of Dr. Baum, Dr. Gallagher and Dr. Heyman, each of whom meets the requirements for independence under current Nasdaq listing standards and SEC rules and regulations. Dr. Baum is the chairperson of the nominating and corporate governance committee. The nominating and corporate governance committee oversees and assists our board of directors in reviewing and recommending nominees for election as directors. Among other matters, our nominating and corporate governance committee also:</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identifies, evaluates and makes recommendations to our board of directors regarding nominees for election to our board of directors and its committees;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considers and makes recommendations to our board of directors regarding the composition of our board of directors and its committees;</w:t>
            </w:r>
          </w:p>
        </w:tc>
      </w:tr>
    </w:tbl>
    <w:tbl>
      <w:tblPr>
        <w:tblW w:w="9115" w:type="dxa"/>
        <w:jc w:val="left"/>
        <w:tblInd w:w="0" w:type="dxa"/>
        <w:tblCellMar>
          <w:top w:w="0" w:type="dxa"/>
          <w:left w:w="0" w:type="dxa"/>
          <w:bottom w:w="0" w:type="dxa"/>
          <w:right w:w="0" w:type="dxa"/>
        </w:tblCellMar>
      </w:tblPr>
      <w:tblGrid>
        <w:gridCol w:w="110"/>
        <w:gridCol w:w="90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0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reviews and makes recommendation to our board of directors with respect to management succession planning;</w:t>
            </w:r>
          </w:p>
        </w:tc>
      </w:tr>
    </w:tbl>
    <w:tbl>
      <w:tblPr>
        <w:tblW w:w="4765" w:type="dxa"/>
        <w:jc w:val="left"/>
        <w:tblInd w:w="0" w:type="dxa"/>
        <w:tblCellMar>
          <w:top w:w="0" w:type="dxa"/>
          <w:left w:w="0" w:type="dxa"/>
          <w:bottom w:w="0" w:type="dxa"/>
          <w:right w:w="0" w:type="dxa"/>
        </w:tblCellMar>
      </w:tblPr>
      <w:tblGrid>
        <w:gridCol w:w="110"/>
        <w:gridCol w:w="46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6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reviews developments in corporate governance practices;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evaluates the adequacy of our corporate governance practices and reporting, including providing oversight for our sustainability related to Environmental, Social and Governance programs, reporting and policy initiatives; and</w:t>
            </w:r>
          </w:p>
        </w:tc>
      </w:tr>
    </w:tbl>
    <w:tbl>
      <w:tblPr>
        <w:tblW w:w="6295" w:type="dxa"/>
        <w:jc w:val="left"/>
        <w:tblInd w:w="0" w:type="dxa"/>
        <w:tblCellMar>
          <w:top w:w="0" w:type="dxa"/>
          <w:left w:w="0" w:type="dxa"/>
          <w:bottom w:w="0" w:type="dxa"/>
          <w:right w:w="0" w:type="dxa"/>
        </w:tblCellMar>
      </w:tblPr>
      <w:tblGrid>
        <w:gridCol w:w="110"/>
        <w:gridCol w:w="61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1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evaluates the performance of our board of directors and individual members.</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nominating and corporate governance committee operates under a written charter that satisfies applicable rules of the SEC and Nasdaq listing rules. Our nominating and corporate governance committee’s written charter may be located on our website at ir.pmvpharma.com. The nominating and corporate governance committee met four times in fiscal year 2022.</w:t>
      </w:r>
    </w:p>
    <w:p>
      <w:pPr>
        <w:pStyle w:val="TextBody"/>
        <w:spacing w:before="350" w:after="283"/>
        <w:ind w:left="0" w:right="0" w:hanging="0"/>
        <w:jc w:val="left"/>
        <w:rPr>
          <w:rFonts w:ascii="Times New Roman;Times;serif" w:hAnsi="Times New Roman;Times;serif"/>
          <w:b/>
          <w:color w:val="000000"/>
          <w:sz w:val="20"/>
        </w:rPr>
      </w:pPr>
      <w:bookmarkStart w:id="95" w:name="tIED"/>
      <w:bookmarkEnd w:id="95"/>
      <w:r>
        <w:rPr>
          <w:rFonts w:ascii="Times New Roman;Times;serif" w:hAnsi="Times New Roman;Times;serif"/>
          <w:b/>
          <w:color w:val="000000"/>
          <w:sz w:val="20"/>
        </w:rPr>
        <w:t>Identifying and Evaluating Director Nominees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has delegated to the nominating and corporate governance committee the responsibility of identifying individuals qualified to become members of the board of directors and recommending to the board of directors nominees to fill vacancies and newly created directorships and the nominees to stand for election as directors. If the nominating and corporate governance committee determines that an additional or replacement director is required, it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the board of directors or management.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its evaluation of director candidates, including the members of the board of directors eligible for reelection, the nominating and corporate governance committee will consider the current size and composition of the board of directors and the needs of the board of directors and its committees. Some of the factors that our nominating and corporate governance committee considers include, without limitation, character, integrity, judgment, diversity, including diversity in terms of gender, race, ethnicity and experience, independence, area of expertise, corporate experience, length of service, potential conflicts of interest, other commitments and similar factors.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Nominees must also have the highest personal and professional ethics and integrity, proven achievement and competence in the nominee’s field and the ability to exercise sound business judgment, skills that are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6" w:name="DSPFPageBreakArea16"/>
      <w:bookmarkStart w:id="97" w:name="DSPFPageBreakArea16"/>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8" w:name="DSPFPageBreak16"/>
      <w:bookmarkStart w:id="99" w:name="DSPFPageBreak16"/>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00" w:name="ny20006675x1_def14a_105-director_pg8"/>
        <w:bookmarkEnd w:id="10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complementary to those of the existing board of directors, the ability to assist and support management and make significant contributions to the Company’s success, and an understanding of the fiduciary responsibilities that are required of a member of the board of directors and the commitment of time and energy necessary to diligently carry out those responsibilities.</w:t>
      </w:r>
    </w:p>
    <w:p>
      <w:pPr>
        <w:pStyle w:val="TextBody"/>
        <w:spacing w:before="240" w:after="283"/>
        <w:ind w:left="0" w:right="0" w:hanging="0"/>
        <w:jc w:val="left"/>
        <w:rPr>
          <w:rFonts w:ascii="Times New Roman;Times;serif" w:hAnsi="Times New Roman;Times;serif"/>
          <w:b/>
          <w:color w:val="000000"/>
          <w:sz w:val="20"/>
        </w:rPr>
      </w:pPr>
      <w:bookmarkStart w:id="101" w:name="tRB"/>
      <w:bookmarkEnd w:id="101"/>
      <w:r>
        <w:rPr>
          <w:rFonts w:ascii="Times New Roman;Times;serif" w:hAnsi="Times New Roman;Times;serif"/>
          <w:b/>
          <w:color w:val="000000"/>
          <w:sz w:val="20"/>
        </w:rPr>
        <w:t>Role of the Board in Risk Oversight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has an active role, as a whole and also at the committee level, in overseeing the management of our risks. Our board of directors is responsible for general oversight of risks and regular review of information regarding our risks, including operational, cybersecurity, credit and liquidity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nominating and corporate governance committee is responsible for identifying, evaluating and recommending to our board of directors’ nominees for election and the composition of our board of directors and its committees. Although each committee is responsible for evaluating certain risks and overseeing the management of such risks, our board of directors is regularly informed on risks related to our overall operations as a clinical stage precision oncology company, as well as through discussions from committee members about their respective areas of risk oversight. The board of directors’ allocation of risk oversight responsibility may change from time to time based on the evolving needs of the Company.</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believes its current leadership structure supports the risk oversight function of the board. Given the operating experience of our board members, either as executive officers or members of the board of directors of other biopharmaceutical companies, we believe that our board leadership structure has the requisite experience and expertise to oversee the board of directors’ risk oversight function There is also open communication between management and directors through periodic reviews of our key risk areas and mitigation steps to reduce our risk exposure, and all directors are actively involved in the risk oversight function.</w:t>
      </w:r>
    </w:p>
    <w:p>
      <w:pPr>
        <w:pStyle w:val="TextBody"/>
        <w:spacing w:before="240" w:after="283"/>
        <w:ind w:left="0" w:right="0" w:hanging="0"/>
        <w:jc w:val="left"/>
        <w:rPr>
          <w:rFonts w:ascii="Times New Roman;Times;serif" w:hAnsi="Times New Roman;Times;serif"/>
          <w:b/>
          <w:color w:val="000000"/>
          <w:sz w:val="20"/>
        </w:rPr>
      </w:pPr>
      <w:bookmarkStart w:id="102" w:name="tSRN"/>
      <w:bookmarkEnd w:id="102"/>
      <w:r>
        <w:rPr>
          <w:rFonts w:ascii="Times New Roman;Times;serif" w:hAnsi="Times New Roman;Times;serif"/>
          <w:b/>
          <w:color w:val="000000"/>
          <w:sz w:val="20"/>
        </w:rPr>
        <w:t>Stockholder Recommendations and Nominations to our Board of Directors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nominating and corporate governance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amended and restated bylaws, all applicable company policies and all applicable laws, rules and regulations, including those promulgated by the SEC. Our nominating and corporate governance committee will evaluate such recommendations in accordance with its charter, our bylaws and corporate governance guidelines and the director nominee criteria described above.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stockholder that wants to recommend a candidate to our board of directors should direct the recommendation in writing by letter to our corporate secretary at PMV Pharmaceuticals, Inc., One Research Way, Princeton, New Jersey 08540,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corporate governance committee has discretion to decide which individuals to recommend for nomination as directors.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our amended and restated bylaws, stockholders may also directly nominate persons for our board of directors. Any nomination must comply with the requirements set forth in our amended and restated bylaws and the rules and regulations of the SEC and should be sent in writing to our corporate secretary at the address above. To be timely for our 2023 annual meeting of stockholders, nominations must be received by our corporate secretary observing the deadlines discussed below under “</w:t>
      </w:r>
      <w:r>
        <w:rPr>
          <w:rFonts w:ascii="Times New Roman;Times;serif" w:hAnsi="Times New Roman;Times;serif"/>
          <w:i/>
          <w:color w:val="000000"/>
          <w:sz w:val="20"/>
        </w:rPr>
        <w:t>Other Matters—Stockholder Proposals or Director Nominations for 2024 Annual Meeting</w:t>
      </w:r>
      <w:r>
        <w:rPr>
          <w:rFonts w:ascii="Times New Roman;Times;serif" w:hAnsi="Times New Roman;Times;serif"/>
          <w:color w:val="000000"/>
          <w:sz w:val="20"/>
        </w:rPr>
        <w:t>.”</w:t>
      </w:r>
    </w:p>
    <w:p>
      <w:pPr>
        <w:pStyle w:val="TextBody"/>
        <w:spacing w:before="240" w:after="283"/>
        <w:ind w:left="0" w:right="0" w:hanging="0"/>
        <w:jc w:val="left"/>
        <w:rPr>
          <w:rFonts w:ascii="Times New Roman;Times;serif" w:hAnsi="Times New Roman;Times;serif"/>
          <w:b/>
          <w:color w:val="000000"/>
          <w:sz w:val="20"/>
        </w:rPr>
      </w:pPr>
      <w:bookmarkStart w:id="103" w:name="tCBD"/>
      <w:bookmarkEnd w:id="103"/>
      <w:r>
        <w:rPr>
          <w:rFonts w:ascii="Times New Roman;Times;serif" w:hAnsi="Times New Roman;Times;serif"/>
          <w:b/>
          <w:color w:val="000000"/>
          <w:sz w:val="20"/>
        </w:rPr>
        <w:t>Communications with the Board of Directors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and other interested parties wishing to communicate directly with our non-management directors, may do so by writing and sending the correspondence to our General Counsel by mail to our principal executive offices at PMV Pharmaceuticals, Inc., One Research Way, Princeton, New Jersey 08540. Our General Counsel, in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4" w:name="DSPFPageBreakArea17"/>
      <w:bookmarkStart w:id="105" w:name="DSPFPageBreakArea17"/>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6" w:name="DSPFPageBreak17"/>
      <w:bookmarkStart w:id="107" w:name="DSPFPageBreak17"/>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08" w:name="ny20006675x1_def14a_105-director_pg9"/>
        <w:bookmarkEnd w:id="10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consultation with appropriate directors as necessary, will review all incoming communications and screen for communications that (1) are solicitations for products and services, (2) relate to matters of a personal nature not relevant for our stockholders to act on or for our board of directors to consider and (3) matters that are of a type that are improper or irrelevant to the functioning of our board of directors or our business, for example, mass mailings, job inquiries and business solicitations. If appropriate, our General Counsel will route such communications to the appropriate director(s) or, if none is specified, then to the chairperson of the board of directors. These policies and procedures do not apply to communications to non-management directors from our officers or directors who are stockholders or stockholder proposals submitted pursuant to Rule 14a-8 under the Exchange Act.</w:t>
      </w:r>
    </w:p>
    <w:p>
      <w:pPr>
        <w:pStyle w:val="TextBody"/>
        <w:spacing w:before="410" w:after="283"/>
        <w:ind w:left="0" w:right="0" w:hanging="0"/>
        <w:jc w:val="left"/>
        <w:rPr>
          <w:rFonts w:ascii="Times New Roman;Times;serif" w:hAnsi="Times New Roman;Times;serif"/>
          <w:b/>
          <w:color w:val="000000"/>
          <w:sz w:val="20"/>
        </w:rPr>
      </w:pPr>
      <w:bookmarkStart w:id="109" w:name="tCGG"/>
      <w:bookmarkEnd w:id="109"/>
      <w:r>
        <w:rPr>
          <w:rFonts w:ascii="Times New Roman;Times;serif" w:hAnsi="Times New Roman;Times;serif"/>
          <w:b/>
          <w:color w:val="000000"/>
          <w:sz w:val="20"/>
        </w:rPr>
        <w:t>Corporate Governance Guidelines and Code of Business Conduct and Ethics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ir.pmvpharma.com. We will post amendments to our code of business conduct and ethics or any waivers of our code of business conduct and ethics for directors and executive officers on the same website.</w:t>
      </w:r>
    </w:p>
    <w:p>
      <w:pPr>
        <w:pStyle w:val="TextBody"/>
        <w:spacing w:before="410" w:after="283"/>
        <w:ind w:left="0" w:right="0" w:hanging="0"/>
        <w:jc w:val="left"/>
        <w:rPr>
          <w:rFonts w:ascii="Times New Roman;Times;serif" w:hAnsi="Times New Roman;Times;serif"/>
          <w:b/>
          <w:color w:val="000000"/>
          <w:sz w:val="20"/>
        </w:rPr>
      </w:pPr>
      <w:bookmarkStart w:id="110" w:name="tCCI"/>
      <w:bookmarkEnd w:id="110"/>
      <w:r>
        <w:rPr>
          <w:rFonts w:ascii="Times New Roman;Times;serif" w:hAnsi="Times New Roman;Times;serif"/>
          <w:b/>
          <w:color w:val="000000"/>
          <w:sz w:val="20"/>
        </w:rPr>
        <w:t>Compensation Committee Interlocks and Insider Participation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During 2022, the members of our compensation committee were Dr. Heyman, Peter Thompson, M.D., until his resignation on January 5, 2022, and Ms. Stelzer and Dr. Baum, each effective as of January 5, 2022. Dr. Thompson’s resignation from our board of directors was not related to any disagreement with the Company on any matter relating to its operations, policies or practices. None of the members of the fiscal year 2022 compensation committee (Dr. Heyman, Dr. Thompson, Ms. Stelzer and Dr. Baum) has been an officer or employee of PMV Pharmaceuticals or any of our subsidiaries at any time.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pStyle w:val="TextBody"/>
        <w:spacing w:before="410" w:after="283"/>
        <w:ind w:left="0" w:right="0" w:hanging="0"/>
        <w:jc w:val="left"/>
        <w:rPr>
          <w:rFonts w:ascii="Times New Roman;Times;serif" w:hAnsi="Times New Roman;Times;serif"/>
          <w:b/>
          <w:color w:val="000000"/>
          <w:sz w:val="20"/>
        </w:rPr>
      </w:pPr>
      <w:bookmarkStart w:id="111" w:name="tODC"/>
      <w:bookmarkEnd w:id="111"/>
      <w:r>
        <w:rPr>
          <w:rFonts w:ascii="Times New Roman;Times;serif" w:hAnsi="Times New Roman;Times;serif"/>
          <w:b/>
          <w:color w:val="000000"/>
          <w:sz w:val="20"/>
        </w:rPr>
        <w:t>Outside Director Compensation Policy</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adopted an outside director compensation policy (the “Director Compensation Policy”) that became effective upon the closing of our initial public offering in September 2020, and is subject to an annual review by our compensation committee in consultation with our compensation consultant and recommendation for any revisions to our board of directors. In May 2022, the Company revised the Director Compensation Policy to increase director compensation to remain consistent with companies similar to its industry and market capitalization. Such increase is in the form of stock options to purchase shares of our common stock to further align the interests of our directors with our stockholders. Our board of directors has the discretion to revise non-employee director compensation as it deems necessary or appropriate. Under our Director Compensation Policy, each non-employee director upon first becoming a non-employee director automatically receives an initial option to purchase 39,000 shares of common stock. The initial option vests in 36 equal, monthly installments after the grant date, subject to continued service through the vesting date. Additionally, each non-employee director automatically receives an annual option to purchase 19,500 shares, effective on the date of each annual meeting of the stockholders. The annual option vests on the earlier of one year following the grant date or the next annual meeting of stockholders, subject to continued service through the vesting date. All awards under the Director Compensation Policy accelerate and vest upon a change in control. The exercise price of all options under the Director Compensation Policy is the fair market value on the date of grant.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2" w:name="DSPFPageBreakArea18"/>
      <w:bookmarkStart w:id="113" w:name="DSPFPageBreakArea18"/>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4" w:name="DSPFPageBreak18"/>
      <w:bookmarkStart w:id="115" w:name="DSPFPageBreak18"/>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16" w:name="ny20006675x1_def14a_105-director_pg10"/>
        <w:bookmarkEnd w:id="11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Compensation </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non-employee directors are entitled to receive the following cash compensation for their services:</w:t>
      </w:r>
    </w:p>
    <w:tbl>
      <w:tblPr>
        <w:tblW w:w="6236" w:type="dxa"/>
        <w:jc w:val="left"/>
        <w:tblInd w:w="0" w:type="dxa"/>
        <w:tblCellMar>
          <w:top w:w="0" w:type="dxa"/>
          <w:left w:w="0" w:type="dxa"/>
          <w:bottom w:w="85" w:type="dxa"/>
          <w:right w:w="0" w:type="dxa"/>
        </w:tblCellMar>
      </w:tblPr>
      <w:tblGrid>
        <w:gridCol w:w="5180"/>
        <w:gridCol w:w="23"/>
        <w:gridCol w:w="23"/>
        <w:gridCol w:w="1010"/>
      </w:tblGrid>
      <w:tr>
        <w:trPr/>
        <w:tc>
          <w:tcPr>
            <w:tcW w:w="518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Cash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Retainer</w:t>
            </w:r>
          </w:p>
        </w:tc>
      </w:tr>
      <w:tr>
        <w:trPr/>
        <w:tc>
          <w:tcPr>
            <w:tcW w:w="51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Base Director Fee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$40,000</w:t>
            </w:r>
          </w:p>
        </w:tc>
      </w:tr>
      <w:tr>
        <w:trPr/>
        <w:tc>
          <w:tcPr>
            <w:tcW w:w="51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Additional Chairperson Fee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5180" w:type="dxa"/>
            <w:tcBorders/>
            <w:shd w:fill="CCEEFF" w:val="clear"/>
            <w:tcMar>
              <w:bottom w:w="0" w:type="dxa"/>
            </w:tcM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Chair of the Board of Directors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$35,000</w:t>
            </w:r>
          </w:p>
        </w:tc>
      </w:tr>
      <w:tr>
        <w:trPr/>
        <w:tc>
          <w:tcPr>
            <w:tcW w:w="5180" w:type="dxa"/>
            <w:tcBorders/>
            <w:shd w:fill="auto" w:val="clear"/>
            <w:tcMar>
              <w:bottom w:w="0" w:type="dxa"/>
            </w:tcM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Chair of the Audit Committee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$15,000</w:t>
            </w:r>
          </w:p>
        </w:tc>
      </w:tr>
      <w:tr>
        <w:trPr/>
        <w:tc>
          <w:tcPr>
            <w:tcW w:w="5180" w:type="dxa"/>
            <w:tcBorders/>
            <w:shd w:fill="CCEEFF" w:val="clear"/>
            <w:tcMar>
              <w:bottom w:w="0" w:type="dxa"/>
            </w:tcM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Chair of the Compensation Committee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r>
      <w:tr>
        <w:trPr/>
        <w:tc>
          <w:tcPr>
            <w:tcW w:w="5180" w:type="dxa"/>
            <w:tcBorders/>
            <w:shd w:fill="auto" w:val="clear"/>
            <w:tcMar>
              <w:bottom w:w="0" w:type="dxa"/>
            </w:tcM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Chair of the Nominating and Corporate Governance Committee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8,000</w:t>
            </w:r>
          </w:p>
        </w:tc>
      </w:tr>
      <w:tr>
        <w:trPr/>
        <w:tc>
          <w:tcPr>
            <w:tcW w:w="51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Additional Committee Member Fee (excluding chairpersons)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0"/>
              <w:jc w:val="left"/>
              <w:rPr>
                <w:color w:val="000000"/>
              </w:rPr>
            </w:pPr>
            <w:r>
              <w:rPr>
                <w:color w:val="000000"/>
              </w:rPr>
              <w:t> </w:t>
            </w:r>
          </w:p>
        </w:tc>
      </w:tr>
      <w:tr>
        <w:trPr/>
        <w:tc>
          <w:tcPr>
            <w:tcW w:w="5180" w:type="dxa"/>
            <w:tcBorders/>
            <w:shd w:fill="auto" w:val="clear"/>
            <w:tcMar>
              <w:bottom w:w="0" w:type="dxa"/>
            </w:tcM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7,500</w:t>
            </w:r>
          </w:p>
        </w:tc>
      </w:tr>
      <w:tr>
        <w:trPr/>
        <w:tc>
          <w:tcPr>
            <w:tcW w:w="5180" w:type="dxa"/>
            <w:tcBorders/>
            <w:shd w:fill="CCEEFF" w:val="clear"/>
            <w:tcMar>
              <w:bottom w:w="0" w:type="dxa"/>
            </w:tcM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10" w:type="dxa"/>
            <w:tcBorders/>
            <w:shd w:fill="CCEEFF" w:val="clear"/>
            <w:tcMar>
              <w:bottom w:w="0" w:type="dxa"/>
            </w:tcMar>
            <w:vAlign w:val="center"/>
          </w:tcPr>
          <w:p>
            <w:pPr>
              <w:pStyle w:val="TableContents"/>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5,000</w:t>
            </w:r>
          </w:p>
        </w:tc>
      </w:tr>
      <w:tr>
        <w:trPr/>
        <w:tc>
          <w:tcPr>
            <w:tcW w:w="5180" w:type="dxa"/>
            <w:tcBorders/>
            <w:shd w:fill="auto" w:val="clear"/>
            <w:tcMar>
              <w:bottom w:w="0" w:type="dxa"/>
            </w:tcM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 Committee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10" w:type="dxa"/>
            <w:tcBorders/>
            <w:shd w:fill="auto" w:val="clear"/>
            <w:tcMar>
              <w:bottom w:w="0" w:type="dxa"/>
            </w:tcMar>
            <w:vAlign w:val="center"/>
          </w:tcPr>
          <w:p>
            <w:pPr>
              <w:pStyle w:val="TableContents"/>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4,000</w:t>
            </w:r>
          </w:p>
        </w:tc>
      </w:tr>
    </w:tbl>
    <w:p>
      <w:pPr>
        <w:pStyle w:val="TextBody"/>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 Compensation for Fiscal Year Ending 2022</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regarding the total compensation awarded to, earned by or paid to our non-employee directors for their service on our board of directors, for the fiscal year ending December 31, 2022. Directors who are also our employees receive no additional compensation for their service as directors. For the fiscal year ending December 31, 2022, Dr. Mack was an employee and executive officer of the company and therefore, did not receive compensation as a director. See “</w:t>
      </w:r>
      <w:r>
        <w:rPr>
          <w:rFonts w:ascii="Times New Roman;Times;serif" w:hAnsi="Times New Roman;Times;serif"/>
          <w:i/>
          <w:color w:val="000000"/>
          <w:sz w:val="20"/>
        </w:rPr>
        <w:t>Executive Compensation</w:t>
      </w:r>
      <w:r>
        <w:rPr>
          <w:rFonts w:ascii="Times New Roman;Times;serif" w:hAnsi="Times New Roman;Times;serif"/>
          <w:color w:val="000000"/>
          <w:sz w:val="20"/>
        </w:rPr>
        <w:t xml:space="preserve">” for additional information regarding Dr. Mack’s compensation. </w:t>
      </w:r>
    </w:p>
    <w:tbl>
      <w:tblPr>
        <w:tblW w:w="8987" w:type="dxa"/>
        <w:jc w:val="left"/>
        <w:tblInd w:w="0" w:type="dxa"/>
        <w:tblCellMar>
          <w:top w:w="0" w:type="dxa"/>
          <w:left w:w="0" w:type="dxa"/>
          <w:bottom w:w="85" w:type="dxa"/>
          <w:right w:w="0" w:type="dxa"/>
        </w:tblCellMar>
      </w:tblPr>
      <w:tblGrid>
        <w:gridCol w:w="2285"/>
        <w:gridCol w:w="23"/>
        <w:gridCol w:w="23"/>
        <w:gridCol w:w="860"/>
        <w:gridCol w:w="23"/>
        <w:gridCol w:w="23"/>
        <w:gridCol w:w="725"/>
        <w:gridCol w:w="23"/>
        <w:gridCol w:w="23"/>
        <w:gridCol w:w="815"/>
        <w:gridCol w:w="23"/>
        <w:gridCol w:w="23"/>
        <w:gridCol w:w="1160"/>
        <w:gridCol w:w="23"/>
        <w:gridCol w:w="23"/>
        <w:gridCol w:w="995"/>
        <w:gridCol w:w="23"/>
        <w:gridCol w:w="23"/>
        <w:gridCol w:w="1160"/>
        <w:gridCol w:w="23"/>
        <w:gridCol w:w="23"/>
        <w:gridCol w:w="665"/>
      </w:tblGrid>
      <w:tr>
        <w:trPr/>
        <w:tc>
          <w:tcPr>
            <w:tcW w:w="228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Fees Paid or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Earned in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Cash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Non-Equity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Incentive Plan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Change in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Pension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and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Nonqualified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Deferred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Compensation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Earnings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All Other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Total ($)</w:t>
            </w:r>
          </w:p>
        </w:tc>
      </w:tr>
      <w:tr>
        <w:trPr/>
        <w:tc>
          <w:tcPr>
            <w:tcW w:w="22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Richard Heyman, Ph.D.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 w:type="dxa"/>
            <w:tcBorders/>
            <w:shd w:fill="CCEEFF" w:val="clear"/>
            <w:tcMar>
              <w:bottom w:w="0" w:type="dxa"/>
            </w:tcMar>
            <w:vAlign w:val="center"/>
          </w:tcPr>
          <w:p>
            <w:pPr>
              <w:pStyle w:val="TableContents"/>
              <w:spacing w:before="0" w:after="283"/>
              <w:ind w:left="144" w:right="0" w:hanging="0"/>
              <w:jc w:val="left"/>
              <w:rPr>
                <w:rFonts w:ascii="Times New Roman;Times;serif" w:hAnsi="Times New Roman;Times;serif"/>
                <w:color w:val="000000"/>
                <w:sz w:val="18"/>
              </w:rPr>
            </w:pPr>
            <w:r>
              <w:rPr>
                <w:rFonts w:ascii="Times New Roman;Times;serif" w:hAnsi="Times New Roman;Times;serif"/>
                <w:color w:val="000000"/>
                <w:sz w:val="18"/>
              </w:rPr>
              <w:t>96,500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25" w:type="dxa"/>
            <w:tcBorders/>
            <w:shd w:fill="CCEEFF" w:val="clear"/>
            <w:tcMar>
              <w:bottom w:w="0" w:type="dxa"/>
            </w:tcMar>
            <w:vAlign w:val="center"/>
          </w:tcPr>
          <w:p>
            <w:pPr>
              <w:pStyle w:val="TableContents"/>
              <w:spacing w:before="0" w:after="283"/>
              <w:ind w:left="25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50" w:right="0" w:hanging="0"/>
              <w:jc w:val="left"/>
              <w:rPr>
                <w:rFonts w:ascii="Times New Roman;Times;serif" w:hAnsi="Times New Roman;Times;serif"/>
                <w:color w:val="000000"/>
                <w:sz w:val="18"/>
              </w:rPr>
            </w:pPr>
            <w:r>
              <w:rPr>
                <w:rFonts w:ascii="Times New Roman;Times;serif" w:hAnsi="Times New Roman;Times;serif"/>
                <w:color w:val="000000"/>
                <w:sz w:val="18"/>
              </w:rPr>
              <w:t>175,058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60" w:type="dxa"/>
            <w:tcBorders/>
            <w:shd w:fill="CCEEFF" w:val="clear"/>
            <w:tcMar>
              <w:bottom w:w="0" w:type="dxa"/>
            </w:tcMar>
            <w:vAlign w:val="center"/>
          </w:tcPr>
          <w:p>
            <w:pPr>
              <w:pStyle w:val="TableContents"/>
              <w:spacing w:before="0" w:after="283"/>
              <w:ind w:left="46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354"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60" w:type="dxa"/>
            <w:tcBorders/>
            <w:shd w:fill="CCEEFF" w:val="clear"/>
            <w:tcMar>
              <w:bottom w:w="0" w:type="dxa"/>
            </w:tcMar>
            <w:vAlign w:val="center"/>
          </w:tcPr>
          <w:p>
            <w:pPr>
              <w:pStyle w:val="TableContents"/>
              <w:spacing w:before="0" w:after="283"/>
              <w:ind w:left="259"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271,558</w:t>
            </w:r>
          </w:p>
        </w:tc>
      </w:tr>
      <w:tr>
        <w:trPr/>
        <w:tc>
          <w:tcPr>
            <w:tcW w:w="22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Charles M. Baum, M.D., Ph.D.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 w:type="dxa"/>
            <w:tcBorders/>
            <w:shd w:fill="auto" w:val="clear"/>
            <w:tcMar>
              <w:bottom w:w="0" w:type="dxa"/>
            </w:tcMar>
            <w:vAlign w:val="center"/>
          </w:tcPr>
          <w:p>
            <w:pPr>
              <w:pStyle w:val="TableContents"/>
              <w:spacing w:before="0" w:after="283"/>
              <w:ind w:left="144" w:right="0" w:hanging="0"/>
              <w:jc w:val="left"/>
              <w:rPr>
                <w:rFonts w:ascii="Times New Roman;Times;serif" w:hAnsi="Times New Roman;Times;serif"/>
                <w:color w:val="000000"/>
                <w:sz w:val="18"/>
              </w:rPr>
            </w:pPr>
            <w:r>
              <w:rPr>
                <w:rFonts w:ascii="Times New Roman;Times;serif" w:hAnsi="Times New Roman;Times;serif"/>
                <w:color w:val="000000"/>
                <w:sz w:val="18"/>
              </w:rPr>
              <w:t>53,000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25" w:type="dxa"/>
            <w:tcBorders/>
            <w:shd w:fill="auto" w:val="clear"/>
            <w:tcMar>
              <w:bottom w:w="0" w:type="dxa"/>
            </w:tcMar>
            <w:vAlign w:val="center"/>
          </w:tcPr>
          <w:p>
            <w:pPr>
              <w:pStyle w:val="TableContents"/>
              <w:spacing w:before="0" w:after="283"/>
              <w:ind w:left="252"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50" w:right="0" w:hanging="0"/>
              <w:jc w:val="left"/>
              <w:rPr>
                <w:rFonts w:ascii="Times New Roman;Times;serif" w:hAnsi="Times New Roman;Times;serif"/>
                <w:color w:val="000000"/>
                <w:sz w:val="18"/>
              </w:rPr>
            </w:pPr>
            <w:r>
              <w:rPr>
                <w:rFonts w:ascii="Times New Roman;Times;serif" w:hAnsi="Times New Roman;Times;serif"/>
                <w:color w:val="000000"/>
                <w:sz w:val="18"/>
              </w:rPr>
              <w:t>175,058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60" w:type="dxa"/>
            <w:tcBorders/>
            <w:shd w:fill="auto" w:val="clear"/>
            <w:tcMar>
              <w:bottom w:w="0" w:type="dxa"/>
            </w:tcMar>
            <w:vAlign w:val="center"/>
          </w:tcPr>
          <w:p>
            <w:pPr>
              <w:pStyle w:val="TableContents"/>
              <w:spacing w:before="0" w:after="283"/>
              <w:ind w:left="462"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354"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60" w:type="dxa"/>
            <w:tcBorders/>
            <w:shd w:fill="auto" w:val="clear"/>
            <w:tcMar>
              <w:bottom w:w="0" w:type="dxa"/>
            </w:tcMar>
            <w:vAlign w:val="center"/>
          </w:tcPr>
          <w:p>
            <w:pPr>
              <w:pStyle w:val="TableContents"/>
              <w:spacing w:before="0" w:after="283"/>
              <w:ind w:left="259"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228,058</w:t>
            </w:r>
          </w:p>
        </w:tc>
      </w:tr>
      <w:tr>
        <w:trPr/>
        <w:tc>
          <w:tcPr>
            <w:tcW w:w="22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Kirsten Flowers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 w:type="dxa"/>
            <w:tcBorders/>
            <w:shd w:fill="CCEEFF" w:val="clear"/>
            <w:tcMar>
              <w:bottom w:w="0" w:type="dxa"/>
            </w:tcMar>
            <w:vAlign w:val="center"/>
          </w:tcPr>
          <w:p>
            <w:pPr>
              <w:pStyle w:val="TableContents"/>
              <w:spacing w:before="0" w:after="283"/>
              <w:ind w:left="144" w:right="0" w:hanging="0"/>
              <w:jc w:val="left"/>
              <w:rPr>
                <w:rFonts w:ascii="Times New Roman;Times;serif" w:hAnsi="Times New Roman;Times;serif"/>
                <w:color w:val="000000"/>
                <w:sz w:val="18"/>
              </w:rPr>
            </w:pPr>
            <w:r>
              <w:rPr>
                <w:rFonts w:ascii="Times New Roman;Times;serif" w:hAnsi="Times New Roman;Times;serif"/>
                <w:color w:val="000000"/>
                <w:sz w:val="18"/>
              </w:rPr>
              <w:t>40,000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25" w:type="dxa"/>
            <w:tcBorders/>
            <w:shd w:fill="CCEEFF" w:val="clear"/>
            <w:tcMar>
              <w:bottom w:w="0" w:type="dxa"/>
            </w:tcMar>
            <w:vAlign w:val="center"/>
          </w:tcPr>
          <w:p>
            <w:pPr>
              <w:pStyle w:val="TableContents"/>
              <w:spacing w:before="0" w:after="283"/>
              <w:ind w:left="25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lineRule="auto" w:line="240" w:before="0" w:after="283"/>
              <w:ind w:left="50" w:right="0" w:hanging="0"/>
              <w:jc w:val="left"/>
              <w:rPr>
                <w:rFonts w:ascii="Times New Roman;Times;serif" w:hAnsi="Times New Roman;Times;serif"/>
                <w:color w:val="000000"/>
                <w:sz w:val="18"/>
              </w:rPr>
            </w:pPr>
            <w:r>
              <w:rPr>
                <w:rFonts w:ascii="Times New Roman;Times;serif" w:hAnsi="Times New Roman;Times;serif"/>
                <w:color w:val="000000"/>
                <w:sz w:val="18"/>
              </w:rPr>
              <w:t>585,858(1)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60" w:type="dxa"/>
            <w:tcBorders/>
            <w:shd w:fill="CCEEFF" w:val="clear"/>
            <w:tcMar>
              <w:bottom w:w="0" w:type="dxa"/>
            </w:tcMar>
            <w:vAlign w:val="center"/>
          </w:tcPr>
          <w:p>
            <w:pPr>
              <w:pStyle w:val="TableContents"/>
              <w:spacing w:before="0" w:after="283"/>
              <w:ind w:left="46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354"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60" w:type="dxa"/>
            <w:tcBorders/>
            <w:shd w:fill="CCEEFF" w:val="clear"/>
            <w:tcMar>
              <w:bottom w:w="0" w:type="dxa"/>
            </w:tcMar>
            <w:vAlign w:val="center"/>
          </w:tcPr>
          <w:p>
            <w:pPr>
              <w:pStyle w:val="TableContents"/>
              <w:spacing w:before="0" w:after="283"/>
              <w:ind w:left="259"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625,858 </w:t>
            </w:r>
          </w:p>
        </w:tc>
      </w:tr>
      <w:tr>
        <w:trPr/>
        <w:tc>
          <w:tcPr>
            <w:tcW w:w="22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Carol Gallagher, Pharm.D.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 w:type="dxa"/>
            <w:tcBorders/>
            <w:shd w:fill="auto" w:val="clear"/>
            <w:tcMar>
              <w:bottom w:w="0" w:type="dxa"/>
            </w:tcMar>
            <w:vAlign w:val="center"/>
          </w:tcPr>
          <w:p>
            <w:pPr>
              <w:pStyle w:val="TableContents"/>
              <w:spacing w:before="0" w:after="283"/>
              <w:ind w:left="144" w:right="0" w:hanging="0"/>
              <w:jc w:val="left"/>
              <w:rPr>
                <w:rFonts w:ascii="Times New Roman;Times;serif" w:hAnsi="Times New Roman;Times;serif"/>
                <w:color w:val="000000"/>
                <w:sz w:val="18"/>
              </w:rPr>
            </w:pPr>
            <w:r>
              <w:rPr>
                <w:rFonts w:ascii="Times New Roman;Times;serif" w:hAnsi="Times New Roman;Times;serif"/>
                <w:color w:val="000000"/>
                <w:sz w:val="18"/>
              </w:rPr>
              <w:t>7,333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25" w:type="dxa"/>
            <w:tcBorders/>
            <w:shd w:fill="auto" w:val="clear"/>
            <w:tcMar>
              <w:bottom w:w="0" w:type="dxa"/>
            </w:tcMar>
            <w:vAlign w:val="center"/>
          </w:tcPr>
          <w:p>
            <w:pPr>
              <w:pStyle w:val="TableContents"/>
              <w:spacing w:before="0" w:after="283"/>
              <w:ind w:left="252"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lineRule="auto" w:line="240" w:before="0" w:after="283"/>
              <w:ind w:left="50" w:right="0" w:hanging="0"/>
              <w:jc w:val="left"/>
              <w:rPr>
                <w:rFonts w:ascii="Times New Roman;Times;serif" w:hAnsi="Times New Roman;Times;serif"/>
                <w:color w:val="000000"/>
                <w:sz w:val="18"/>
              </w:rPr>
            </w:pPr>
            <w:r>
              <w:rPr>
                <w:rFonts w:ascii="Times New Roman;Times;serif" w:hAnsi="Times New Roman;Times;serif"/>
                <w:color w:val="000000"/>
                <w:sz w:val="18"/>
              </w:rPr>
              <w:t>300,570(2)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6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60" w:type="dxa"/>
            <w:tcBorders/>
            <w:shd w:fill="auto" w:val="clear"/>
            <w:tcMar>
              <w:bottom w:w="0" w:type="dxa"/>
            </w:tcMar>
            <w:vAlign w:val="center"/>
          </w:tcPr>
          <w:p>
            <w:pPr>
              <w:pStyle w:val="TableContents"/>
              <w:spacing w:before="0" w:after="283"/>
              <w:ind w:left="259"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307,903</w:t>
            </w:r>
          </w:p>
        </w:tc>
      </w:tr>
      <w:tr>
        <w:trPr/>
        <w:tc>
          <w:tcPr>
            <w:tcW w:w="22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Arnold Levine, Ph.D.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 w:type="dxa"/>
            <w:tcBorders/>
            <w:shd w:fill="CCEEFF" w:val="clear"/>
            <w:tcMar>
              <w:bottom w:w="0" w:type="dxa"/>
            </w:tcMar>
            <w:vAlign w:val="center"/>
          </w:tcPr>
          <w:p>
            <w:pPr>
              <w:pStyle w:val="TableContents"/>
              <w:spacing w:before="0" w:after="283"/>
              <w:ind w:left="144" w:right="0" w:hanging="0"/>
              <w:jc w:val="left"/>
              <w:rPr>
                <w:rFonts w:ascii="Times New Roman;Times;serif" w:hAnsi="Times New Roman;Times;serif"/>
                <w:color w:val="000000"/>
                <w:sz w:val="18"/>
              </w:rPr>
            </w:pPr>
            <w:r>
              <w:rPr>
                <w:rFonts w:ascii="Times New Roman;Times;serif" w:hAnsi="Times New Roman;Times;serif"/>
                <w:color w:val="000000"/>
                <w:sz w:val="18"/>
              </w:rPr>
              <w:t>40,000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25" w:type="dxa"/>
            <w:tcBorders/>
            <w:shd w:fill="CCEEFF" w:val="clear"/>
            <w:tcMar>
              <w:bottom w:w="0" w:type="dxa"/>
            </w:tcMar>
            <w:vAlign w:val="center"/>
          </w:tcPr>
          <w:p>
            <w:pPr>
              <w:pStyle w:val="TableContents"/>
              <w:spacing w:before="0" w:after="283"/>
              <w:ind w:left="25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50" w:right="0" w:hanging="0"/>
              <w:jc w:val="left"/>
              <w:rPr>
                <w:rFonts w:ascii="Times New Roman;Times;serif" w:hAnsi="Times New Roman;Times;serif"/>
                <w:color w:val="000000"/>
                <w:sz w:val="18"/>
              </w:rPr>
            </w:pPr>
            <w:r>
              <w:rPr>
                <w:rFonts w:ascii="Times New Roman;Times;serif" w:hAnsi="Times New Roman;Times;serif"/>
                <w:color w:val="000000"/>
                <w:sz w:val="18"/>
              </w:rPr>
              <w:t>175,058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60" w:type="dxa"/>
            <w:tcBorders/>
            <w:shd w:fill="CCEEFF" w:val="clear"/>
            <w:tcMar>
              <w:bottom w:w="0" w:type="dxa"/>
            </w:tcMar>
            <w:vAlign w:val="center"/>
          </w:tcPr>
          <w:p>
            <w:pPr>
              <w:pStyle w:val="TableContents"/>
              <w:spacing w:before="0" w:after="283"/>
              <w:ind w:left="46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354"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60" w:type="dxa"/>
            <w:tcBorders/>
            <w:shd w:fill="CCEEFF" w:val="clear"/>
            <w:tcMar>
              <w:bottom w:w="0" w:type="dxa"/>
            </w:tcMar>
            <w:vAlign w:val="center"/>
          </w:tcPr>
          <w:p>
            <w:pPr>
              <w:pStyle w:val="TableContents"/>
              <w:spacing w:lineRule="auto" w:line="240" w:before="0" w:after="283"/>
              <w:ind w:left="259" w:right="0" w:hanging="0"/>
              <w:jc w:val="left"/>
              <w:rPr>
                <w:rFonts w:ascii="Times New Roman;Times;serif" w:hAnsi="Times New Roman;Times;serif"/>
                <w:color w:val="000000"/>
                <w:sz w:val="18"/>
              </w:rPr>
            </w:pPr>
            <w:r>
              <w:rPr>
                <w:rFonts w:ascii="Times New Roman;Times;serif" w:hAnsi="Times New Roman;Times;serif"/>
                <w:color w:val="000000"/>
                <w:sz w:val="18"/>
              </w:rPr>
              <w:t>100,000(3)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315,058</w:t>
            </w:r>
          </w:p>
        </w:tc>
      </w:tr>
      <w:tr>
        <w:trPr/>
        <w:tc>
          <w:tcPr>
            <w:tcW w:w="228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Thilo Schroeder, Ph.D.(4)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 w:type="dxa"/>
            <w:tcBorders/>
            <w:shd w:fill="auto" w:val="clear"/>
            <w:tcMar>
              <w:bottom w:w="0" w:type="dxa"/>
            </w:tcMar>
            <w:vAlign w:val="center"/>
          </w:tcPr>
          <w:p>
            <w:pPr>
              <w:pStyle w:val="TableContents"/>
              <w:spacing w:before="0" w:after="283"/>
              <w:ind w:left="144"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25" w:type="dxa"/>
            <w:tcBorders/>
            <w:shd w:fill="auto" w:val="clear"/>
            <w:tcMar>
              <w:bottom w:w="0" w:type="dxa"/>
            </w:tcMar>
            <w:vAlign w:val="center"/>
          </w:tcPr>
          <w:p>
            <w:pPr>
              <w:pStyle w:val="TableContents"/>
              <w:spacing w:before="0" w:after="283"/>
              <w:ind w:left="252"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5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60" w:type="dxa"/>
            <w:tcBorders/>
            <w:shd w:fill="auto" w:val="clear"/>
            <w:tcMar>
              <w:bottom w:w="0" w:type="dxa"/>
            </w:tcMar>
            <w:vAlign w:val="center"/>
          </w:tcPr>
          <w:p>
            <w:pPr>
              <w:pStyle w:val="TableContents"/>
              <w:spacing w:before="0" w:after="283"/>
              <w:ind w:left="462"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354"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60" w:type="dxa"/>
            <w:tcBorders/>
            <w:shd w:fill="auto" w:val="clear"/>
            <w:tcMar>
              <w:bottom w:w="0" w:type="dxa"/>
            </w:tcMar>
            <w:vAlign w:val="center"/>
          </w:tcPr>
          <w:p>
            <w:pPr>
              <w:pStyle w:val="TableContents"/>
              <w:spacing w:before="0" w:after="283"/>
              <w:ind w:left="259"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6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r>
      <w:tr>
        <w:trPr/>
        <w:tc>
          <w:tcPr>
            <w:tcW w:w="22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Laurie Stelzer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 w:type="dxa"/>
            <w:tcBorders/>
            <w:shd w:fill="CCEEFF" w:val="clear"/>
            <w:tcMar>
              <w:bottom w:w="0" w:type="dxa"/>
            </w:tcMar>
            <w:vAlign w:val="center"/>
          </w:tcPr>
          <w:p>
            <w:pPr>
              <w:pStyle w:val="TableContents"/>
              <w:spacing w:before="0" w:after="283"/>
              <w:ind w:left="144" w:right="0" w:hanging="0"/>
              <w:jc w:val="left"/>
              <w:rPr>
                <w:rFonts w:ascii="Times New Roman;Times;serif" w:hAnsi="Times New Roman;Times;serif"/>
                <w:color w:val="000000"/>
                <w:sz w:val="18"/>
              </w:rPr>
            </w:pPr>
            <w:r>
              <w:rPr>
                <w:rFonts w:ascii="Times New Roman;Times;serif" w:hAnsi="Times New Roman;Times;serif"/>
                <w:color w:val="000000"/>
                <w:sz w:val="18"/>
              </w:rPr>
              <w:t>60,000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25" w:type="dxa"/>
            <w:tcBorders/>
            <w:shd w:fill="CCEEFF" w:val="clear"/>
            <w:tcMar>
              <w:bottom w:w="0" w:type="dxa"/>
            </w:tcMar>
            <w:vAlign w:val="center"/>
          </w:tcPr>
          <w:p>
            <w:pPr>
              <w:pStyle w:val="TableContents"/>
              <w:spacing w:before="0" w:after="283"/>
              <w:ind w:left="25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50" w:right="0" w:hanging="0"/>
              <w:jc w:val="left"/>
              <w:rPr>
                <w:rFonts w:ascii="Times New Roman;Times;serif" w:hAnsi="Times New Roman;Times;serif"/>
                <w:color w:val="000000"/>
                <w:sz w:val="18"/>
              </w:rPr>
            </w:pPr>
            <w:r>
              <w:rPr>
                <w:rFonts w:ascii="Times New Roman;Times;serif" w:hAnsi="Times New Roman;Times;serif"/>
                <w:color w:val="000000"/>
                <w:sz w:val="18"/>
              </w:rPr>
              <w:t>175,058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60" w:type="dxa"/>
            <w:tcBorders/>
            <w:shd w:fill="CCEEFF" w:val="clear"/>
            <w:tcMar>
              <w:bottom w:w="0" w:type="dxa"/>
            </w:tcMar>
            <w:vAlign w:val="center"/>
          </w:tcPr>
          <w:p>
            <w:pPr>
              <w:pStyle w:val="TableContents"/>
              <w:spacing w:before="0" w:after="283"/>
              <w:ind w:left="46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354"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60" w:type="dxa"/>
            <w:tcBorders/>
            <w:shd w:fill="CCEEFF" w:val="clear"/>
            <w:tcMar>
              <w:bottom w:w="0" w:type="dxa"/>
            </w:tcMar>
            <w:vAlign w:val="center"/>
          </w:tcPr>
          <w:p>
            <w:pPr>
              <w:pStyle w:val="TableContents"/>
              <w:spacing w:before="0" w:after="283"/>
              <w:ind w:left="259"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235,058</w:t>
            </w:r>
          </w:p>
        </w:tc>
      </w:tr>
      <w:tr>
        <w:trPr/>
        <w:tc>
          <w:tcPr>
            <w:tcW w:w="228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Peter Thompson, M.D.(5)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 w:type="dxa"/>
            <w:tcBorders/>
            <w:shd w:fill="auto" w:val="clear"/>
            <w:tcMar>
              <w:bottom w:w="0" w:type="dxa"/>
            </w:tcMar>
            <w:vAlign w:val="center"/>
          </w:tcPr>
          <w:p>
            <w:pPr>
              <w:pStyle w:val="TableContents"/>
              <w:spacing w:before="0" w:after="283"/>
              <w:ind w:left="144"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25" w:type="dxa"/>
            <w:tcBorders/>
            <w:shd w:fill="auto" w:val="clear"/>
            <w:tcMar>
              <w:bottom w:w="0" w:type="dxa"/>
            </w:tcMar>
            <w:vAlign w:val="center"/>
          </w:tcPr>
          <w:p>
            <w:pPr>
              <w:pStyle w:val="TableContents"/>
              <w:spacing w:before="0" w:after="283"/>
              <w:ind w:left="252"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5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60" w:type="dxa"/>
            <w:tcBorders/>
            <w:shd w:fill="auto" w:val="clear"/>
            <w:tcMar>
              <w:bottom w:w="0" w:type="dxa"/>
            </w:tcMar>
            <w:vAlign w:val="center"/>
          </w:tcPr>
          <w:p>
            <w:pPr>
              <w:pStyle w:val="TableContents"/>
              <w:spacing w:before="0" w:after="283"/>
              <w:ind w:left="462"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354"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60" w:type="dxa"/>
            <w:tcBorders/>
            <w:shd w:fill="auto" w:val="clear"/>
            <w:tcMar>
              <w:bottom w:w="0" w:type="dxa"/>
            </w:tcMar>
            <w:vAlign w:val="center"/>
          </w:tcPr>
          <w:p>
            <w:pPr>
              <w:pStyle w:val="TableContents"/>
              <w:spacing w:before="0" w:after="283"/>
              <w:ind w:left="259"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6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Ms. Flowers joined our board of directors effective January 4, 2022, and in accordance with our Outside Director Compensation Policy effective at the time, she received her initial grant of 32,677 options.</w:t>
            </w:r>
          </w:p>
        </w:tc>
      </w:tr>
    </w:tbl>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Gallagher joined our board of directors effective November 3, 2022, and in accordance with our Outside Director Compensation Policy, she received her initial grant of 39,000 options. </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Dr. Levine received annual compensation of $100,000 pursuant to a consulting agreement. For additional information regarding our consulting agreement with Dr. Levine, see “</w:t>
            </w:r>
            <w:r>
              <w:rPr>
                <w:rFonts w:ascii="Times New Roman;Times;serif" w:hAnsi="Times New Roman;Times;serif"/>
                <w:i/>
                <w:color w:val="000000"/>
                <w:sz w:val="16"/>
              </w:rPr>
              <w:t>Certain Relationships and Related Person Transactions—Consulting Agreement with Arnold Levine, Ph.D.</w:t>
            </w:r>
            <w:r>
              <w:rPr>
                <w:rFonts w:ascii="Times New Roman;Times;serif" w:hAnsi="Times New Roman;Times;serif"/>
                <w:color w:val="000000"/>
                <w:sz w:val="16"/>
              </w:rPr>
              <w:t>”</w:t>
            </w:r>
          </w:p>
        </w:tc>
      </w:tr>
    </w:tbl>
    <w:tbl>
      <w:tblPr>
        <w:tblW w:w="5875" w:type="dxa"/>
        <w:jc w:val="left"/>
        <w:tblInd w:w="0" w:type="dxa"/>
        <w:tblCellMar>
          <w:top w:w="0" w:type="dxa"/>
          <w:left w:w="0" w:type="dxa"/>
          <w:bottom w:w="0" w:type="dxa"/>
          <w:right w:w="0" w:type="dxa"/>
        </w:tblCellMar>
      </w:tblPr>
      <w:tblGrid>
        <w:gridCol w:w="230"/>
        <w:gridCol w:w="564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64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Dr. Schroeder resigned from our board of directors effective November 3, 2022.</w:t>
            </w:r>
          </w:p>
        </w:tc>
      </w:tr>
    </w:tbl>
    <w:tbl>
      <w:tblPr>
        <w:tblW w:w="5725" w:type="dxa"/>
        <w:jc w:val="left"/>
        <w:tblInd w:w="0" w:type="dxa"/>
        <w:tblCellMar>
          <w:top w:w="0" w:type="dxa"/>
          <w:left w:w="0" w:type="dxa"/>
          <w:bottom w:w="0" w:type="dxa"/>
          <w:right w:w="0" w:type="dxa"/>
        </w:tblCellMar>
      </w:tblPr>
      <w:tblGrid>
        <w:gridCol w:w="230"/>
        <w:gridCol w:w="549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549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Dr. Thompson resigned from our board of directors effective January 5, 2022.</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7" w:name="DSPFPageBreakArea19"/>
      <w:bookmarkStart w:id="118" w:name="DSPFPageBreakArea19"/>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9" w:name="DSPFPageBreak19"/>
      <w:bookmarkStart w:id="120" w:name="DSPFPageBreak19"/>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21" w:name="ny20006675x1_def14a_105-director_pg11"/>
        <w:bookmarkEnd w:id="12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lists all outstanding equity awards held by non-employee directors as of December 31, 2022. </w:t>
      </w:r>
    </w:p>
    <w:tbl>
      <w:tblPr>
        <w:tblW w:w="5477" w:type="dxa"/>
        <w:jc w:val="left"/>
        <w:tblInd w:w="0" w:type="dxa"/>
        <w:tblCellMar>
          <w:top w:w="0" w:type="dxa"/>
          <w:left w:w="0" w:type="dxa"/>
          <w:bottom w:w="85" w:type="dxa"/>
          <w:right w:w="0" w:type="dxa"/>
        </w:tblCellMar>
      </w:tblPr>
      <w:tblGrid>
        <w:gridCol w:w="2465"/>
        <w:gridCol w:w="23"/>
        <w:gridCol w:w="23"/>
        <w:gridCol w:w="1370"/>
        <w:gridCol w:w="23"/>
        <w:gridCol w:w="23"/>
        <w:gridCol w:w="1550"/>
      </w:tblGrid>
      <w:tr>
        <w:trPr/>
        <w:tc>
          <w:tcPr>
            <w:tcW w:w="246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5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 Options</w:t>
            </w:r>
          </w:p>
        </w:tc>
      </w:tr>
      <w:tr>
        <w:trPr/>
        <w:tc>
          <w:tcPr>
            <w:tcW w:w="24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Heyman, Ph.D.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70" w:type="dxa"/>
            <w:tcBorders/>
            <w:shd w:fill="CCEEFF" w:val="clear"/>
            <w:tcMar>
              <w:bottom w:w="0" w:type="dxa"/>
            </w:tcMar>
            <w:vAlign w:val="center"/>
          </w:tcPr>
          <w:p>
            <w:pPr>
              <w:pStyle w:val="TableContents"/>
              <w:spacing w:before="0" w:after="283"/>
              <w:ind w:left="53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50" w:type="dxa"/>
            <w:tcBorders/>
            <w:shd w:fill="CCEEFF" w:val="clear"/>
            <w:tcMar>
              <w:bottom w:w="0" w:type="dxa"/>
            </w:tcMar>
            <w:vAlign w:val="center"/>
          </w:tcPr>
          <w:p>
            <w:pPr>
              <w:pStyle w:val="TableContents"/>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281,758</w:t>
            </w:r>
          </w:p>
        </w:tc>
      </w:tr>
      <w:tr>
        <w:trPr/>
        <w:tc>
          <w:tcPr>
            <w:tcW w:w="24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Charles M. Baum, M.D., Ph.D.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70" w:type="dxa"/>
            <w:tcBorders/>
            <w:shd w:fill="auto" w:val="clear"/>
            <w:tcMar>
              <w:bottom w:w="0" w:type="dxa"/>
            </w:tcMar>
            <w:vAlign w:val="center"/>
          </w:tcPr>
          <w:p>
            <w:pPr>
              <w:pStyle w:val="TableContents"/>
              <w:spacing w:before="0" w:after="283"/>
              <w:ind w:left="532"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50" w:type="dxa"/>
            <w:tcBorders/>
            <w:shd w:fill="auto" w:val="clear"/>
            <w:tcMar>
              <w:bottom w:w="0" w:type="dxa"/>
            </w:tcMar>
            <w:vAlign w:val="center"/>
          </w:tcPr>
          <w:p>
            <w:pPr>
              <w:pStyle w:val="TableContents"/>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65,338</w:t>
            </w:r>
          </w:p>
        </w:tc>
      </w:tr>
      <w:tr>
        <w:trPr/>
        <w:tc>
          <w:tcPr>
            <w:tcW w:w="24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Kirsten Flowers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70" w:type="dxa"/>
            <w:tcBorders/>
            <w:shd w:fill="CCEEFF" w:val="clear"/>
            <w:tcMar>
              <w:bottom w:w="0" w:type="dxa"/>
            </w:tcMar>
            <w:vAlign w:val="center"/>
          </w:tcPr>
          <w:p>
            <w:pPr>
              <w:pStyle w:val="TableContents"/>
              <w:spacing w:before="0" w:after="283"/>
              <w:ind w:left="53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50" w:type="dxa"/>
            <w:tcBorders/>
            <w:shd w:fill="CCEEFF" w:val="clear"/>
            <w:tcMar>
              <w:bottom w:w="0" w:type="dxa"/>
            </w:tcMar>
            <w:vAlign w:val="center"/>
          </w:tcPr>
          <w:p>
            <w:pPr>
              <w:pStyle w:val="TableContents"/>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52,167</w:t>
            </w:r>
          </w:p>
        </w:tc>
      </w:tr>
      <w:tr>
        <w:trPr/>
        <w:tc>
          <w:tcPr>
            <w:tcW w:w="246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Carol Gallagher, Pharm.D.(1)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70" w:type="dxa"/>
            <w:tcBorders/>
            <w:shd w:fill="auto" w:val="clear"/>
            <w:tcMar>
              <w:bottom w:w="0" w:type="dxa"/>
            </w:tcMar>
            <w:vAlign w:val="center"/>
          </w:tcPr>
          <w:p>
            <w:pPr>
              <w:pStyle w:val="TableContents"/>
              <w:spacing w:before="0" w:after="283"/>
              <w:ind w:left="532"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50" w:type="dxa"/>
            <w:tcBorders/>
            <w:shd w:fill="auto" w:val="clear"/>
            <w:tcMar>
              <w:bottom w:w="0" w:type="dxa"/>
            </w:tcMar>
            <w:vAlign w:val="center"/>
          </w:tcPr>
          <w:p>
            <w:pPr>
              <w:pStyle w:val="TableContents"/>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39,000</w:t>
            </w:r>
          </w:p>
        </w:tc>
      </w:tr>
      <w:tr>
        <w:trPr/>
        <w:tc>
          <w:tcPr>
            <w:tcW w:w="24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Arnold Levine, Ph.D.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70" w:type="dxa"/>
            <w:tcBorders/>
            <w:shd w:fill="CCEEFF" w:val="clear"/>
            <w:tcMar>
              <w:bottom w:w="0" w:type="dxa"/>
            </w:tcMar>
            <w:vAlign w:val="center"/>
          </w:tcPr>
          <w:p>
            <w:pPr>
              <w:pStyle w:val="TableContents"/>
              <w:spacing w:before="0" w:after="283"/>
              <w:ind w:left="53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50" w:type="dxa"/>
            <w:tcBorders/>
            <w:shd w:fill="CCEEFF" w:val="clear"/>
            <w:tcMar>
              <w:bottom w:w="0" w:type="dxa"/>
            </w:tcMar>
            <w:vAlign w:val="center"/>
          </w:tcPr>
          <w:p>
            <w:pPr>
              <w:pStyle w:val="TableContents"/>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41,614</w:t>
            </w:r>
          </w:p>
        </w:tc>
      </w:tr>
      <w:tr>
        <w:trPr/>
        <w:tc>
          <w:tcPr>
            <w:tcW w:w="246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Thilo Schroeder, Ph.D.(2)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70" w:type="dxa"/>
            <w:tcBorders/>
            <w:shd w:fill="auto" w:val="clear"/>
            <w:tcMar>
              <w:bottom w:w="0" w:type="dxa"/>
            </w:tcMar>
            <w:vAlign w:val="center"/>
          </w:tcPr>
          <w:p>
            <w:pPr>
              <w:pStyle w:val="TableContents"/>
              <w:spacing w:before="0" w:after="283"/>
              <w:ind w:left="532"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50" w:type="dxa"/>
            <w:tcBorders/>
            <w:shd w:fill="auto" w:val="clear"/>
            <w:tcMar>
              <w:bottom w:w="0" w:type="dxa"/>
            </w:tcMar>
            <w:vAlign w:val="center"/>
          </w:tcPr>
          <w:p>
            <w:pPr>
              <w:pStyle w:val="TableContents"/>
              <w:spacing w:before="0" w:after="283"/>
              <w:ind w:left="399" w:right="0" w:hanging="0"/>
              <w:jc w:val="left"/>
              <w:rPr>
                <w:color w:val="000000"/>
              </w:rPr>
            </w:pPr>
            <w:r>
              <w:rPr>
                <w:color w:val="000000"/>
              </w:rPr>
              <w:t>—</w:t>
            </w:r>
          </w:p>
        </w:tc>
      </w:tr>
      <w:tr>
        <w:trPr/>
        <w:tc>
          <w:tcPr>
            <w:tcW w:w="24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Laurie Stelzer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70" w:type="dxa"/>
            <w:tcBorders/>
            <w:shd w:fill="CCEEFF" w:val="clear"/>
            <w:tcMar>
              <w:bottom w:w="0" w:type="dxa"/>
            </w:tcMar>
            <w:vAlign w:val="center"/>
          </w:tcPr>
          <w:p>
            <w:pPr>
              <w:pStyle w:val="TableContents"/>
              <w:spacing w:before="0" w:after="283"/>
              <w:ind w:left="53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50" w:type="dxa"/>
            <w:tcBorders/>
            <w:shd w:fill="CCEEFF" w:val="clear"/>
            <w:tcMar>
              <w:bottom w:w="0" w:type="dxa"/>
            </w:tcMar>
            <w:vAlign w:val="center"/>
          </w:tcPr>
          <w:p>
            <w:pPr>
              <w:pStyle w:val="TableContents"/>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68,500</w:t>
            </w:r>
          </w:p>
        </w:tc>
      </w:tr>
    </w:tbl>
    <w:tbl>
      <w:tblPr>
        <w:tblW w:w="5305" w:type="dxa"/>
        <w:jc w:val="left"/>
        <w:tblInd w:w="0" w:type="dxa"/>
        <w:tblCellMar>
          <w:top w:w="0" w:type="dxa"/>
          <w:left w:w="0" w:type="dxa"/>
          <w:bottom w:w="0" w:type="dxa"/>
          <w:right w:w="0" w:type="dxa"/>
        </w:tblCellMar>
      </w:tblPr>
      <w:tblGrid>
        <w:gridCol w:w="230"/>
        <w:gridCol w:w="507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07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Dr. Gallagher joined our board of directors effective November 3, 2022.</w:t>
            </w:r>
          </w:p>
        </w:tc>
      </w:tr>
    </w:tbl>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Dr. Schroeder waived his rights to company equity awards that he was entitled to receive. Dr. Schroeder served on our board of directors until November 3, 2022.</w:t>
            </w:r>
          </w:p>
        </w:tc>
      </w:tr>
    </w:tbl>
    <w:p>
      <w:pPr>
        <w:pStyle w:val="TextBody"/>
        <w:spacing w:before="390" w:after="283"/>
        <w:ind w:left="0" w:right="0" w:hanging="0"/>
        <w:jc w:val="left"/>
        <w:rPr>
          <w:rFonts w:ascii="Times New Roman;Times;serif" w:hAnsi="Times New Roman;Times;serif"/>
          <w:b/>
          <w:color w:val="000000"/>
          <w:sz w:val="20"/>
        </w:rPr>
      </w:pPr>
      <w:bookmarkStart w:id="122" w:name="tSA"/>
      <w:bookmarkEnd w:id="122"/>
      <w:r>
        <w:rPr>
          <w:rFonts w:ascii="Times New Roman;Times;serif" w:hAnsi="Times New Roman;Times;serif"/>
          <w:b/>
          <w:color w:val="000000"/>
          <w:sz w:val="20"/>
        </w:rPr>
        <w:t>Scientific Advisory Board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established a scientific advisory board composed of leading academic and industry scientists. We seek advice and input from these scientists on an ad hoc basis, individually or as a group, to provide scientific and clinical feedback and advice related to our research and development platform and programs. The members of our advisory board consist of experts across a range of key disciplines relevant to our programs. Except for Drs. Heyman and Levine, who are members of our board of directors, our advisors are not our employees or directors and have no decision-making authority over our activities. Our advisors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 All of our advisors are affiliated with other entities and devote only a small portion of their time to us. Our advisors receive cash and equity compensation based upon consulting services rendered. Effective September 1, 2021, Dr. Heyman agreed to waive any future scientific advisory compensation he is otherwise entitled to be paid for those services to us.</w:t>
      </w:r>
    </w:p>
    <w:p>
      <w:pPr>
        <w:pStyle w:val="TextBody"/>
        <w:spacing w:before="410" w:after="283"/>
        <w:ind w:left="0" w:right="0" w:hanging="0"/>
        <w:jc w:val="left"/>
        <w:rPr>
          <w:rFonts w:ascii="Times New Roman;Times;serif" w:hAnsi="Times New Roman;Times;serif"/>
          <w:b/>
          <w:color w:val="000000"/>
          <w:sz w:val="20"/>
        </w:rPr>
      </w:pPr>
      <w:bookmarkStart w:id="123" w:name="tIN"/>
      <w:bookmarkEnd w:id="123"/>
      <w:r>
        <w:rPr>
          <w:rFonts w:ascii="Times New Roman;Times;serif" w:hAnsi="Times New Roman;Times;serif"/>
          <w:b/>
          <w:color w:val="000000"/>
          <w:sz w:val="20"/>
        </w:rPr>
        <w:t>Indemnification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entered into an indemnification agreement with each of our directors and executive officers. The indemnification agreements and our certificate of incorporation and bylaws require us to indemnify our directors and executive officers to the fullest extent permitted by Delaware law. See “</w:t>
      </w:r>
      <w:r>
        <w:rPr>
          <w:rFonts w:ascii="Times New Roman;Times;serif" w:hAnsi="Times New Roman;Times;serif"/>
          <w:i/>
          <w:color w:val="000000"/>
          <w:sz w:val="20"/>
        </w:rPr>
        <w:t>Certain Relationships and Related Person Transactions—Indemnification of Directors and Officers</w:t>
      </w:r>
      <w:r>
        <w:rPr>
          <w:rFonts w:ascii="Times New Roman;Times;serif" w:hAnsi="Times New Roman;Times;serif"/>
          <w:color w:val="000000"/>
          <w:sz w:val="20"/>
        </w:rPr>
        <w:t>.”</w:t>
      </w:r>
    </w:p>
    <w:p>
      <w:pPr>
        <w:pStyle w:val="TextBody"/>
        <w:spacing w:before="410" w:after="283"/>
        <w:ind w:left="0" w:right="0" w:hanging="0"/>
        <w:jc w:val="left"/>
        <w:rPr>
          <w:rFonts w:ascii="Times New Roman;Times;serif" w:hAnsi="Times New Roman;Times;serif"/>
          <w:b/>
          <w:color w:val="000000"/>
          <w:sz w:val="20"/>
        </w:rPr>
      </w:pPr>
      <w:bookmarkStart w:id="124" w:name="tESG"/>
      <w:bookmarkEnd w:id="124"/>
      <w:r>
        <w:rPr>
          <w:rFonts w:ascii="Times New Roman;Times;serif" w:hAnsi="Times New Roman;Times;serif"/>
          <w:b/>
          <w:color w:val="000000"/>
          <w:sz w:val="20"/>
        </w:rPr>
        <w:t>Environmental, Social and Governance (ESG) Initiatives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an early clinical-stage precision oncology company, we are rooted in our mission to fundamentally disrupt the course of cancer for patients with p53 gene mutations and other p53-related cancers. We believe integrating responsible environmental, social, and governance principles into our corporate strategy will drive sustainable value creation for our shareholders, employees, patients, and caregivers over the long term. We have formed an internal ESG Working Group with cross-functional senior leadership, and oversight by the nominating and corporate governance committee of our board of directors to oversee our sustainability efforts and have documented our initiatives in our inaugural 2022 ESG Highlights Report, which is available on our website at ir.pmvpharma.com. The content provided in our 2022 ESG Highlights Report or accessible through our website is not part of our proxy solicitation materials.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5" w:name="DSPFPageBreakArea20"/>
      <w:bookmarkStart w:id="126" w:name="DSPFPageBreakArea20"/>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7" w:name="DSPFPageBreak20"/>
      <w:bookmarkStart w:id="128" w:name="DSPFPageBreak20"/>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29" w:name="ny20006675x1_def14a_106-executive_pg1"/>
        <w:bookmarkEnd w:id="12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30" w:name="tEO"/>
      <w:bookmarkEnd w:id="130"/>
      <w:r>
        <w:rPr>
          <w:rFonts w:ascii="Times New Roman;Times;serif" w:hAnsi="Times New Roman;Times;serif"/>
          <w:b/>
          <w:color w:val="000000"/>
          <w:sz w:val="20"/>
        </w:rPr>
        <w:t>EXECUTIVE OFFICERS</w:t>
      </w:r>
    </w:p>
    <w:p>
      <w:pPr>
        <w:pStyle w:val="TextBody"/>
        <w:spacing w:lineRule="atLeast" w:line="21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sets forth certain information about our executive officers as of the date of this proxy statement. Information regarding Dr. Mack, who also serves as a director, is set forth above under “</w:t>
      </w:r>
      <w:r>
        <w:rPr>
          <w:rFonts w:ascii="Times New Roman;Times;serif" w:hAnsi="Times New Roman;Times;serif"/>
          <w:i/>
          <w:color w:val="000000"/>
          <w:sz w:val="20"/>
        </w:rPr>
        <w:t>Board of Directors and Corporate Governance—Continuing Directors</w:t>
      </w:r>
      <w:r>
        <w:rPr>
          <w:rFonts w:ascii="Times New Roman;Times;serif" w:hAnsi="Times New Roman;Times;serif"/>
          <w:color w:val="000000"/>
          <w:sz w:val="20"/>
        </w:rPr>
        <w:t>.”</w:t>
      </w:r>
    </w:p>
    <w:tbl>
      <w:tblPr>
        <w:tblW w:w="6647" w:type="dxa"/>
        <w:jc w:val="left"/>
        <w:tblInd w:w="0" w:type="dxa"/>
        <w:tblCellMar>
          <w:top w:w="0" w:type="dxa"/>
          <w:left w:w="0" w:type="dxa"/>
          <w:bottom w:w="75" w:type="dxa"/>
          <w:right w:w="0" w:type="dxa"/>
        </w:tblCellMar>
      </w:tblPr>
      <w:tblGrid>
        <w:gridCol w:w="2060"/>
        <w:gridCol w:w="23"/>
        <w:gridCol w:w="23"/>
        <w:gridCol w:w="305"/>
        <w:gridCol w:w="23"/>
        <w:gridCol w:w="23"/>
        <w:gridCol w:w="4190"/>
      </w:tblGrid>
      <w:tr>
        <w:trPr/>
        <w:tc>
          <w:tcPr>
            <w:tcW w:w="206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1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Position(s)</w:t>
            </w:r>
          </w:p>
        </w:tc>
      </w:tr>
      <w:tr>
        <w:trPr/>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H. Mack, Ph.D.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1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Chief Executive Officer and Director</w:t>
            </w:r>
          </w:p>
        </w:tc>
      </w:tr>
      <w:tr>
        <w:trPr/>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Winston Kung</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1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Operating Officer and Chief Financial Officer</w:t>
            </w:r>
          </w:p>
        </w:tc>
      </w:tr>
      <w:tr>
        <w:trPr/>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Leila Alland, M.D.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1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Medical Officer</w:t>
            </w:r>
          </w:p>
        </w:tc>
      </w:tr>
      <w:tr>
        <w:trPr/>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Deepika Jalota, Pharm.D.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1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Regulatory and Quality Officer</w:t>
            </w:r>
          </w:p>
        </w:tc>
      </w:tr>
    </w:tbl>
    <w:p>
      <w:pPr>
        <w:pStyle w:val="TextBody"/>
        <w:spacing w:lineRule="atLeast" w:line="210"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Winston Kung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our Chief Operating Officer and Chief Financial Officer since December 2017. From April 2013 to November 2017, Mr. Kung worked at Celgene Corporation, a global biopharmaceutical company, where he held multiple positions, including Vice President of Business Development and Global Alliances, and Chief Business Officer at Celgene Cellular Therapeutics (a wholly-owned subsidiary of Celgene Corporation). At Celgene, Mr. Kung led the formation of a strategic long-range plan for the company, along with overseeing multiple transactions and a team that managed the company’s alliance portfolio of over 100 collaborations, equity investments and company integrations. Prior to working at Celgene, Mr. Kung worked at Citigroup from June 2010 to April 2013 in its Global Healthcare Investment Banking group and at Lehman Brothers (which was subsequently acquired by Barclays) from May 2007 to June 2010 in its Global Mergers and Acquisition Group. At Citigroup and Barclays, Mr. Kung worked on various transactions including public and private financings, merger and acquisitions, spin-outs and other financial advisory engagements. From August 2004 to May 2007, Mr. Kung worked at Amgen (Nasdaq: AMGN), a global biopharmaceutical company, as a co-founder of the Alliance Management group, and served as the deal lead on multiple acquisitions as part of the Corporate Development group. Mr. Kung also worked at Genentech, a biotechnology company (acquired by Roche), from November 1999 to September 2002 as part of the Business and Corporate Development group. Since September 2022, Mr. Kung has served on the board of directors of Janux Therapeutics, Inc. (Nasdaq: JANX), a biopharmaceutical company. Mr. Kung previously served on the board of directors of Alliqua BioMedicial (Nasdaq: ALQA) and GNS Healthcare, a private, healthcare artificial intelligence company. Mr. Kung received a B.A. in Biology and International Relations from Brown University and a M.B.A. from Harvard Business School.</w:t>
      </w:r>
    </w:p>
    <w:p>
      <w:pPr>
        <w:pStyle w:val="TextBody"/>
        <w:spacing w:lineRule="atLeast" w:line="210"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Leila Alland, M.D.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our Chief Medical Officer since December 2019. Over the past 20+ years, Dr. Alland has worked on a broad range of oncology products from early to late stage development and contributed to multiple successful drug approvals. Dr. Alland served as the Chief Medical Officer at Affimed (Nasdaq: AFMD) from March 2018 to November 2019 and as the Chief Medical Officer at Tarveda Therapeutics, a privately held biotechnology company, from January 2016 to March 2018. Dr. Alland also held leadership positions, including as the Vice President and Head of Oncology Early Clinical Development at AstraZeneca (NYSE: AZN) from October 2013 to December 2015, and also held leadership positions at Bristol Myers Squibb (NYSE: BMY) from April 2006 to September 2013, Novartis International AG (NYSE: NVS) from November 2003 to March 2006 and Schering-Plough Corporation from June 2001 to November 2003. From September 1994 to June 2000, Dr. Alland served as Assistant Professor of Pediatrics at Albert Einstein College of Medicine, where she was awarded the James S. McDonnell Foundation Scholar Award and pursued basic cancer research. Dr. Alland currently serves on the board of directors of Abeona Therapeutics Inc. (Nasdaq: ABEO), Jubilant Therapeutics Inc., Radtiopharm Theranostics Ltd. (ASX: RAD) and sits on the Scientific Advisory Council of Columbia University’s Center for Radiological Research. In addition, Dr. Alland serves as a reviewer for the Cancer Prevention and Research Institute of Texas. Dr. Alland received a B.A. in Biology from the University of Pennsylvania and a M.D. from New York University School of Medicine. Dr. Alland completed her residency in Pediatrics at The Children’s Hospital of Philadelphia and her fellowship in Pediatric Hematology/Oncology at The New York Hospital and Memorial Sloan-Kettering Cancer Center.</w:t>
      </w:r>
    </w:p>
    <w:p>
      <w:pPr>
        <w:pStyle w:val="TextBody"/>
        <w:spacing w:lineRule="atLeast" w:line="210"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Deepika Jalota, Pharm.D. </w:t>
      </w:r>
      <w:r>
        <w:rPr>
          <w:rFonts w:ascii="Times New Roman;Times;serif" w:hAnsi="Times New Roman;Times;serif"/>
          <w:b w:val="false"/>
          <w:i w:val="false"/>
          <w:caps w:val="false"/>
          <w:smallCaps w:val="false"/>
          <w:color w:val="000000"/>
          <w:sz w:val="20"/>
        </w:rPr>
        <w:t>has served as our Chief Regulatory and Quality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Officer since February 2021</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and previously served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as our Senior Vice President, Regulatory Affairs and Quality Assurance from June 2019 to February 2021. Previously, Dr. Jalota was employed by Bayer HealthCare Pharmaceuticals from July 2007 to May 2019 and held multiple leadership positions within Global Regulatory Affairs in oncology and other therapeutic areas. She was most recently Vice President, Global Regulatory Strategy, Oncology from July 2017 to June 2019 and was responsible for overseeing global regulatory strategy development for multiple early and late stage oncology assets. Dr. Jalota also served as Senior Director, Global Regulatory Strategy, Oncology from June 2016 to July 2017 and Director and Head of Global Regulatory Strategy, Dermatology and Ophthalmology from January 2014 to June 2016. Prior to joining Bayer HealthCare Pharmaceuticals, Dr. Jalota was employed by Sanofi-Aventis, Forest Laboratories and Procter and Gamble. Dr. Jalota received a B.S. in Pharmacy from Rutgers University, Ernest Mario School of Pharmacy and a Pharm.D. from the University of Florida, College of Pharmacy.</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1" w:name="DSPFPageBreakArea21"/>
      <w:bookmarkStart w:id="132" w:name="DSPFPageBreakArea21"/>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3" w:name="DSPFPageBreak21"/>
      <w:bookmarkStart w:id="134" w:name="DSPFPageBreak21"/>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5" w:name="ny20006675x1_def14a_107-compensation_pg1"/>
        <w:bookmarkEnd w:id="13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36" w:name="tEC"/>
      <w:bookmarkEnd w:id="136"/>
      <w:r>
        <w:rPr>
          <w:rFonts w:ascii="Times New Roman;Times;serif" w:hAnsi="Times New Roman;Times;serif"/>
          <w:b/>
          <w:color w:val="000000"/>
          <w:sz w:val="20"/>
        </w:rPr>
        <w:t>EXECUTIVE COMPENSATION</w:t>
      </w:r>
    </w:p>
    <w:p>
      <w:pPr>
        <w:pStyle w:val="TextBody"/>
        <w:spacing w:before="390" w:after="283"/>
        <w:ind w:left="0" w:right="0" w:hanging="0"/>
        <w:jc w:val="left"/>
        <w:rPr>
          <w:rFonts w:ascii="Times New Roman;Times;serif" w:hAnsi="Times New Roman;Times;serif"/>
          <w:b/>
          <w:color w:val="000000"/>
          <w:sz w:val="20"/>
        </w:rPr>
      </w:pPr>
      <w:bookmarkStart w:id="137" w:name="tSCT"/>
      <w:bookmarkEnd w:id="137"/>
      <w:r>
        <w:rPr>
          <w:rFonts w:ascii="Times New Roman;Times;serif" w:hAnsi="Times New Roman;Times;serif"/>
          <w:b/>
          <w:color w:val="000000"/>
          <w:sz w:val="20"/>
        </w:rPr>
        <w:t>Summary Compensation Table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named executive officers for fiscal 2022, which consist of our principal executive officer and the next two most highly compensated executive officers, are:</w:t>
      </w:r>
    </w:p>
    <w:tbl>
      <w:tblPr>
        <w:tblW w:w="6130" w:type="dxa"/>
        <w:jc w:val="left"/>
        <w:tblInd w:w="0" w:type="dxa"/>
        <w:tblCellMar>
          <w:top w:w="0" w:type="dxa"/>
          <w:left w:w="0" w:type="dxa"/>
          <w:bottom w:w="0" w:type="dxa"/>
          <w:right w:w="0" w:type="dxa"/>
        </w:tblCellMar>
      </w:tblPr>
      <w:tblGrid>
        <w:gridCol w:w="110"/>
        <w:gridCol w:w="60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0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David H. Mack, Ph.D., our President, Chief Executive Officer and director;</w:t>
            </w:r>
          </w:p>
        </w:tc>
      </w:tr>
    </w:tbl>
    <w:tbl>
      <w:tblPr>
        <w:tblW w:w="6280" w:type="dxa"/>
        <w:jc w:val="left"/>
        <w:tblInd w:w="0" w:type="dxa"/>
        <w:tblCellMar>
          <w:top w:w="0" w:type="dxa"/>
          <w:left w:w="0" w:type="dxa"/>
          <w:bottom w:w="0" w:type="dxa"/>
          <w:right w:w="0" w:type="dxa"/>
        </w:tblCellMar>
      </w:tblPr>
      <w:tblGrid>
        <w:gridCol w:w="110"/>
        <w:gridCol w:w="617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Winston Kung, our Chief Operating Officer and Chief Financial Officer; and</w:t>
            </w:r>
          </w:p>
        </w:tc>
      </w:tr>
    </w:tbl>
    <w:tbl>
      <w:tblPr>
        <w:tblW w:w="3865" w:type="dxa"/>
        <w:jc w:val="left"/>
        <w:tblInd w:w="0" w:type="dxa"/>
        <w:tblCellMar>
          <w:top w:w="0" w:type="dxa"/>
          <w:left w:w="0" w:type="dxa"/>
          <w:bottom w:w="0" w:type="dxa"/>
          <w:right w:w="0" w:type="dxa"/>
        </w:tblCellMar>
      </w:tblPr>
      <w:tblGrid>
        <w:gridCol w:w="110"/>
        <w:gridCol w:w="37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7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Leila Alland, M.D., our Chief Medical Officer.</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regarding the compensation reportable for our named executive officers for fiscal 2022 and 2021.</w:t>
      </w:r>
    </w:p>
    <w:tbl>
      <w:tblPr>
        <w:tblW w:w="10205" w:type="dxa"/>
        <w:jc w:val="left"/>
        <w:tblInd w:w="0" w:type="dxa"/>
        <w:tblCellMar>
          <w:top w:w="0" w:type="dxa"/>
          <w:left w:w="0" w:type="dxa"/>
          <w:bottom w:w="55" w:type="dxa"/>
          <w:right w:w="0" w:type="dxa"/>
        </w:tblCellMar>
      </w:tblPr>
      <w:tblGrid>
        <w:gridCol w:w="3067"/>
        <w:gridCol w:w="23"/>
        <w:gridCol w:w="23"/>
        <w:gridCol w:w="380"/>
        <w:gridCol w:w="23"/>
        <w:gridCol w:w="23"/>
        <w:gridCol w:w="605"/>
        <w:gridCol w:w="23"/>
        <w:gridCol w:w="23"/>
        <w:gridCol w:w="474"/>
        <w:gridCol w:w="23"/>
        <w:gridCol w:w="23"/>
        <w:gridCol w:w="639"/>
        <w:gridCol w:w="23"/>
        <w:gridCol w:w="23"/>
        <w:gridCol w:w="740"/>
        <w:gridCol w:w="23"/>
        <w:gridCol w:w="23"/>
        <w:gridCol w:w="1123"/>
        <w:gridCol w:w="23"/>
        <w:gridCol w:w="23"/>
        <w:gridCol w:w="984"/>
        <w:gridCol w:w="23"/>
        <w:gridCol w:w="23"/>
        <w:gridCol w:w="984"/>
        <w:gridCol w:w="23"/>
        <w:gridCol w:w="23"/>
        <w:gridCol w:w="795"/>
      </w:tblGrid>
      <w:tr>
        <w:trPr/>
        <w:tc>
          <w:tcPr>
            <w:tcW w:w="3067"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 and Principal Position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Year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Salary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7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Bonus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39"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spacing w:lineRule="auto" w:line="240"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Awards(1)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23"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Non-Equity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Incentive Plan </w:t>
            </w:r>
          </w:p>
          <w:p>
            <w:pPr>
              <w:pStyle w:val="TableContents"/>
              <w:spacing w:lineRule="auto" w:line="240"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Compensation(2)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8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Change in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Pension Value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and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Nonqualified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Deferred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Compensation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Earnings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8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All Other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Compensation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Total </w:t>
            </w:r>
          </w:p>
          <w:p>
            <w:pPr>
              <w:pStyle w:val="TableContents"/>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r>
      <w:tr>
        <w:trPr/>
        <w:tc>
          <w:tcPr>
            <w:tcW w:w="3067"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David H. Mack, Ph.D.</w:t>
            </w:r>
          </w:p>
          <w:p>
            <w:pPr>
              <w:pStyle w:val="TableContents"/>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President, Chief Executive Officer and Director</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563,750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4" w:type="dxa"/>
            <w:tcBorders/>
            <w:shd w:fill="CCEEFF" w:val="clear"/>
            <w:tcMar>
              <w:bottom w:w="0" w:type="dxa"/>
            </w:tcMar>
            <w:vAlign w:val="center"/>
          </w:tcPr>
          <w:p>
            <w:pPr>
              <w:pStyle w:val="TableContents"/>
              <w:spacing w:before="0" w:after="283"/>
              <w:ind w:left="11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9"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2,814,415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23" w:type="dxa"/>
            <w:tcBorders/>
            <w:shd w:fill="CCEEFF" w:val="clear"/>
            <w:tcMar>
              <w:bottom w:w="0" w:type="dxa"/>
            </w:tcMar>
            <w:vAlign w:val="center"/>
          </w:tcPr>
          <w:p>
            <w:pPr>
              <w:pStyle w:val="TableContents"/>
              <w:spacing w:before="0" w:after="283"/>
              <w:ind w:left="234" w:right="0" w:hanging="0"/>
              <w:jc w:val="left"/>
              <w:rPr>
                <w:rFonts w:ascii="Times New Roman;Times;serif" w:hAnsi="Times New Roman;Times;serif"/>
                <w:color w:val="000000"/>
                <w:sz w:val="18"/>
              </w:rPr>
            </w:pPr>
            <w:r>
              <w:rPr>
                <w:rFonts w:ascii="Times New Roman;Times;serif" w:hAnsi="Times New Roman;Times;serif"/>
                <w:color w:val="000000"/>
                <w:sz w:val="18"/>
              </w:rPr>
              <w:t>198,275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4" w:type="dxa"/>
            <w:tcBorders/>
            <w:shd w:fill="CCEEFF" w:val="clear"/>
            <w:tcMar>
              <w:bottom w:w="0" w:type="dxa"/>
            </w:tcMar>
            <w:vAlign w:val="center"/>
          </w:tcPr>
          <w:p>
            <w:pPr>
              <w:pStyle w:val="TableContents"/>
              <w:spacing w:before="0" w:after="283"/>
              <w:ind w:left="37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4" w:type="dxa"/>
            <w:tcBorders/>
            <w:shd w:fill="CCEEFF" w:val="clear"/>
            <w:tcMar>
              <w:bottom w:w="0" w:type="dxa"/>
            </w:tcMar>
            <w:vAlign w:val="center"/>
          </w:tcPr>
          <w:p>
            <w:pPr>
              <w:pStyle w:val="TableContents"/>
              <w:spacing w:before="0" w:after="283"/>
              <w:ind w:left="37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3,576,440</w:t>
            </w:r>
          </w:p>
        </w:tc>
      </w:tr>
      <w:tr>
        <w:trPr/>
        <w:tc>
          <w:tcPr>
            <w:tcW w:w="3067"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545,454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4" w:type="dxa"/>
            <w:tcBorders/>
            <w:shd w:fill="CCEEFF" w:val="clear"/>
            <w:tcMar>
              <w:bottom w:w="0" w:type="dxa"/>
            </w:tcMar>
            <w:vAlign w:val="center"/>
          </w:tcPr>
          <w:p>
            <w:pPr>
              <w:pStyle w:val="TableContents"/>
              <w:spacing w:before="0" w:after="283"/>
              <w:ind w:left="11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9"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2,652,651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23" w:type="dxa"/>
            <w:tcBorders/>
            <w:shd w:fill="CCEEFF" w:val="clear"/>
            <w:tcMar>
              <w:bottom w:w="0" w:type="dxa"/>
            </w:tcMar>
            <w:vAlign w:val="center"/>
          </w:tcPr>
          <w:p>
            <w:pPr>
              <w:pStyle w:val="TableContents"/>
              <w:spacing w:before="0" w:after="283"/>
              <w:ind w:left="234" w:right="0" w:hanging="0"/>
              <w:jc w:val="left"/>
              <w:rPr>
                <w:rFonts w:ascii="Times New Roman;Times;serif" w:hAnsi="Times New Roman;Times;serif"/>
                <w:color w:val="000000"/>
                <w:sz w:val="18"/>
              </w:rPr>
            </w:pPr>
            <w:r>
              <w:rPr>
                <w:rFonts w:ascii="Times New Roman;Times;serif" w:hAnsi="Times New Roman;Times;serif"/>
                <w:color w:val="000000"/>
                <w:sz w:val="18"/>
              </w:rPr>
              <w:t>343,750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4" w:type="dxa"/>
            <w:tcBorders/>
            <w:shd w:fill="CCEEFF" w:val="clear"/>
            <w:tcMar>
              <w:bottom w:w="0" w:type="dxa"/>
            </w:tcMar>
            <w:vAlign w:val="center"/>
          </w:tcPr>
          <w:p>
            <w:pPr>
              <w:pStyle w:val="TableContents"/>
              <w:spacing w:before="0" w:after="283"/>
              <w:ind w:left="37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4" w:type="dxa"/>
            <w:tcBorders/>
            <w:shd w:fill="CCEEFF" w:val="clear"/>
            <w:tcMar>
              <w:bottom w:w="0" w:type="dxa"/>
            </w:tcMar>
            <w:vAlign w:val="center"/>
          </w:tcPr>
          <w:p>
            <w:pPr>
              <w:pStyle w:val="TableContents"/>
              <w:spacing w:before="0" w:after="283"/>
              <w:ind w:left="37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3,541,855</w:t>
            </w:r>
          </w:p>
        </w:tc>
      </w:tr>
      <w:tr>
        <w:trPr/>
        <w:tc>
          <w:tcPr>
            <w:tcW w:w="3067" w:type="dxa"/>
            <w:tcBorders/>
            <w:shd w:fill="auto" w:val="clear"/>
            <w:tcMar>
              <w:bottom w:w="0" w:type="dxa"/>
            </w:tcMar>
            <w:vAlign w:val="center"/>
          </w:tcPr>
          <w:p>
            <w:pPr>
              <w:pStyle w:val="TableContents"/>
              <w:spacing w:before="0" w:after="283"/>
              <w:ind w:left="0" w:right="0" w:hanging="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74" w:type="dxa"/>
            <w:tcBorders/>
            <w:shd w:fill="auto" w:val="clear"/>
            <w:tcMar>
              <w:bottom w:w="0" w:type="dxa"/>
            </w:tcMar>
            <w:vAlign w:val="center"/>
          </w:tcPr>
          <w:p>
            <w:pPr>
              <w:pStyle w:val="TableContents"/>
              <w:spacing w:before="0" w:after="283"/>
              <w:ind w:left="110"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3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23" w:type="dxa"/>
            <w:tcBorders/>
            <w:shd w:fill="auto" w:val="clear"/>
            <w:tcMar>
              <w:bottom w:w="0" w:type="dxa"/>
            </w:tcMar>
            <w:vAlign w:val="center"/>
          </w:tcPr>
          <w:p>
            <w:pPr>
              <w:pStyle w:val="TableContents"/>
              <w:spacing w:before="0" w:after="283"/>
              <w:ind w:left="234"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4" w:type="dxa"/>
            <w:tcBorders/>
            <w:shd w:fill="auto" w:val="clear"/>
            <w:tcMar>
              <w:bottom w:w="0" w:type="dxa"/>
            </w:tcMar>
            <w:vAlign w:val="center"/>
          </w:tcPr>
          <w:p>
            <w:pPr>
              <w:pStyle w:val="TableContents"/>
              <w:spacing w:before="0" w:after="283"/>
              <w:ind w:left="372"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4" w:type="dxa"/>
            <w:tcBorders/>
            <w:shd w:fill="auto" w:val="clear"/>
            <w:tcMar>
              <w:bottom w:w="0" w:type="dxa"/>
            </w:tcMar>
            <w:vAlign w:val="center"/>
          </w:tcPr>
          <w:p>
            <w:pPr>
              <w:pStyle w:val="TableContents"/>
              <w:spacing w:before="0" w:after="283"/>
              <w:ind w:left="372"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9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3067"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Winston Kung</w:t>
            </w:r>
          </w:p>
          <w:p>
            <w:pPr>
              <w:pStyle w:val="TableContents"/>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Chief Operating Officer and Chief Financial Officer</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461,455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4" w:type="dxa"/>
            <w:tcBorders/>
            <w:shd w:fill="CCEEFF" w:val="clear"/>
            <w:tcMar>
              <w:bottom w:w="0" w:type="dxa"/>
            </w:tcMar>
            <w:vAlign w:val="center"/>
          </w:tcPr>
          <w:p>
            <w:pPr>
              <w:pStyle w:val="TableContents"/>
              <w:spacing w:before="0" w:after="283"/>
              <w:ind w:left="11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9"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1,177,183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23" w:type="dxa"/>
            <w:tcBorders/>
            <w:shd w:fill="CCEEFF" w:val="clear"/>
            <w:tcMar>
              <w:bottom w:w="0" w:type="dxa"/>
            </w:tcMar>
            <w:vAlign w:val="center"/>
          </w:tcPr>
          <w:p>
            <w:pPr>
              <w:pStyle w:val="TableContents"/>
              <w:spacing w:before="0" w:after="283"/>
              <w:ind w:left="234" w:right="0" w:hanging="0"/>
              <w:jc w:val="left"/>
              <w:rPr>
                <w:rFonts w:ascii="Times New Roman;Times;serif" w:hAnsi="Times New Roman;Times;serif"/>
                <w:color w:val="000000"/>
                <w:sz w:val="18"/>
              </w:rPr>
            </w:pPr>
            <w:r>
              <w:rPr>
                <w:rFonts w:ascii="Times New Roman;Times;serif" w:hAnsi="Times New Roman;Times;serif"/>
                <w:color w:val="000000"/>
                <w:sz w:val="18"/>
              </w:rPr>
              <w:t>129,838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4" w:type="dxa"/>
            <w:tcBorders/>
            <w:shd w:fill="CCEEFF" w:val="clear"/>
            <w:tcMar>
              <w:bottom w:w="0" w:type="dxa"/>
            </w:tcMar>
            <w:vAlign w:val="center"/>
          </w:tcPr>
          <w:p>
            <w:pPr>
              <w:pStyle w:val="TableContents"/>
              <w:spacing w:before="0" w:after="283"/>
              <w:ind w:left="37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4" w:type="dxa"/>
            <w:tcBorders/>
            <w:shd w:fill="CCEEFF" w:val="clear"/>
            <w:tcMar>
              <w:bottom w:w="0" w:type="dxa"/>
            </w:tcMar>
            <w:vAlign w:val="center"/>
          </w:tcPr>
          <w:p>
            <w:pPr>
              <w:pStyle w:val="TableContents"/>
              <w:spacing w:before="0" w:after="283"/>
              <w:ind w:left="37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1,768,476</w:t>
            </w:r>
          </w:p>
        </w:tc>
      </w:tr>
      <w:tr>
        <w:trPr/>
        <w:tc>
          <w:tcPr>
            <w:tcW w:w="3067"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448,017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4" w:type="dxa"/>
            <w:tcBorders/>
            <w:shd w:fill="CCEEFF" w:val="clear"/>
            <w:tcMar>
              <w:bottom w:w="0" w:type="dxa"/>
            </w:tcMar>
            <w:vAlign w:val="center"/>
          </w:tcPr>
          <w:p>
            <w:pPr>
              <w:pStyle w:val="TableContents"/>
              <w:spacing w:before="0" w:after="283"/>
              <w:ind w:left="11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9"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992,142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23" w:type="dxa"/>
            <w:tcBorders/>
            <w:shd w:fill="CCEEFF" w:val="clear"/>
            <w:tcMar>
              <w:bottom w:w="0" w:type="dxa"/>
            </w:tcMar>
            <w:vAlign w:val="center"/>
          </w:tcPr>
          <w:p>
            <w:pPr>
              <w:pStyle w:val="TableContents"/>
              <w:spacing w:before="0" w:after="283"/>
              <w:ind w:left="234" w:right="0" w:hanging="0"/>
              <w:jc w:val="left"/>
              <w:rPr>
                <w:rFonts w:ascii="Times New Roman;Times;serif" w:hAnsi="Times New Roman;Times;serif"/>
                <w:color w:val="000000"/>
                <w:sz w:val="18"/>
              </w:rPr>
            </w:pPr>
            <w:r>
              <w:rPr>
                <w:rFonts w:ascii="Times New Roman;Times;serif" w:hAnsi="Times New Roman;Times;serif"/>
                <w:color w:val="000000"/>
                <w:sz w:val="18"/>
              </w:rPr>
              <w:t>225,100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4" w:type="dxa"/>
            <w:tcBorders/>
            <w:shd w:fill="CCEEFF" w:val="clear"/>
            <w:tcMar>
              <w:bottom w:w="0" w:type="dxa"/>
            </w:tcMar>
            <w:vAlign w:val="center"/>
          </w:tcPr>
          <w:p>
            <w:pPr>
              <w:pStyle w:val="TableContents"/>
              <w:spacing w:before="0" w:after="283"/>
              <w:ind w:left="37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4" w:type="dxa"/>
            <w:tcBorders/>
            <w:shd w:fill="CCEEFF" w:val="clear"/>
            <w:tcMar>
              <w:bottom w:w="0" w:type="dxa"/>
            </w:tcMar>
            <w:vAlign w:val="center"/>
          </w:tcPr>
          <w:p>
            <w:pPr>
              <w:pStyle w:val="TableContents"/>
              <w:spacing w:before="0" w:after="283"/>
              <w:ind w:left="37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1,665,259</w:t>
            </w:r>
          </w:p>
        </w:tc>
      </w:tr>
      <w:tr>
        <w:trPr/>
        <w:tc>
          <w:tcPr>
            <w:tcW w:w="3067" w:type="dxa"/>
            <w:tcBorders/>
            <w:shd w:fill="auto" w:val="clear"/>
            <w:tcMar>
              <w:bottom w:w="0" w:type="dxa"/>
            </w:tcMar>
            <w:vAlign w:val="center"/>
          </w:tcPr>
          <w:p>
            <w:pPr>
              <w:pStyle w:val="TableContents"/>
              <w:spacing w:before="0" w:after="283"/>
              <w:ind w:left="0" w:right="0" w:hanging="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7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39"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2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4"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4"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9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3067"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Leila Alland, M.D.</w:t>
            </w:r>
          </w:p>
          <w:p>
            <w:pPr>
              <w:pStyle w:val="TableContents"/>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Chief Medical Officer</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469,758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4" w:type="dxa"/>
            <w:tcBorders/>
            <w:shd w:fill="CCEEFF" w:val="clear"/>
            <w:tcMar>
              <w:bottom w:w="0" w:type="dxa"/>
            </w:tcMar>
            <w:vAlign w:val="center"/>
          </w:tcPr>
          <w:p>
            <w:pPr>
              <w:pStyle w:val="TableContents"/>
              <w:spacing w:before="0" w:after="283"/>
              <w:ind w:left="11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9" w:type="dxa"/>
            <w:tcBorders/>
            <w:shd w:fill="CCEEFF" w:val="clear"/>
            <w:tcMar>
              <w:bottom w:w="0" w:type="dxa"/>
            </w:tcMar>
            <w:vAlign w:val="center"/>
          </w:tcPr>
          <w:p>
            <w:pPr>
              <w:pStyle w:val="TableContents"/>
              <w:spacing w:before="0" w:after="283"/>
              <w:ind w:left="0" w:right="0" w:hanging="0"/>
              <w:jc w:val="left"/>
              <w:rPr>
                <w:color w:val="000000"/>
              </w:rPr>
            </w:pPr>
            <w:r>
              <w:rPr>
                <w:color w:val="000000"/>
              </w:rPr>
              <w:t>​</w:t>
            </w:r>
            <w:r>
              <w:rPr>
                <w:rFonts w:ascii="Times New Roman;Times;serif" w:hAnsi="Times New Roman;Times;serif"/>
                <w:color w:val="000000"/>
                <w:sz w:val="18"/>
              </w:rPr>
              <w:t xml:space="preserve">710,964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1,177,183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23" w:type="dxa"/>
            <w:tcBorders/>
            <w:shd w:fill="CCEEFF" w:val="clear"/>
            <w:tcMar>
              <w:bottom w:w="0" w:type="dxa"/>
            </w:tcMar>
            <w:vAlign w:val="center"/>
          </w:tcPr>
          <w:p>
            <w:pPr>
              <w:pStyle w:val="TableContents"/>
              <w:spacing w:before="0" w:after="283"/>
              <w:ind w:left="234" w:right="0" w:hanging="0"/>
              <w:jc w:val="left"/>
              <w:rPr>
                <w:rFonts w:ascii="Times New Roman;Times;serif" w:hAnsi="Times New Roman;Times;serif"/>
                <w:color w:val="000000"/>
                <w:sz w:val="18"/>
              </w:rPr>
            </w:pPr>
            <w:r>
              <w:rPr>
                <w:rFonts w:ascii="Times New Roman;Times;serif" w:hAnsi="Times New Roman;Times;serif"/>
                <w:color w:val="000000"/>
                <w:sz w:val="18"/>
              </w:rPr>
              <w:t>132,174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4" w:type="dxa"/>
            <w:tcBorders/>
            <w:shd w:fill="CCEEFF" w:val="clear"/>
            <w:tcMar>
              <w:bottom w:w="0" w:type="dxa"/>
            </w:tcMar>
            <w:vAlign w:val="center"/>
          </w:tcPr>
          <w:p>
            <w:pPr>
              <w:pStyle w:val="TableContents"/>
              <w:spacing w:before="0" w:after="283"/>
              <w:ind w:left="37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4" w:type="dxa"/>
            <w:tcBorders/>
            <w:shd w:fill="CCEEFF" w:val="clear"/>
            <w:tcMar>
              <w:bottom w:w="0" w:type="dxa"/>
            </w:tcMar>
            <w:vAlign w:val="center"/>
          </w:tcPr>
          <w:p>
            <w:pPr>
              <w:pStyle w:val="TableContents"/>
              <w:spacing w:before="0" w:after="283"/>
              <w:ind w:left="37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95" w:type="dxa"/>
            <w:tcBorders/>
            <w:shd w:fill="CCEEFF" w:val="clear"/>
            <w:tcMar>
              <w:bottom w:w="0" w:type="dxa"/>
            </w:tcMar>
            <w:vAlign w:val="center"/>
          </w:tcPr>
          <w:p>
            <w:pPr>
              <w:pStyle w:val="TableContents"/>
              <w:spacing w:before="0" w:after="283"/>
              <w:ind w:left="0" w:right="0" w:hanging="0"/>
              <w:jc w:val="left"/>
              <w:rPr>
                <w:color w:val="000000"/>
              </w:rPr>
            </w:pPr>
            <w:r>
              <w:rPr>
                <w:color w:val="000000"/>
              </w:rPr>
              <w:t>​</w:t>
            </w:r>
            <w:r>
              <w:rPr>
                <w:rFonts w:ascii="Times New Roman;Times;serif" w:hAnsi="Times New Roman;Times;serif"/>
                <w:color w:val="000000"/>
                <w:sz w:val="18"/>
              </w:rPr>
              <w:t xml:space="preserve">2,490,079 </w:t>
            </w:r>
          </w:p>
        </w:tc>
      </w:tr>
      <w:tr>
        <w:trPr/>
        <w:tc>
          <w:tcPr>
            <w:tcW w:w="3067"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456,083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4" w:type="dxa"/>
            <w:tcBorders/>
            <w:shd w:fill="CCEEFF" w:val="clear"/>
            <w:tcMar>
              <w:bottom w:w="0" w:type="dxa"/>
            </w:tcMar>
            <w:vAlign w:val="center"/>
          </w:tcPr>
          <w:p>
            <w:pPr>
              <w:pStyle w:val="TableContents"/>
              <w:spacing w:before="0" w:after="283"/>
              <w:ind w:left="11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9"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715,059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23" w:type="dxa"/>
            <w:tcBorders/>
            <w:shd w:fill="CCEEFF" w:val="clear"/>
            <w:tcMar>
              <w:bottom w:w="0" w:type="dxa"/>
            </w:tcMar>
            <w:vAlign w:val="center"/>
          </w:tcPr>
          <w:p>
            <w:pPr>
              <w:pStyle w:val="TableContents"/>
              <w:spacing w:before="0" w:after="283"/>
              <w:ind w:left="234" w:right="0" w:hanging="0"/>
              <w:jc w:val="left"/>
              <w:rPr>
                <w:rFonts w:ascii="Times New Roman;Times;serif" w:hAnsi="Times New Roman;Times;serif"/>
                <w:color w:val="000000"/>
                <w:sz w:val="18"/>
              </w:rPr>
            </w:pPr>
            <w:r>
              <w:rPr>
                <w:rFonts w:ascii="Times New Roman;Times;serif" w:hAnsi="Times New Roman;Times;serif"/>
                <w:color w:val="000000"/>
                <w:sz w:val="18"/>
              </w:rPr>
              <w:t>229,150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4" w:type="dxa"/>
            <w:tcBorders/>
            <w:shd w:fill="CCEEFF" w:val="clear"/>
            <w:tcMar>
              <w:bottom w:w="0" w:type="dxa"/>
            </w:tcMar>
            <w:vAlign w:val="center"/>
          </w:tcPr>
          <w:p>
            <w:pPr>
              <w:pStyle w:val="TableContents"/>
              <w:spacing w:before="0" w:after="283"/>
              <w:ind w:left="37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4" w:type="dxa"/>
            <w:tcBorders/>
            <w:shd w:fill="CCEEFF" w:val="clear"/>
            <w:tcMar>
              <w:bottom w:w="0" w:type="dxa"/>
            </w:tcMar>
            <w:vAlign w:val="center"/>
          </w:tcPr>
          <w:p>
            <w:pPr>
              <w:pStyle w:val="TableContents"/>
              <w:spacing w:before="0" w:after="283"/>
              <w:ind w:left="372"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1,400,292</w:t>
            </w:r>
          </w:p>
        </w:tc>
      </w:tr>
    </w:tbl>
    <w:tbl>
      <w:tblPr>
        <w:tblW w:w="10205" w:type="dxa"/>
        <w:jc w:val="left"/>
        <w:tblInd w:w="0" w:type="dxa"/>
        <w:tblCellMar>
          <w:top w:w="0" w:type="dxa"/>
          <w:left w:w="0" w:type="dxa"/>
          <w:bottom w:w="0" w:type="dxa"/>
          <w:right w:w="0" w:type="dxa"/>
        </w:tblCellMar>
      </w:tblPr>
      <w:tblGrid>
        <w:gridCol w:w="180"/>
        <w:gridCol w:w="10025"/>
      </w:tblGrid>
      <w:tr>
        <w:trPr/>
        <w:tc>
          <w:tcPr>
            <w:tcW w:w="18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reported represent the aggregate grant date fair value of options calculated in accordance with Financial Accounting Standards Board Accounting Standards Codification Topic 718—Compensation—Stock Compensation (“ASC 718”). Such grant-date fair value does not take into account any estimated forfeitures related to performance or service vesting conditions. Information about the assumptions used in the calculation of these amounts are included in Note 2 and Note 9 to the Company’s financial statements for the year ended December 31, 2022 included in the Company’s Annual Report on Form 10-K for such year. Represents grants of options pursuant to our 2020 Equity Incentive Plan as described further in the table of outstanding equity awards below.</w:t>
            </w:r>
          </w:p>
        </w:tc>
      </w:tr>
    </w:tbl>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2022 amounts reported cash bonuses earned under our 2022 bonus plan based upon the achievement of various development, pipeline, and corporate goals for the year ended December 31, 2022, which were paid in 2023.</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8" w:name="DSPFPageBreakArea22"/>
      <w:bookmarkStart w:id="139" w:name="DSPFPageBreakArea22"/>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0" w:name="DSPFPageBreak22"/>
      <w:bookmarkStart w:id="141" w:name="DSPFPageBreak22"/>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42" w:name="ny20006675x1_def14a_108-pvp_pg1"/>
        <w:bookmarkEnd w:id="14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2022 Bonus Plan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named executive officer has an established target bonus amount as set forth in the section “</w:t>
      </w:r>
      <w:r>
        <w:rPr>
          <w:rFonts w:ascii="Times New Roman;Times;serif" w:hAnsi="Times New Roman;Times;serif"/>
          <w:i/>
          <w:color w:val="000000"/>
          <w:sz w:val="20"/>
        </w:rPr>
        <w:t>Executive Officers</w:t>
      </w:r>
      <w:r>
        <w:rPr>
          <w:rFonts w:ascii="Times New Roman;Times;serif" w:hAnsi="Times New Roman;Times;serif"/>
          <w:color w:val="000000"/>
          <w:sz w:val="20"/>
        </w:rPr>
        <w:t>—Employment Arrangements with our Named Executive Officers.” In 2022, our named executive officers were eligible for non-equity incentive compensation pursuant to the terms of a bonus plan for 2022, with the actual amount payable tied to the achievement of various development, pipeline, and corporate goals. The amount earned by our named executive officers is set forth in our Summary Compensation Table above.</w:t>
      </w:r>
    </w:p>
    <w:p>
      <w:pPr>
        <w:pStyle w:val="TextBody"/>
        <w:spacing w:before="410" w:after="283"/>
        <w:ind w:left="0" w:right="0" w:hanging="0"/>
        <w:jc w:val="left"/>
        <w:rPr>
          <w:rFonts w:ascii="Times New Roman;Times;serif" w:hAnsi="Times New Roman;Times;serif"/>
          <w:b/>
          <w:color w:val="000000"/>
          <w:sz w:val="20"/>
        </w:rPr>
      </w:pPr>
      <w:bookmarkStart w:id="143" w:name="tEAN"/>
      <w:bookmarkEnd w:id="143"/>
      <w:r>
        <w:rPr>
          <w:rFonts w:ascii="Times New Roman;Times;serif" w:hAnsi="Times New Roman;Times;serif"/>
          <w:b/>
          <w:color w:val="000000"/>
          <w:sz w:val="20"/>
        </w:rPr>
        <w:t>Employment Arrangements with our Named Executive Officers</w:t>
      </w:r>
    </w:p>
    <w:p>
      <w:pPr>
        <w:pStyle w:val="TextBody"/>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David H. Mack, Ph.D.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entered into a confirmatory employment letter with Dr. Mack, our President and Chief Executive Officer, on August 17, 2020. The confirmatory employment letter currently has no specific term and provides for at-will employment. Dr. Mack’s current annual base salary, effective as of February 24, 2023, is $590,000, and Dr. Mack’s annual target bonus is 50% of his annual base salary.</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Winston Kung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entered into a confirmatory employment letter with Mr. Kung, our Chief Operating Officer and Chief Financial Officer, on August 17, 2020. The confirmatory employment letter currently has no specific term and provides for at-will employment. Mr. Kung’s current annual base salary, effective as of February 24, 2023, is $472,617, and Mr. Kung’s annual target bonus is 40% of his annual base salary.</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Leila Alland, M.D.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entered into a confirmatory employment letter with Dr. Alland, our Chief Medical Officer, on August 18, 2020. The confirmatory employment letter has no specific term and provides for at-will employment. Dr. Alland’s current annual base salary, effective as of February 24, 2022, is $486,210, and Dr. Alland’s annual target bonus is 40% of her annual base salary.</w:t>
      </w:r>
    </w:p>
    <w:p>
      <w:pPr>
        <w:pStyle w:val="TextBody"/>
        <w:spacing w:before="410" w:after="283"/>
        <w:ind w:left="0" w:right="0" w:hanging="0"/>
        <w:jc w:val="left"/>
        <w:rPr>
          <w:rFonts w:ascii="Times New Roman;Times;serif" w:hAnsi="Times New Roman;Times;serif"/>
          <w:b/>
          <w:color w:val="000000"/>
          <w:sz w:val="20"/>
        </w:rPr>
      </w:pPr>
      <w:bookmarkStart w:id="144" w:name="tGPB"/>
      <w:bookmarkEnd w:id="144"/>
      <w:r>
        <w:rPr>
          <w:rFonts w:ascii="Times New Roman;Times;serif" w:hAnsi="Times New Roman;Times;serif"/>
          <w:b/>
          <w:color w:val="000000"/>
          <w:sz w:val="20"/>
        </w:rPr>
        <w:t>Grants of Plan-Based Awards for Fiscal 2022</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for each of our named executive officers, concerning grants of plan-based awards made during fiscal 2022.</w:t>
      </w:r>
    </w:p>
    <w:tbl>
      <w:tblPr>
        <w:tblW w:w="8195" w:type="dxa"/>
        <w:jc w:val="left"/>
        <w:tblInd w:w="0" w:type="dxa"/>
        <w:tblCellMar>
          <w:top w:w="0" w:type="dxa"/>
          <w:left w:w="0" w:type="dxa"/>
          <w:bottom w:w="85" w:type="dxa"/>
          <w:right w:w="0" w:type="dxa"/>
        </w:tblCellMar>
      </w:tblPr>
      <w:tblGrid>
        <w:gridCol w:w="1580"/>
        <w:gridCol w:w="23"/>
        <w:gridCol w:w="23"/>
        <w:gridCol w:w="740"/>
        <w:gridCol w:w="23"/>
        <w:gridCol w:w="23"/>
        <w:gridCol w:w="1490"/>
        <w:gridCol w:w="23"/>
        <w:gridCol w:w="23"/>
        <w:gridCol w:w="1580"/>
        <w:gridCol w:w="23"/>
        <w:gridCol w:w="23"/>
        <w:gridCol w:w="1040"/>
        <w:gridCol w:w="23"/>
        <w:gridCol w:w="23"/>
        <w:gridCol w:w="1535"/>
      </w:tblGrid>
      <w:tr>
        <w:trPr/>
        <w:tc>
          <w:tcPr>
            <w:tcW w:w="158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Date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4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All Other Stock Awards: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Shares of </w:t>
            </w:r>
          </w:p>
          <w:p>
            <w:pPr>
              <w:pStyle w:val="TableContents"/>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Stock or Units(1)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5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All Other Option Awards: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Securities </w:t>
            </w:r>
          </w:p>
          <w:p>
            <w:pPr>
              <w:pStyle w:val="TableContents"/>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Underlying Options(#)(2)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Exercise or Base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Price of Option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 ($/Sh)</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5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 Date Fair Value of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and Option </w:t>
            </w:r>
          </w:p>
          <w:p>
            <w:pPr>
              <w:pStyle w:val="TableContents"/>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Awards(3)</w:t>
            </w:r>
          </w:p>
        </w:tc>
      </w:tr>
      <w:tr>
        <w:trPr/>
        <w:tc>
          <w:tcPr>
            <w:tcW w:w="15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H. Mack, Ph.D.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2/10/2022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90" w:type="dxa"/>
            <w:tcBorders/>
            <w:shd w:fill="CCEEFF" w:val="clear"/>
            <w:tcMar>
              <w:bottom w:w="0" w:type="dxa"/>
            </w:tcMar>
            <w:vAlign w:val="center"/>
          </w:tcPr>
          <w:p>
            <w:pPr>
              <w:pStyle w:val="TableContents"/>
              <w:spacing w:before="0" w:after="283"/>
              <w:ind w:left="51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80" w:type="dxa"/>
            <w:tcBorders/>
            <w:shd w:fill="CCEEFF" w:val="clear"/>
            <w:tcMar>
              <w:bottom w:w="0" w:type="dxa"/>
            </w:tcMar>
            <w:vAlign w:val="center"/>
          </w:tcPr>
          <w:p>
            <w:pPr>
              <w:pStyle w:val="TableContents"/>
              <w:spacing w:before="0" w:after="283"/>
              <w:ind w:left="511" w:right="0" w:hanging="0"/>
              <w:jc w:val="left"/>
              <w:rPr>
                <w:rFonts w:ascii="Times New Roman;Times;serif" w:hAnsi="Times New Roman;Times;serif"/>
                <w:color w:val="000000"/>
                <w:sz w:val="16"/>
              </w:rPr>
            </w:pPr>
            <w:r>
              <w:rPr>
                <w:rFonts w:ascii="Times New Roman;Times;serif" w:hAnsi="Times New Roman;Times;serif"/>
                <w:color w:val="000000"/>
                <w:sz w:val="16"/>
              </w:rPr>
              <w:t>249,600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308" w:right="0" w:hanging="0"/>
              <w:jc w:val="left"/>
              <w:rPr>
                <w:rFonts w:ascii="Times New Roman;Times;serif" w:hAnsi="Times New Roman;Times;serif"/>
                <w:color w:val="000000"/>
                <w:sz w:val="16"/>
              </w:rPr>
            </w:pPr>
            <w:r>
              <w:rPr>
                <w:rFonts w:ascii="Times New Roman;Times;serif" w:hAnsi="Times New Roman;Times;serif"/>
                <w:color w:val="000000"/>
                <w:sz w:val="16"/>
              </w:rPr>
              <w:t>16.29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35" w:type="dxa"/>
            <w:tcBorders/>
            <w:shd w:fill="CCEEFF" w:val="clear"/>
            <w:tcMar>
              <w:bottom w:w="0" w:type="dxa"/>
            </w:tcMar>
            <w:vAlign w:val="center"/>
          </w:tcPr>
          <w:p>
            <w:pPr>
              <w:pStyle w:val="TableContents"/>
              <w:spacing w:before="0" w:after="283"/>
              <w:ind w:left="426" w:right="0" w:hanging="0"/>
              <w:jc w:val="left"/>
              <w:rPr>
                <w:rFonts w:ascii="Times New Roman;Times;serif" w:hAnsi="Times New Roman;Times;serif"/>
                <w:color w:val="000000"/>
                <w:sz w:val="16"/>
              </w:rPr>
            </w:pPr>
            <w:r>
              <w:rPr>
                <w:rFonts w:ascii="Times New Roman;Times;serif" w:hAnsi="Times New Roman;Times;serif"/>
                <w:color w:val="000000"/>
                <w:sz w:val="16"/>
              </w:rPr>
              <w:t>2,814,415</w:t>
            </w:r>
          </w:p>
        </w:tc>
      </w:tr>
      <w:tr>
        <w:trPr/>
        <w:tc>
          <w:tcPr>
            <w:tcW w:w="15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Winston Kung</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2/10/2022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90" w:type="dxa"/>
            <w:tcBorders/>
            <w:shd w:fill="auto" w:val="clear"/>
            <w:tcMar>
              <w:bottom w:w="0" w:type="dxa"/>
            </w:tcMar>
            <w:vAlign w:val="center"/>
          </w:tcPr>
          <w:p>
            <w:pPr>
              <w:pStyle w:val="TableContents"/>
              <w:spacing w:before="0" w:after="283"/>
              <w:ind w:left="51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80" w:type="dxa"/>
            <w:tcBorders/>
            <w:shd w:fill="auto" w:val="clear"/>
            <w:tcMar>
              <w:bottom w:w="0" w:type="dxa"/>
            </w:tcMar>
            <w:vAlign w:val="center"/>
          </w:tcPr>
          <w:p>
            <w:pPr>
              <w:pStyle w:val="TableContents"/>
              <w:spacing w:before="0" w:after="283"/>
              <w:ind w:left="511" w:right="0" w:hanging="0"/>
              <w:jc w:val="left"/>
              <w:rPr>
                <w:rFonts w:ascii="Times New Roman;Times;serif" w:hAnsi="Times New Roman;Times;serif"/>
                <w:color w:val="000000"/>
                <w:sz w:val="16"/>
              </w:rPr>
            </w:pPr>
            <w:r>
              <w:rPr>
                <w:rFonts w:ascii="Times New Roman;Times;serif" w:hAnsi="Times New Roman;Times;serif"/>
                <w:color w:val="000000"/>
                <w:sz w:val="16"/>
              </w:rPr>
              <w:t>104,400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40" w:type="dxa"/>
            <w:tcBorders/>
            <w:shd w:fill="auto" w:val="clear"/>
            <w:tcMar>
              <w:bottom w:w="0" w:type="dxa"/>
            </w:tcMar>
            <w:vAlign w:val="center"/>
          </w:tcPr>
          <w:p>
            <w:pPr>
              <w:pStyle w:val="TableContents"/>
              <w:spacing w:before="0" w:after="283"/>
              <w:ind w:left="308" w:right="0" w:hanging="0"/>
              <w:jc w:val="left"/>
              <w:rPr>
                <w:rFonts w:ascii="Times New Roman;Times;serif" w:hAnsi="Times New Roman;Times;serif"/>
                <w:color w:val="000000"/>
                <w:sz w:val="16"/>
              </w:rPr>
            </w:pPr>
            <w:r>
              <w:rPr>
                <w:rFonts w:ascii="Times New Roman;Times;serif" w:hAnsi="Times New Roman;Times;serif"/>
                <w:color w:val="000000"/>
                <w:sz w:val="16"/>
              </w:rPr>
              <w:t>16.29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35" w:type="dxa"/>
            <w:tcBorders/>
            <w:shd w:fill="auto" w:val="clear"/>
            <w:tcMar>
              <w:bottom w:w="0" w:type="dxa"/>
            </w:tcMar>
            <w:vAlign w:val="center"/>
          </w:tcPr>
          <w:p>
            <w:pPr>
              <w:pStyle w:val="TableContents"/>
              <w:spacing w:before="0" w:after="283"/>
              <w:ind w:left="426" w:right="0" w:hanging="0"/>
              <w:jc w:val="left"/>
              <w:rPr>
                <w:rFonts w:ascii="Times New Roman;Times;serif" w:hAnsi="Times New Roman;Times;serif"/>
                <w:color w:val="000000"/>
                <w:sz w:val="16"/>
              </w:rPr>
            </w:pPr>
            <w:r>
              <w:rPr>
                <w:rFonts w:ascii="Times New Roman;Times;serif" w:hAnsi="Times New Roman;Times;serif"/>
                <w:color w:val="000000"/>
                <w:sz w:val="16"/>
              </w:rPr>
              <w:t>1,177,183</w:t>
            </w:r>
          </w:p>
        </w:tc>
      </w:tr>
      <w:tr>
        <w:trPr/>
        <w:tc>
          <w:tcPr>
            <w:tcW w:w="15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Leila Alland, M.D.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2/10/2022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90" w:type="dxa"/>
            <w:tcBorders/>
            <w:shd w:fill="CCEEFF" w:val="clear"/>
            <w:tcMar>
              <w:bottom w:w="0" w:type="dxa"/>
            </w:tcMar>
            <w:vAlign w:val="center"/>
          </w:tcPr>
          <w:p>
            <w:pPr>
              <w:pStyle w:val="TableContents"/>
              <w:spacing w:before="0" w:after="283"/>
              <w:ind w:left="51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80" w:type="dxa"/>
            <w:tcBorders/>
            <w:shd w:fill="CCEEFF" w:val="clear"/>
            <w:tcMar>
              <w:bottom w:w="0" w:type="dxa"/>
            </w:tcMar>
            <w:vAlign w:val="center"/>
          </w:tcPr>
          <w:p>
            <w:pPr>
              <w:pStyle w:val="TableContents"/>
              <w:spacing w:before="0" w:after="283"/>
              <w:ind w:left="511" w:right="0" w:hanging="0"/>
              <w:jc w:val="left"/>
              <w:rPr>
                <w:rFonts w:ascii="Times New Roman;Times;serif" w:hAnsi="Times New Roman;Times;serif"/>
                <w:color w:val="000000"/>
                <w:sz w:val="16"/>
              </w:rPr>
            </w:pPr>
            <w:r>
              <w:rPr>
                <w:rFonts w:ascii="Times New Roman;Times;serif" w:hAnsi="Times New Roman;Times;serif"/>
                <w:color w:val="000000"/>
                <w:sz w:val="16"/>
              </w:rPr>
              <w:t>104,400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308" w:right="0" w:hanging="0"/>
              <w:jc w:val="left"/>
              <w:rPr>
                <w:rFonts w:ascii="Times New Roman;Times;serif" w:hAnsi="Times New Roman;Times;serif"/>
                <w:color w:val="000000"/>
                <w:sz w:val="16"/>
              </w:rPr>
            </w:pPr>
            <w:r>
              <w:rPr>
                <w:rFonts w:ascii="Times New Roman;Times;serif" w:hAnsi="Times New Roman;Times;serif"/>
                <w:color w:val="000000"/>
                <w:sz w:val="16"/>
              </w:rPr>
              <w:t>16.29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35" w:type="dxa"/>
            <w:tcBorders/>
            <w:shd w:fill="CCEEFF" w:val="clear"/>
            <w:tcMar>
              <w:bottom w:w="0" w:type="dxa"/>
            </w:tcMar>
            <w:vAlign w:val="center"/>
          </w:tcPr>
          <w:p>
            <w:pPr>
              <w:pStyle w:val="TableContents"/>
              <w:spacing w:before="0" w:after="283"/>
              <w:ind w:left="426" w:right="0" w:hanging="0"/>
              <w:jc w:val="left"/>
              <w:rPr>
                <w:rFonts w:ascii="Times New Roman;Times;serif" w:hAnsi="Times New Roman;Times;serif"/>
                <w:color w:val="000000"/>
                <w:sz w:val="16"/>
              </w:rPr>
            </w:pPr>
            <w:r>
              <w:rPr>
                <w:rFonts w:ascii="Times New Roman;Times;serif" w:hAnsi="Times New Roman;Times;serif"/>
                <w:color w:val="000000"/>
                <w:sz w:val="16"/>
              </w:rPr>
              <w:t>1,177,183</w:t>
            </w:r>
          </w:p>
        </w:tc>
      </w:tr>
      <w:tr>
        <w:trPr/>
        <w:tc>
          <w:tcPr>
            <w:tcW w:w="15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Leila Alland, M.D.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9/9/2022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90" w:type="dxa"/>
            <w:tcBorders/>
            <w:shd w:fill="auto" w:val="clear"/>
            <w:tcMar>
              <w:bottom w:w="0" w:type="dxa"/>
            </w:tcMar>
            <w:vAlign w:val="center"/>
          </w:tcPr>
          <w:p>
            <w:pPr>
              <w:pStyle w:val="TableContents"/>
              <w:spacing w:before="0" w:after="283"/>
              <w:ind w:left="510" w:right="0" w:hanging="0"/>
              <w:jc w:val="left"/>
              <w:rPr>
                <w:rFonts w:ascii="Times New Roman;Times;serif" w:hAnsi="Times New Roman;Times;serif"/>
                <w:color w:val="000000"/>
                <w:sz w:val="16"/>
              </w:rPr>
            </w:pPr>
            <w:r>
              <w:rPr>
                <w:rFonts w:ascii="Times New Roman;Times;serif" w:hAnsi="Times New Roman;Times;serif"/>
                <w:color w:val="000000"/>
                <w:sz w:val="16"/>
              </w:rPr>
              <w:t>52,200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80" w:type="dxa"/>
            <w:tcBorders/>
            <w:shd w:fill="auto" w:val="clear"/>
            <w:tcMar>
              <w:bottom w:w="0" w:type="dxa"/>
            </w:tcMar>
            <w:vAlign w:val="center"/>
          </w:tcPr>
          <w:p>
            <w:pPr>
              <w:pStyle w:val="TableContents"/>
              <w:spacing w:before="0" w:after="283"/>
              <w:ind w:left="511"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40" w:type="dxa"/>
            <w:tcBorders/>
            <w:shd w:fill="auto" w:val="clear"/>
            <w:tcMar>
              <w:bottom w:w="0" w:type="dxa"/>
            </w:tcMar>
            <w:vAlign w:val="center"/>
          </w:tcPr>
          <w:p>
            <w:pPr>
              <w:pStyle w:val="TableContents"/>
              <w:spacing w:before="0" w:after="283"/>
              <w:ind w:left="308"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35" w:type="dxa"/>
            <w:tcBorders/>
            <w:shd w:fill="auto" w:val="clear"/>
            <w:tcMar>
              <w:bottom w:w="0" w:type="dxa"/>
            </w:tcMar>
            <w:vAlign w:val="center"/>
          </w:tcPr>
          <w:p>
            <w:pPr>
              <w:pStyle w:val="TableContents"/>
              <w:spacing w:before="0" w:after="283"/>
              <w:ind w:left="426" w:right="0" w:hanging="0"/>
              <w:jc w:val="left"/>
              <w:rPr>
                <w:rFonts w:ascii="Times New Roman;Times;serif" w:hAnsi="Times New Roman;Times;serif"/>
                <w:color w:val="000000"/>
                <w:sz w:val="16"/>
              </w:rPr>
            </w:pPr>
            <w:r>
              <w:rPr>
                <w:rFonts w:ascii="Times New Roman;Times;serif" w:hAnsi="Times New Roman;Times;serif"/>
                <w:color w:val="000000"/>
                <w:sz w:val="16"/>
              </w:rPr>
              <w:t>710,964</w:t>
            </w:r>
          </w:p>
        </w:tc>
      </w:tr>
    </w:tbl>
    <w:tbl>
      <w:tblPr>
        <w:tblW w:w="10205" w:type="dxa"/>
        <w:jc w:val="left"/>
        <w:tblInd w:w="0" w:type="dxa"/>
        <w:tblCellMar>
          <w:top w:w="0" w:type="dxa"/>
          <w:left w:w="0" w:type="dxa"/>
          <w:bottom w:w="0" w:type="dxa"/>
          <w:right w:w="0" w:type="dxa"/>
        </w:tblCellMar>
      </w:tblPr>
      <w:tblGrid>
        <w:gridCol w:w="204"/>
        <w:gridCol w:w="10001"/>
      </w:tblGrid>
      <w:tr>
        <w:trPr/>
        <w:tc>
          <w:tcPr>
            <w:tcW w:w="20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restricted stock units vest as to 1/3rd of the shares of our common stock underlying it on September 9, 2023, and as to 2/3rds on September 9, 2024, subject to the named executive officer’s continued service through each vesting date.</w:t>
            </w:r>
          </w:p>
        </w:tc>
      </w:tr>
    </w:tbl>
    <w:tbl>
      <w:tblPr>
        <w:tblW w:w="6835" w:type="dxa"/>
        <w:jc w:val="left"/>
        <w:tblInd w:w="0" w:type="dxa"/>
        <w:tblCellMar>
          <w:top w:w="0" w:type="dxa"/>
          <w:left w:w="0" w:type="dxa"/>
          <w:bottom w:w="0" w:type="dxa"/>
          <w:right w:w="0" w:type="dxa"/>
        </w:tblCellMar>
      </w:tblPr>
      <w:tblGrid>
        <w:gridCol w:w="230"/>
        <w:gridCol w:w="660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60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Shares subject to the option vest in 48 equal monthly installments beginning on June 12, 2021.</w:t>
            </w:r>
          </w:p>
        </w:tc>
      </w:tr>
    </w:tbl>
    <w:tbl>
      <w:tblPr>
        <w:tblW w:w="10205" w:type="dxa"/>
        <w:jc w:val="left"/>
        <w:tblInd w:w="0" w:type="dxa"/>
        <w:tblCellMar>
          <w:top w:w="0" w:type="dxa"/>
          <w:left w:w="0" w:type="dxa"/>
          <w:bottom w:w="0" w:type="dxa"/>
          <w:right w:w="0" w:type="dxa"/>
        </w:tblCellMar>
      </w:tblPr>
      <w:tblGrid>
        <w:gridCol w:w="180"/>
        <w:gridCol w:w="10025"/>
      </w:tblGrid>
      <w:tr>
        <w:trPr/>
        <w:tc>
          <w:tcPr>
            <w:tcW w:w="18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reported represent the aggregate grant date fair value of options calculated in accordance with Financial Accounting Standards Board Accounting Standards Codification Topic 718—Compensation—Stock Compensation (“ASC 718”). Such grant-date fair value does not take into account any estimated forfeitures related to performance or service vesting conditions. Information about the assumptions used in the calculation of these amounts are included in Note 2 and Note 9 to the Company’s financial statements for the year ended December 31, 2022 included in the Company’s Annual Report on Form 10-K for such year. Represents grants of options pursuant to our 2020 Equity Incentive Plan as described further in the table of outstanding equity awards below.</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5" w:name="DSPFPageBreakArea23"/>
      <w:bookmarkStart w:id="146" w:name="DSPFPageBreakArea23"/>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7" w:name="DSPFPageBreak23"/>
      <w:bookmarkStart w:id="148" w:name="DSPFPageBreak23"/>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49" w:name="ny20006675x1_def14a_108-pvp_pg2"/>
        <w:bookmarkEnd w:id="14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150" w:name="tOEA"/>
      <w:bookmarkEnd w:id="150"/>
      <w:r>
        <w:rPr>
          <w:rFonts w:ascii="Times New Roman;Times;serif" w:hAnsi="Times New Roman;Times;serif"/>
          <w:b/>
          <w:color w:val="000000"/>
          <w:sz w:val="20"/>
        </w:rPr>
        <w:t>Outstanding Equity Awards at Fiscal 2022 Year-End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regarding outstanding equity awards held by our named executive officers as of December 31, 2022.</w:t>
      </w:r>
    </w:p>
    <w:tbl>
      <w:tblPr>
        <w:tblW w:w="9845" w:type="dxa"/>
        <w:jc w:val="left"/>
        <w:tblInd w:w="0" w:type="dxa"/>
        <w:tblCellMar>
          <w:top w:w="0" w:type="dxa"/>
          <w:left w:w="0" w:type="dxa"/>
          <w:bottom w:w="0" w:type="dxa"/>
          <w:right w:w="0" w:type="dxa"/>
        </w:tblCellMar>
      </w:tblPr>
      <w:tblGrid>
        <w:gridCol w:w="1580"/>
        <w:gridCol w:w="23"/>
        <w:gridCol w:w="23"/>
        <w:gridCol w:w="1040"/>
        <w:gridCol w:w="23"/>
        <w:gridCol w:w="23"/>
        <w:gridCol w:w="770"/>
        <w:gridCol w:w="23"/>
        <w:gridCol w:w="23"/>
        <w:gridCol w:w="860"/>
        <w:gridCol w:w="23"/>
        <w:gridCol w:w="23"/>
        <w:gridCol w:w="770"/>
        <w:gridCol w:w="23"/>
        <w:gridCol w:w="23"/>
        <w:gridCol w:w="560"/>
        <w:gridCol w:w="23"/>
        <w:gridCol w:w="23"/>
        <w:gridCol w:w="830"/>
        <w:gridCol w:w="23"/>
        <w:gridCol w:w="23"/>
        <w:gridCol w:w="695"/>
        <w:gridCol w:w="23"/>
        <w:gridCol w:w="23"/>
        <w:gridCol w:w="695"/>
        <w:gridCol w:w="23"/>
        <w:gridCol w:w="23"/>
        <w:gridCol w:w="755"/>
        <w:gridCol w:w="23"/>
        <w:gridCol w:w="23"/>
        <w:gridCol w:w="830"/>
      </w:tblGrid>
      <w:tr>
        <w:trPr/>
        <w:tc>
          <w:tcPr>
            <w:tcW w:w="158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974" w:type="dxa"/>
            <w:gridSpan w:val="13"/>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 Awards</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113" w:type="dxa"/>
            <w:gridSpan w:val="10"/>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Stock Awards</w:t>
            </w:r>
          </w:p>
        </w:tc>
      </w:tr>
      <w:tr>
        <w:trPr/>
        <w:tc>
          <w:tcPr>
            <w:tcW w:w="1580" w:type="dxa"/>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Name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04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 </w:t>
            </w:r>
          </w:p>
          <w:p>
            <w:pPr>
              <w:pStyle w:val="TableContents"/>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Date(1)</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7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Securities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Underlying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Unexercised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Exercisable</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6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Securities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Underlying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Unexercised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Unexercisable</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7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Incentive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Plan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Securities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Underlying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Unexercised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Unearned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56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Exercise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Price </w:t>
            </w:r>
          </w:p>
          <w:p>
            <w:pPr>
              <w:pStyle w:val="TableContents"/>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($)(2)</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3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Expiration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Date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or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Units of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That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Have Not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Vested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Market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of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Units of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That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Have Not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Vested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5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Incentive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Plan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Unearned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Units or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Rights That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Have Not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Vested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3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Incentive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Plan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Market or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Payout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Unearned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Units or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 Rights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Have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Not Vested </w:t>
            </w:r>
          </w:p>
          <w:p>
            <w:pPr>
              <w:pStyle w:val="TableContents"/>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r>
      <w:tr>
        <w:trPr/>
        <w:tc>
          <w:tcPr>
            <w:tcW w:w="15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H. Mack, Ph.D.</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05/12/2015(3)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70"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393,366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144"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70" w:type="dxa"/>
            <w:tcBorders/>
            <w:shd w:fill="CCEEFF" w:val="clear"/>
            <w:vAlign w:val="center"/>
          </w:tcPr>
          <w:p>
            <w:pPr>
              <w:pStyle w:val="TableContents"/>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0.53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05/11/2025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6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301" w:right="0" w:hanging="0"/>
              <w:jc w:val="left"/>
              <w:rPr>
                <w:color w:val="000000"/>
              </w:rPr>
            </w:pPr>
            <w:r>
              <w:rPr>
                <w:color w:val="000000"/>
              </w:rPr>
              <w:t>—</w:t>
            </w:r>
          </w:p>
        </w:tc>
      </w:tr>
      <w:tr>
        <w:trPr/>
        <w:tc>
          <w:tcPr>
            <w:tcW w:w="15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H. Mack, Ph.D.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11/16/2016</w:t>
            </w:r>
            <w:r>
              <w:rPr>
                <w:rFonts w:ascii="Times New Roman;Times;serif" w:hAnsi="Times New Roman;Times;serif"/>
                <w:color w:val="000000"/>
                <w:sz w:val="16"/>
              </w:rPr>
              <w:t>(3)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220,643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144"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27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1.37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11/15/2016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6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267"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301" w:right="0" w:hanging="0"/>
              <w:jc w:val="left"/>
              <w:rPr>
                <w:color w:val="000000"/>
              </w:rPr>
            </w:pPr>
            <w:r>
              <w:rPr>
                <w:color w:val="000000"/>
              </w:rPr>
              <w:t>—</w:t>
            </w:r>
          </w:p>
        </w:tc>
      </w:tr>
      <w:tr>
        <w:trPr/>
        <w:tc>
          <w:tcPr>
            <w:tcW w:w="15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H. Mack, Ph.D.</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05/16/2017(3)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70"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460,769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144"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70" w:type="dxa"/>
            <w:tcBorders/>
            <w:shd w:fill="CCEEFF" w:val="clear"/>
            <w:vAlign w:val="center"/>
          </w:tcPr>
          <w:p>
            <w:pPr>
              <w:pStyle w:val="TableContents"/>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2.95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05/15/2017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6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301" w:right="0" w:hanging="0"/>
              <w:jc w:val="left"/>
              <w:rPr>
                <w:color w:val="000000"/>
              </w:rPr>
            </w:pPr>
            <w:r>
              <w:rPr>
                <w:color w:val="000000"/>
              </w:rPr>
              <w:t>—</w:t>
            </w:r>
          </w:p>
        </w:tc>
      </w:tr>
      <w:tr>
        <w:trPr/>
        <w:tc>
          <w:tcPr>
            <w:tcW w:w="15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H. Mack, Ph.D.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03/10/2020(4)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151,077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68,671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27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3.90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03/09/2020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6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267"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301" w:right="0" w:hanging="0"/>
              <w:jc w:val="left"/>
              <w:rPr>
                <w:color w:val="000000"/>
              </w:rPr>
            </w:pPr>
            <w:r>
              <w:rPr>
                <w:color w:val="000000"/>
              </w:rPr>
              <w:t>—</w:t>
            </w:r>
          </w:p>
        </w:tc>
      </w:tr>
      <w:tr>
        <w:trPr/>
        <w:tc>
          <w:tcPr>
            <w:tcW w:w="15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H. Mack, Ph.D.</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05/12/2021(5)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70"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53,272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81,312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70" w:type="dxa"/>
            <w:tcBorders/>
            <w:shd w:fill="CCEEFF" w:val="clear"/>
            <w:vAlign w:val="center"/>
          </w:tcPr>
          <w:p>
            <w:pPr>
              <w:pStyle w:val="TableContents"/>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28.33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05/11/2021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6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301" w:right="0" w:hanging="0"/>
              <w:jc w:val="left"/>
              <w:rPr>
                <w:color w:val="000000"/>
              </w:rPr>
            </w:pPr>
            <w:r>
              <w:rPr>
                <w:color w:val="000000"/>
              </w:rPr>
              <w:t>—</w:t>
            </w:r>
          </w:p>
        </w:tc>
      </w:tr>
      <w:tr>
        <w:trPr/>
        <w:tc>
          <w:tcPr>
            <w:tcW w:w="15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David H. Mack, Ph.D.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02/10/2022(6)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52,000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197,600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27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16.29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02/10/2032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6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267"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301" w:right="0" w:hanging="0"/>
              <w:jc w:val="left"/>
              <w:rPr>
                <w:color w:val="000000"/>
              </w:rPr>
            </w:pPr>
            <w:r>
              <w:rPr>
                <w:color w:val="000000"/>
              </w:rPr>
              <w:t>—</w:t>
            </w:r>
          </w:p>
        </w:tc>
      </w:tr>
      <w:tr>
        <w:trPr/>
        <w:tc>
          <w:tcPr>
            <w:tcW w:w="15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Winston Kung</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02/22/2018(7)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70"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395,377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52,067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70" w:type="dxa"/>
            <w:tcBorders/>
            <w:shd w:fill="CCEEFF" w:val="clear"/>
            <w:vAlign w:val="center"/>
          </w:tcPr>
          <w:p>
            <w:pPr>
              <w:pStyle w:val="TableContents"/>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3.22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02/21/2028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6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301" w:right="0" w:hanging="0"/>
              <w:jc w:val="left"/>
              <w:rPr>
                <w:color w:val="000000"/>
              </w:rPr>
            </w:pPr>
            <w:r>
              <w:rPr>
                <w:color w:val="000000"/>
              </w:rPr>
              <w:t>—</w:t>
            </w:r>
          </w:p>
        </w:tc>
      </w:tr>
      <w:tr>
        <w:trPr/>
        <w:tc>
          <w:tcPr>
            <w:tcW w:w="15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Winston Kung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03/10/2020(4)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60,130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27,332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27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3.90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03/09/2030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6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267"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301" w:right="0" w:hanging="0"/>
              <w:jc w:val="left"/>
              <w:rPr>
                <w:color w:val="000000"/>
              </w:rPr>
            </w:pPr>
            <w:r>
              <w:rPr>
                <w:color w:val="000000"/>
              </w:rPr>
              <w:t>—</w:t>
            </w:r>
          </w:p>
        </w:tc>
      </w:tr>
      <w:tr>
        <w:trPr/>
        <w:tc>
          <w:tcPr>
            <w:tcW w:w="15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Winston Kung</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05/12/2021(5)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70"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19,925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30,412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70" w:type="dxa"/>
            <w:tcBorders/>
            <w:shd w:fill="CCEEFF" w:val="clear"/>
            <w:vAlign w:val="center"/>
          </w:tcPr>
          <w:p>
            <w:pPr>
              <w:pStyle w:val="TableContents"/>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28.33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05/11/2031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6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301" w:right="0" w:hanging="0"/>
              <w:jc w:val="left"/>
              <w:rPr>
                <w:color w:val="000000"/>
              </w:rPr>
            </w:pPr>
            <w:r>
              <w:rPr>
                <w:color w:val="000000"/>
              </w:rPr>
              <w:t>—</w:t>
            </w:r>
          </w:p>
        </w:tc>
      </w:tr>
      <w:tr>
        <w:trPr/>
        <w:tc>
          <w:tcPr>
            <w:tcW w:w="15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Winston Kung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02/10/2022(6)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21,750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82,650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27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16.29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02/10/2032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6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267"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301" w:right="0" w:hanging="0"/>
              <w:jc w:val="left"/>
              <w:rPr>
                <w:color w:val="000000"/>
              </w:rPr>
            </w:pPr>
            <w:r>
              <w:rPr>
                <w:color w:val="000000"/>
              </w:rPr>
              <w:t>—</w:t>
            </w:r>
          </w:p>
        </w:tc>
      </w:tr>
      <w:tr>
        <w:trPr/>
        <w:tc>
          <w:tcPr>
            <w:tcW w:w="15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Leila Alland, M.D.</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02/05/2020(8)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70"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259,386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118,463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70" w:type="dxa"/>
            <w:tcBorders/>
            <w:shd w:fill="CCEEFF" w:val="clear"/>
            <w:vAlign w:val="center"/>
          </w:tcPr>
          <w:p>
            <w:pPr>
              <w:pStyle w:val="TableContents"/>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3.90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02/04/2030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6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301" w:right="0" w:hanging="0"/>
              <w:jc w:val="left"/>
              <w:rPr>
                <w:color w:val="000000"/>
              </w:rPr>
            </w:pPr>
            <w:r>
              <w:rPr>
                <w:color w:val="000000"/>
              </w:rPr>
              <w:t>—</w:t>
            </w:r>
          </w:p>
        </w:tc>
      </w:tr>
      <w:tr>
        <w:trPr/>
        <w:tc>
          <w:tcPr>
            <w:tcW w:w="15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Leila Alland, M.D.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05/12/2021(5)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14,360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21,919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27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28.33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05/11/2031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6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267"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301" w:right="0" w:hanging="0"/>
              <w:jc w:val="left"/>
              <w:rPr>
                <w:color w:val="000000"/>
              </w:rPr>
            </w:pPr>
            <w:r>
              <w:rPr>
                <w:color w:val="000000"/>
              </w:rPr>
              <w:t>—</w:t>
            </w:r>
          </w:p>
        </w:tc>
      </w:tr>
      <w:tr>
        <w:trPr/>
        <w:tc>
          <w:tcPr>
            <w:tcW w:w="15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Leila Alland, M.D.</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02/10/2022(6)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70"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21,750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144" w:right="0" w:hanging="0"/>
              <w:jc w:val="left"/>
              <w:rPr>
                <w:rFonts w:ascii="Times New Roman;Times;serif" w:hAnsi="Times New Roman;Times;serif"/>
                <w:color w:val="000000"/>
                <w:sz w:val="16"/>
              </w:rPr>
            </w:pPr>
            <w:r>
              <w:rPr>
                <w:rFonts w:ascii="Times New Roman;Times;serif" w:hAnsi="Times New Roman;Times;serif"/>
                <w:color w:val="000000"/>
                <w:sz w:val="16"/>
              </w:rPr>
              <w:t>82,650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70" w:type="dxa"/>
            <w:tcBorders/>
            <w:shd w:fill="CCEEFF" w:val="clear"/>
            <w:vAlign w:val="center"/>
          </w:tcPr>
          <w:p>
            <w:pPr>
              <w:pStyle w:val="TableContents"/>
              <w:spacing w:before="0" w:after="283"/>
              <w:ind w:left="27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16.29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02/10/2032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6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267"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301" w:right="0" w:hanging="0"/>
              <w:jc w:val="left"/>
              <w:rPr>
                <w:color w:val="000000"/>
              </w:rPr>
            </w:pPr>
            <w:r>
              <w:rPr>
                <w:color w:val="000000"/>
              </w:rPr>
              <w:t>—</w:t>
            </w:r>
          </w:p>
        </w:tc>
      </w:tr>
      <w:tr>
        <w:trPr/>
        <w:tc>
          <w:tcPr>
            <w:tcW w:w="15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Leila Alland, M.D.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09/09/2022(9)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9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144"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27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jc w:val="center"/>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jc w:val="center"/>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101" w:right="0" w:hanging="0"/>
              <w:jc w:val="left"/>
              <w:rPr>
                <w:rFonts w:ascii="Times New Roman;Times;serif" w:hAnsi="Times New Roman;Times;serif"/>
                <w:color w:val="000000"/>
                <w:sz w:val="16"/>
              </w:rPr>
            </w:pPr>
            <w:r>
              <w:rPr>
                <w:rFonts w:ascii="Times New Roman;Times;serif" w:hAnsi="Times New Roman;Times;serif"/>
                <w:color w:val="000000"/>
                <w:sz w:val="16"/>
              </w:rPr>
              <w:t>52,200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61" w:right="0" w:hanging="0"/>
              <w:jc w:val="left"/>
              <w:rPr>
                <w:rFonts w:ascii="Times New Roman;Times;serif" w:hAnsi="Times New Roman;Times;serif"/>
                <w:color w:val="000000"/>
                <w:sz w:val="16"/>
              </w:rPr>
            </w:pPr>
            <w:r>
              <w:rPr>
                <w:rFonts w:ascii="Times New Roman;Times;serif" w:hAnsi="Times New Roman;Times;serif"/>
                <w:color w:val="000000"/>
                <w:sz w:val="16"/>
              </w:rPr>
              <w:t>454,140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267"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301" w:right="0" w:hanging="0"/>
              <w:jc w:val="left"/>
              <w:rPr>
                <w:color w:val="000000"/>
              </w:rPr>
            </w:pPr>
            <w:r>
              <w:rPr>
                <w:color w:val="000000"/>
              </w:rPr>
              <w:t>—</w:t>
            </w:r>
          </w:p>
        </w:tc>
      </w:tr>
    </w:tbl>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Outstanding options to purchase shares of our common stock granted prior to September 21, 2020 were granted pursuant to our 2013 Plan (as defined below), and outstanding options to purchase shares of our common stock granted on or after September 21, 2020, were granted pursuant to our 2020 Plan (as defined below).</w:t>
            </w:r>
          </w:p>
        </w:tc>
      </w:tr>
    </w:tbl>
    <w:tbl>
      <w:tblPr>
        <w:tblW w:w="9910" w:type="dxa"/>
        <w:jc w:val="left"/>
        <w:tblInd w:w="0" w:type="dxa"/>
        <w:tblCellMar>
          <w:top w:w="0" w:type="dxa"/>
          <w:left w:w="0" w:type="dxa"/>
          <w:bottom w:w="0" w:type="dxa"/>
          <w:right w:w="0" w:type="dxa"/>
        </w:tblCellMar>
      </w:tblPr>
      <w:tblGrid>
        <w:gridCol w:w="230"/>
        <w:gridCol w:w="968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68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This column represents the fair market value of a share of our common stock on the date of grant, as determined by our board of directors.</w:t>
            </w:r>
          </w:p>
        </w:tc>
      </w:tr>
    </w:tbl>
    <w:tbl>
      <w:tblPr>
        <w:tblW w:w="2230" w:type="dxa"/>
        <w:jc w:val="left"/>
        <w:tblInd w:w="0" w:type="dxa"/>
        <w:tblCellMar>
          <w:top w:w="0" w:type="dxa"/>
          <w:left w:w="0" w:type="dxa"/>
          <w:bottom w:w="0" w:type="dxa"/>
          <w:right w:w="0" w:type="dxa"/>
        </w:tblCellMar>
      </w:tblPr>
      <w:tblGrid>
        <w:gridCol w:w="230"/>
        <w:gridCol w:w="200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20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options are fully vested.</w:t>
            </w:r>
          </w:p>
        </w:tc>
      </w:tr>
    </w:tbl>
    <w:tbl>
      <w:tblPr>
        <w:tblW w:w="10205" w:type="dxa"/>
        <w:jc w:val="left"/>
        <w:tblInd w:w="0" w:type="dxa"/>
        <w:tblCellMar>
          <w:top w:w="0" w:type="dxa"/>
          <w:left w:w="0" w:type="dxa"/>
          <w:bottom w:w="0" w:type="dxa"/>
          <w:right w:w="0" w:type="dxa"/>
        </w:tblCellMar>
      </w:tblPr>
      <w:tblGrid>
        <w:gridCol w:w="209"/>
        <w:gridCol w:w="9996"/>
      </w:tblGrid>
      <w:tr>
        <w:trPr/>
        <w:tc>
          <w:tcPr>
            <w:tcW w:w="20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option vests as to 1/48th of the shares of our common stock underlying it in monthly installments after March 10, 2020, subject to the named executive officer’s continued service through each vesting date.</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option vests as to 1/48th of the shares of our common stock underlying it in monthly installments after May 12, 2021, subject to the named executive officer’s continued service through each vesting date.</w:t>
            </w:r>
          </w:p>
        </w:tc>
      </w:tr>
    </w:tbl>
    <w:tbl>
      <w:tblPr>
        <w:tblW w:w="10205" w:type="dxa"/>
        <w:jc w:val="left"/>
        <w:tblInd w:w="0" w:type="dxa"/>
        <w:tblCellMar>
          <w:top w:w="0" w:type="dxa"/>
          <w:left w:w="0" w:type="dxa"/>
          <w:bottom w:w="0" w:type="dxa"/>
          <w:right w:w="0" w:type="dxa"/>
        </w:tblCellMar>
      </w:tblPr>
      <w:tblGrid>
        <w:gridCol w:w="209"/>
        <w:gridCol w:w="9996"/>
      </w:tblGrid>
      <w:tr>
        <w:trPr/>
        <w:tc>
          <w:tcPr>
            <w:tcW w:w="20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option vests as to 1/48th of the shares of our common stock underlying it in monthly installments after February 10, 2022, subject to the named executive officer’s continued service through each vesting date.</w:t>
            </w:r>
          </w:p>
        </w:tc>
      </w:tr>
    </w:tbl>
    <w:tbl>
      <w:tblPr>
        <w:tblW w:w="10205" w:type="dxa"/>
        <w:jc w:val="left"/>
        <w:tblInd w:w="0" w:type="dxa"/>
        <w:tblCellMar>
          <w:top w:w="0" w:type="dxa"/>
          <w:left w:w="0" w:type="dxa"/>
          <w:bottom w:w="0" w:type="dxa"/>
          <w:right w:w="0" w:type="dxa"/>
        </w:tblCellMar>
      </w:tblPr>
      <w:tblGrid>
        <w:gridCol w:w="179"/>
        <w:gridCol w:w="10026"/>
      </w:tblGrid>
      <w:tr>
        <w:trPr/>
        <w:tc>
          <w:tcPr>
            <w:tcW w:w="17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option includes two tranches. The first tranche (covering 75% of the shares of our common stock underlying the option) vests as to 1/4th of the shares of our common stock underlying it on November 27, 2018, and as to an additional 1/48th of the shares of our common stock underlying it in monthly installments after the initial vesting date, subject to the named executive officer’s continued service through each vesting date. The second tranche (covering 25% of the total number of shares of our common stock underlying the option) vests as to 1/48th of the shares of our common stock underlying it in monthly installments, subject to the named executive officer’s continued service through each vesting date, subject to achievement of a performance vesting condition that was achieved.</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option vests as to 1/4th of the shares of our common stock underlying it on December 3, 2020, and as to 1/48th in monthly installments after the initial vesting date, subject to the named executive officer’s continued service through each vesting date.</w:t>
            </w:r>
          </w:p>
        </w:tc>
      </w:tr>
    </w:tbl>
    <w:tbl>
      <w:tblPr>
        <w:tblW w:w="10205" w:type="dxa"/>
        <w:jc w:val="left"/>
        <w:tblInd w:w="0" w:type="dxa"/>
        <w:tblCellMar>
          <w:top w:w="0" w:type="dxa"/>
          <w:left w:w="0" w:type="dxa"/>
          <w:bottom w:w="0" w:type="dxa"/>
          <w:right w:w="0" w:type="dxa"/>
        </w:tblCellMar>
      </w:tblPr>
      <w:tblGrid>
        <w:gridCol w:w="204"/>
        <w:gridCol w:w="10001"/>
      </w:tblGrid>
      <w:tr>
        <w:trPr/>
        <w:tc>
          <w:tcPr>
            <w:tcW w:w="20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0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restricted stock units vest as to 1/3rd of the shares of our common stock underlying it on September 9, 2023, and as to 2/3rds on September 9, 2024, subject to the named executive officer’s continued service through each vesting date.</w:t>
            </w:r>
          </w:p>
        </w:tc>
      </w:tr>
    </w:tbl>
    <w:p>
      <w:pPr>
        <w:pStyle w:val="TextBody"/>
        <w:spacing w:before="189" w:after="283"/>
        <w:ind w:left="36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1" w:name="DSPFPageBreakArea24"/>
      <w:bookmarkStart w:id="152" w:name="DSPFPageBreakArea24"/>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3" w:name="DSPFPageBreak24"/>
      <w:bookmarkStart w:id="154" w:name="DSPFPageBreak24"/>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5" w:name="ny20006675x1_def14a_108-pvp_pg3"/>
        <w:bookmarkEnd w:id="15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156" w:name="tPN"/>
      <w:bookmarkEnd w:id="156"/>
      <w:r>
        <w:rPr>
          <w:rFonts w:ascii="Times New Roman;Times;serif" w:hAnsi="Times New Roman;Times;serif"/>
          <w:b/>
          <w:color w:val="000000"/>
          <w:sz w:val="20"/>
        </w:rPr>
        <w:t>401(k) Plan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maintain a 401(k) retirement savings plan for the benefit of our employees, including Dr. Mack, Mr. Kung and Dr. Alland, who satisfy certain eligibility requirements. Under the 401(k) plan, eligible employees may elect to defer a portion of their compensation, within the limits prescribed by the Code. The 401(k) plan is intended to qualify under Sections 401(a) and 501(a) of the Code. We do not provide for any matching contributions under the 401(k) plan.</w:t>
      </w:r>
    </w:p>
    <w:p>
      <w:pPr>
        <w:pStyle w:val="TextBody"/>
        <w:spacing w:before="300" w:after="283"/>
        <w:ind w:left="0" w:right="0" w:hanging="0"/>
        <w:jc w:val="left"/>
        <w:rPr>
          <w:rFonts w:ascii="Times New Roman;Times;serif" w:hAnsi="Times New Roman;Times;serif"/>
          <w:b/>
          <w:color w:val="000000"/>
          <w:sz w:val="20"/>
        </w:rPr>
      </w:pPr>
      <w:bookmarkStart w:id="157" w:name="tPPT"/>
      <w:bookmarkEnd w:id="157"/>
      <w:r>
        <w:rPr>
          <w:rFonts w:ascii="Times New Roman;Times;serif" w:hAnsi="Times New Roman;Times;serif"/>
          <w:b/>
          <w:color w:val="000000"/>
          <w:sz w:val="20"/>
        </w:rPr>
        <w:t>Potential Payments upon Termination or Change in Control</w:t>
      </w:r>
    </w:p>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Change in Control and Severance Policy</w:t>
      </w:r>
      <w:r>
        <w:rPr>
          <w:rFonts w:ascii="Times New Roman;Times;serif" w:hAnsi="Times New Roman;Times;serif"/>
          <w:i w:val="false"/>
          <w:caps w:val="false"/>
          <w:smallCaps w:val="false"/>
          <w:color w:val="000000"/>
          <w:sz w:val="20"/>
        </w:rPr>
        <w:t xml:space="preserve">. Each of our named executive officers are participants in our Severance Policy. In August 2020, we entered into amended and restated change in control and severance participation agreements with Dr. Mack, Mr. Kung and Dr. Alland, which supersede all previous arrangements we had previously entered into with our named executive officers. Under each of these agreements, if, within the period three months prior to and 12 months following a “change in control” (such period, the change in control period), we terminate the employment of the applicable named executive officer other than for “cause”, death or </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disability” or the applicable named executive officer terminates his or her employment for “good reason” (as such terms are defined in the named executive officer’s change in control and severance agreement) and the named executive officer executes a separation agreement and release of claims that becomes effective and irrevocable within 60 days following the named executive officer’s termination, the named executive officer is entitled to receive (i) a lump sum severance payment, less applicable withholdings, equal to 100% of the named executive officer’s base salary, as then in effect, or 150% for Dr. Mack, (ii) a lump sum payment, less applicable withholdings, equal to 100% of the named executive officer’s target bonus for the performance year in which such termination occurred, or 150% for Dr. Mack, (iii) payment or reimbursement of premiums to maintain group health insurance continuation benefits pursuant to the Consolidated Omnibus Budget Reconciliation Act of 1985, as amended (“COBRA”) for the employee and the named executive officer’s dependents through 12 months following such termination, or 18 months for Dr. Mack, and (iv) accelerated vesting as to 100% of the employee’s outstanding unvested equity awards.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addition, under each of these agreements, if, outside of the change in control period, we terminate the employment of the applicable named executive officer other than for cause, death or disability, and the named executive officer executes a separation agreement and release of claims that becomes effective and irrevocable within 60 days following the employee’s termination, the employee is entitled to receive (i) a lump sum severance payment, less applicable withholdings, equal to 9 months of the named executive officer’s base salary, as then in effect, or 12 months for Dr. Mack, (ii) payment or reimbursement of premiums to maintain group health insurance continuation benefits pursuant to COBRA for the employee and the named executive officer’s dependents through nine months following such termination, or 12 months for Dr. Mack, and (iii) accelerated vesting of time-based equity awards granted prior to the effective date of the first registration statement that is filed by the Company and declared effective pursuant to Section 12(b) of the Exchange Act, with respect to the Company’s common stock in an amount that would have vested had the named executive officer’s employment continued through six months following such termination, or 12 months in the case of Dr. Mack.</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each of these agreements, in the event any payment to, or benefits received by, the applicable employee pursuant to his or her change in control and severance agreement would be subject to the excise tax imposed by Section 4999 of the Code (as a result of a payment being classified as a parachute payment under Section 280G of the Code), the employee will receive such payment as would entitle the employee to receive the greatest after-tax benefit, even if it means that we pay him or her a lower aggregate payment so as to minimize or eliminate the potential excise tax imposed by Section 4999 of the Code.</w:t>
      </w:r>
    </w:p>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2020 Equity Incentive Plan</w:t>
      </w:r>
      <w:r>
        <w:rPr>
          <w:rFonts w:ascii="Times New Roman;Times;serif" w:hAnsi="Times New Roman;Times;serif"/>
          <w:i w:val="false"/>
          <w:caps w:val="false"/>
          <w:smallCaps w:val="false"/>
          <w:color w:val="000000"/>
          <w:sz w:val="20"/>
        </w:rPr>
        <w:t>. Our 2020 Equity Incentive Plan (the “2020 Plan”) provides that in the event of a merger or change in control, as defined under our 2020 Plan, each outstanding award will be treated as the administrator determines, without a participant’s consent. The administrator is not required to treat all awards, all awards held by a participant or all awards of the same type similarly.</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8" w:name="DSPFPageBreakArea25"/>
      <w:bookmarkStart w:id="159" w:name="DSPFPageBreakArea25"/>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0" w:name="DSPFPageBreak25"/>
      <w:bookmarkStart w:id="161" w:name="DSPFPageBreak25"/>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2" w:name="ny20006675x1_def14a_108-pvp_pg4"/>
        <w:bookmarkEnd w:id="16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2013 Equity Incentive Plan</w:t>
      </w:r>
      <w:r>
        <w:rPr>
          <w:rFonts w:ascii="Times New Roman;Times;serif" w:hAnsi="Times New Roman;Times;serif"/>
          <w:i w:val="false"/>
          <w:caps w:val="false"/>
          <w:smallCaps w:val="false"/>
          <w:color w:val="000000"/>
          <w:sz w:val="20"/>
        </w:rPr>
        <w:t>. Our 2013 Equity Incentive Plan (the “2013 Plan”) provides that in the event of a merger or change in control, as defined under our 2013 Plan, each outstanding award will be treated as the administrator determines. The administrator is not required to treat all awards, all awards held by a participant or all awards of the same type similarly.</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the event that (i) a participant is terminated for reasons other than cause, death or disability (as such terms are defined in our 2013 Plan), or terminates employment following a resignation for good reason (as such term is defined in our 2013 Plan), or terminates employment due to not being offered employment reasonably commensurate with their position prior to the merger or change in control with any successor entity, in each case in connection with the merger or change in control (which may include, without limitation, termination within thirty (30) days prior to the effective date of a change in control), or (ii) the successor entity assumes or substitutes the awards of a participant, and within twelve (12) months after the merger or change in control such participant is terminated by the successor entity for reasons other than cause, death or disability, or such participant resigns for good reason, then, in each case,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fully vests upon the termination of a participant in connection with a merger or change in control pursuant to the immediately preceding sentence, the administrator will notify such participant in writing or electronically that the option or stock appreciation right will be exercisable for a period of time determined by the administrator in its sole discretion (of at least three (3) days), and the option or stock appreciation right will terminate upon the expiration of such period.</w:t>
      </w:r>
    </w:p>
    <w:p>
      <w:pPr>
        <w:pStyle w:val="TextBody"/>
        <w:spacing w:before="410" w:after="283"/>
        <w:ind w:left="0" w:right="0" w:hanging="0"/>
        <w:jc w:val="left"/>
        <w:rPr>
          <w:rFonts w:ascii="Times New Roman;Times;serif" w:hAnsi="Times New Roman;Times;serif"/>
          <w:b/>
          <w:color w:val="000000"/>
          <w:sz w:val="20"/>
        </w:rPr>
      </w:pPr>
      <w:bookmarkStart w:id="163" w:name="tPPH"/>
      <w:bookmarkEnd w:id="163"/>
      <w:r>
        <w:rPr>
          <w:rFonts w:ascii="Times New Roman;Times;serif" w:hAnsi="Times New Roman;Times;serif"/>
          <w:b/>
          <w:color w:val="000000"/>
          <w:sz w:val="20"/>
        </w:rPr>
        <w:t>Policy Prohibiting Hedging or Pledging of Securities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In addition, our executive officers and the members of our board of directors are prohibited from, directly or indirectly, pledging any of our securities as collateral for any loans and holding our securities in a margin account.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4" w:name="DSPFPageBreakArea26"/>
      <w:bookmarkStart w:id="165" w:name="DSPFPageBreakArea26"/>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6" w:name="DSPFPageBreak26"/>
      <w:bookmarkStart w:id="167" w:name="DSPFPageBreak26"/>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8" w:name="ny20006675x1_def14a_108-pvp_pg5"/>
        <w:bookmarkEnd w:id="16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169" w:name="tPVP"/>
      <w:bookmarkEnd w:id="169"/>
      <w:r>
        <w:rPr>
          <w:rFonts w:ascii="Times New Roman;Times;serif" w:hAnsi="Times New Roman;Times;serif"/>
          <w:b/>
          <w:color w:val="000000"/>
          <w:sz w:val="20"/>
        </w:rPr>
        <w:t>Pay Versus Performance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sets forth compensation for our Chief Executive Officer, referred in the table below as our PEO, and our other named executive officers, referred in the table below as our NEOs, for purposes of comparing their compensation to the value of our shareholders’ investments and our net income (loss), calculated in accordance with SEC regulations, for fiscal years 2022 and 2021:</w:t>
      </w:r>
    </w:p>
    <w:tbl>
      <w:tblPr>
        <w:tblW w:w="7316" w:type="dxa"/>
        <w:jc w:val="left"/>
        <w:tblInd w:w="0" w:type="dxa"/>
        <w:tblCellMar>
          <w:top w:w="0" w:type="dxa"/>
          <w:left w:w="0" w:type="dxa"/>
          <w:bottom w:w="85" w:type="dxa"/>
          <w:right w:w="0" w:type="dxa"/>
        </w:tblCellMar>
      </w:tblPr>
      <w:tblGrid>
        <w:gridCol w:w="455"/>
        <w:gridCol w:w="23"/>
        <w:gridCol w:w="23"/>
        <w:gridCol w:w="1130"/>
        <w:gridCol w:w="23"/>
        <w:gridCol w:w="23"/>
        <w:gridCol w:w="1100"/>
        <w:gridCol w:w="23"/>
        <w:gridCol w:w="23"/>
        <w:gridCol w:w="1070"/>
        <w:gridCol w:w="23"/>
        <w:gridCol w:w="23"/>
        <w:gridCol w:w="965"/>
        <w:gridCol w:w="23"/>
        <w:gridCol w:w="23"/>
        <w:gridCol w:w="1385"/>
        <w:gridCol w:w="23"/>
        <w:gridCol w:w="23"/>
        <w:gridCol w:w="935"/>
      </w:tblGrid>
      <w:tr>
        <w:trPr/>
        <w:tc>
          <w:tcPr>
            <w:tcW w:w="45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(“SCT”)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for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PEO(1)(2)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(“CAP”) to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PEO(1)(3)</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SCT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for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Named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Executive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Officers</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(“NEOs)(2)(4)</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CAP to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NEOs(3)(4)</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8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Initial Fixed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$100 Investment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Shareholder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Return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(“TSR”)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Loss (in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thousands)</w:t>
            </w:r>
          </w:p>
        </w:tc>
      </w:tr>
      <w:tr>
        <w:trPr/>
        <w:tc>
          <w:tcPr>
            <w:tcW w:w="4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30" w:type="dxa"/>
            <w:tcBorders/>
            <w:shd w:fill="CCEEFF" w:val="clear"/>
            <w:tcMar>
              <w:bottom w:w="0" w:type="dxa"/>
            </w:tcMar>
            <w:vAlign w:val="center"/>
          </w:tcPr>
          <w:p>
            <w:pPr>
              <w:pStyle w:val="TableContents"/>
              <w:spacing w:before="0" w:after="283"/>
              <w:ind w:left="68" w:right="0" w:hanging="0"/>
              <w:jc w:val="left"/>
              <w:rPr>
                <w:rFonts w:ascii="Times New Roman;Times;serif" w:hAnsi="Times New Roman;Times;serif"/>
                <w:color w:val="000000"/>
                <w:sz w:val="20"/>
              </w:rPr>
            </w:pPr>
            <w:r>
              <w:rPr>
                <w:rFonts w:ascii="Times New Roman;Times;serif" w:hAnsi="Times New Roman;Times;serif"/>
                <w:color w:val="000000"/>
                <w:sz w:val="20"/>
              </w:rPr>
              <w:t>$3,378,165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60" w:right="0" w:hanging="0"/>
              <w:jc w:val="left"/>
              <w:rPr>
                <w:rFonts w:ascii="Times New Roman;Times;serif" w:hAnsi="Times New Roman;Times;serif"/>
                <w:color w:val="000000"/>
                <w:sz w:val="20"/>
              </w:rPr>
            </w:pPr>
            <w:r>
              <w:rPr>
                <w:rFonts w:ascii="Times New Roman;Times;serif" w:hAnsi="Times New Roman;Times;serif"/>
                <w:color w:val="000000"/>
                <w:sz w:val="20"/>
              </w:rPr>
              <w:t>(717,526)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70" w:type="dxa"/>
            <w:tcBorders/>
            <w:shd w:fill="CCEEFF" w:val="clear"/>
            <w:tcMar>
              <w:bottom w:w="0" w:type="dxa"/>
            </w:tcMar>
            <w:vAlign w:val="center"/>
          </w:tcPr>
          <w:p>
            <w:pPr>
              <w:pStyle w:val="TableContents"/>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$1,177,183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(730,262)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85" w:type="dxa"/>
            <w:tcBorders/>
            <w:shd w:fill="CCEEFF" w:val="clear"/>
            <w:tcMar>
              <w:bottom w:w="0" w:type="dxa"/>
            </w:tcMar>
            <w:vAlign w:val="center"/>
          </w:tcPr>
          <w:p>
            <w:pPr>
              <w:pStyle w:val="TableContents"/>
              <w:spacing w:before="0" w:after="283"/>
              <w:ind w:left="397" w:right="0" w:hanging="0"/>
              <w:jc w:val="left"/>
              <w:rPr>
                <w:rFonts w:ascii="Times New Roman;Times;serif" w:hAnsi="Times New Roman;Times;serif"/>
                <w:color w:val="000000"/>
                <w:sz w:val="20"/>
              </w:rPr>
            </w:pPr>
            <w:r>
              <w:rPr>
                <w:rFonts w:ascii="Times New Roman;Times;serif" w:hAnsi="Times New Roman;Times;serif"/>
                <w:color w:val="000000"/>
                <w:sz w:val="20"/>
              </w:rPr>
              <w:t>37.55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$(73,317)</w:t>
            </w:r>
          </w:p>
        </w:tc>
      </w:tr>
      <w:tr>
        <w:trPr/>
        <w:tc>
          <w:tcPr>
            <w:tcW w:w="4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30" w:type="dxa"/>
            <w:tcBorders/>
            <w:shd w:fill="auto" w:val="clear"/>
            <w:tcMar>
              <w:bottom w:w="0" w:type="dxa"/>
            </w:tcMar>
            <w:vAlign w:val="center"/>
          </w:tcPr>
          <w:p>
            <w:pPr>
              <w:pStyle w:val="TableContents"/>
              <w:spacing w:before="0" w:after="283"/>
              <w:ind w:left="68" w:right="0" w:hanging="0"/>
              <w:jc w:val="left"/>
              <w:rPr>
                <w:rFonts w:ascii="Times New Roman;Times;serif" w:hAnsi="Times New Roman;Times;serif"/>
                <w:color w:val="000000"/>
                <w:sz w:val="20"/>
              </w:rPr>
            </w:pPr>
            <w:r>
              <w:rPr>
                <w:rFonts w:ascii="Times New Roman;Times;serif" w:hAnsi="Times New Roman;Times;serif"/>
                <w:color w:val="000000"/>
                <w:sz w:val="20"/>
              </w:rPr>
              <w:t>$3,541,855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60" w:right="0" w:hanging="0"/>
              <w:jc w:val="left"/>
              <w:rPr>
                <w:rFonts w:ascii="Times New Roman;Times;serif" w:hAnsi="Times New Roman;Times;serif"/>
                <w:color w:val="000000"/>
                <w:sz w:val="20"/>
              </w:rPr>
            </w:pPr>
            <w:r>
              <w:rPr>
                <w:rFonts w:ascii="Times New Roman;Times;serif" w:hAnsi="Times New Roman;Times;serif"/>
                <w:color w:val="000000"/>
                <w:sz w:val="20"/>
              </w:rPr>
              <w:t>(4,959,446)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70" w:type="dxa"/>
            <w:tcBorders/>
            <w:shd w:fill="auto" w:val="clear"/>
            <w:tcMar>
              <w:bottom w:w="0" w:type="dxa"/>
            </w:tcMar>
            <w:vAlign w:val="center"/>
          </w:tcPr>
          <w:p>
            <w:pPr>
              <w:pStyle w:val="TableContents"/>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$1,364,138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(7,344,344)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85" w:type="dxa"/>
            <w:tcBorders/>
            <w:shd w:fill="auto" w:val="clear"/>
            <w:tcMar>
              <w:bottom w:w="0" w:type="dxa"/>
            </w:tcMar>
            <w:vAlign w:val="center"/>
          </w:tcPr>
          <w:p>
            <w:pPr>
              <w:pStyle w:val="TableContents"/>
              <w:spacing w:before="0" w:after="283"/>
              <w:ind w:left="397" w:right="0" w:hanging="0"/>
              <w:jc w:val="left"/>
              <w:rPr>
                <w:rFonts w:ascii="Times New Roman;Times;serif" w:hAnsi="Times New Roman;Times;serif"/>
                <w:color w:val="000000"/>
                <w:sz w:val="20"/>
              </w:rPr>
            </w:pPr>
            <w:r>
              <w:rPr>
                <w:rFonts w:ascii="Times New Roman;Times;serif" w:hAnsi="Times New Roman;Times;serif"/>
                <w:color w:val="000000"/>
                <w:sz w:val="20"/>
              </w:rPr>
              <w:t>14.14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35" w:type="dxa"/>
            <w:tcBorders/>
            <w:shd w:fill="auto" w:val="clear"/>
            <w:tcMar>
              <w:bottom w:w="0" w:type="dxa"/>
            </w:tcMar>
            <w:vAlign w:val="center"/>
          </w:tcPr>
          <w:p>
            <w:pPr>
              <w:pStyle w:val="TableContents"/>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$(57,846)</w:t>
            </w:r>
          </w:p>
        </w:tc>
      </w:tr>
    </w:tbl>
    <w:tbl>
      <w:tblPr>
        <w:tblW w:w="10205" w:type="dxa"/>
        <w:jc w:val="left"/>
        <w:tblInd w:w="0" w:type="dxa"/>
        <w:tblCellMar>
          <w:top w:w="0" w:type="dxa"/>
          <w:left w:w="0" w:type="dxa"/>
          <w:bottom w:w="0" w:type="dxa"/>
          <w:right w:w="0" w:type="dxa"/>
        </w:tblCellMar>
      </w:tblPr>
      <w:tblGrid>
        <w:gridCol w:w="208"/>
        <w:gridCol w:w="9997"/>
      </w:tblGrid>
      <w:tr>
        <w:trPr/>
        <w:tc>
          <w:tcPr>
            <w:tcW w:w="20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For each year shown, the PEO was David H. Mack, Ph.D., our President and Chief Executive Officer. Please see the section titled “</w:t>
            </w:r>
            <w:r>
              <w:rPr>
                <w:rFonts w:ascii="Times New Roman;Times;serif" w:hAnsi="Times New Roman;Times;serif"/>
                <w:i/>
                <w:color w:val="000000"/>
                <w:sz w:val="16"/>
              </w:rPr>
              <w:t>Executive Compensation</w:t>
            </w:r>
            <w:r>
              <w:rPr>
                <w:rFonts w:ascii="Times New Roman;Times;serif" w:hAnsi="Times New Roman;Times;serif"/>
                <w:color w:val="000000"/>
                <w:sz w:val="16"/>
              </w:rPr>
              <w:t xml:space="preserve"> –</w:t>
            </w:r>
            <w:r>
              <w:rPr>
                <w:rFonts w:ascii="Times New Roman;Times;serif" w:hAnsi="Times New Roman;Times;serif"/>
                <w:i/>
                <w:color w:val="000000"/>
                <w:sz w:val="16"/>
              </w:rPr>
              <w:t>Summary Compensation Table</w:t>
            </w:r>
            <w:r>
              <w:rPr>
                <w:rFonts w:ascii="Times New Roman;Times;serif" w:hAnsi="Times New Roman;Times;serif"/>
                <w:color w:val="000000"/>
                <w:sz w:val="16"/>
              </w:rPr>
              <w:t>” for additional information.</w:t>
            </w:r>
          </w:p>
        </w:tc>
      </w:tr>
    </w:tbl>
    <w:tbl>
      <w:tblPr>
        <w:tblW w:w="10205" w:type="dxa"/>
        <w:jc w:val="left"/>
        <w:tblInd w:w="0" w:type="dxa"/>
        <w:tblCellMar>
          <w:top w:w="0" w:type="dxa"/>
          <w:left w:w="0" w:type="dxa"/>
          <w:bottom w:w="0" w:type="dxa"/>
          <w:right w:w="0" w:type="dxa"/>
        </w:tblCellMar>
      </w:tblPr>
      <w:tblGrid>
        <w:gridCol w:w="220"/>
        <w:gridCol w:w="9985"/>
      </w:tblGrid>
      <w:tr>
        <w:trPr/>
        <w:tc>
          <w:tcPr>
            <w:tcW w:w="2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Amounts in this column represent the “Total” column set forth in the SCT. Please see the footnotes to the SCT for further detail regarding the amounts in these columns.</w:t>
            </w:r>
          </w:p>
        </w:tc>
      </w:tr>
    </w:tbl>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dollar amounts reported in these columns represent the amounts of “compensation actually paid.” The amounts are computed in accordance with Item 402(v) of Regulation S-K by deducting and adding the amounts noted in the Reconciliation Tables below from the “Total” column of the SCT (pursuant to SEC rules, fair value at each measurement date is computed in a manner consistent with the fair value methodology used to account for share-based payments in our financial statements under GAAP).</w:t>
            </w:r>
          </w:p>
        </w:tc>
      </w:tr>
    </w:tbl>
    <w:tbl>
      <w:tblPr>
        <w:tblW w:w="8650" w:type="dxa"/>
        <w:jc w:val="left"/>
        <w:tblInd w:w="0" w:type="dxa"/>
        <w:tblCellMar>
          <w:top w:w="0" w:type="dxa"/>
          <w:left w:w="0" w:type="dxa"/>
          <w:bottom w:w="0" w:type="dxa"/>
          <w:right w:w="0" w:type="dxa"/>
        </w:tblCellMar>
      </w:tblPr>
      <w:tblGrid>
        <w:gridCol w:w="230"/>
        <w:gridCol w:w="842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84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Non-PEO NEOs reflect the average SCT total compensation and average CAP for the following executives by fiscal year:</w:t>
            </w:r>
          </w:p>
        </w:tc>
      </w:tr>
    </w:tbl>
    <w:p>
      <w:pPr>
        <w:pStyle w:val="TextBody"/>
        <w:spacing w:before="90" w:after="283"/>
        <w:ind w:left="800" w:right="0" w:hanging="0"/>
        <w:jc w:val="left"/>
        <w:rPr>
          <w:rFonts w:ascii="Times New Roman;Times;serif" w:hAnsi="Times New Roman;Times;serif"/>
          <w:color w:val="000000"/>
          <w:sz w:val="16"/>
        </w:rPr>
      </w:pPr>
      <w:r>
        <w:rPr>
          <w:rFonts w:ascii="Times New Roman;Times;serif" w:hAnsi="Times New Roman;Times;serif"/>
          <w:color w:val="000000"/>
          <w:sz w:val="16"/>
        </w:rPr>
        <w:t>2022: Leila Alland, M.D., Winston Kung</w:t>
      </w:r>
    </w:p>
    <w:p>
      <w:pPr>
        <w:pStyle w:val="TextBody"/>
        <w:spacing w:before="90" w:after="283"/>
        <w:ind w:left="800" w:right="0" w:hanging="0"/>
        <w:jc w:val="left"/>
        <w:rPr>
          <w:rFonts w:ascii="Times New Roman;Times;serif" w:hAnsi="Times New Roman;Times;serif"/>
          <w:color w:val="000000"/>
          <w:sz w:val="16"/>
        </w:rPr>
      </w:pPr>
      <w:r>
        <w:rPr>
          <w:rFonts w:ascii="Times New Roman;Times;serif" w:hAnsi="Times New Roman;Times;serif"/>
          <w:color w:val="000000"/>
          <w:sz w:val="16"/>
        </w:rPr>
        <w:t>2021: Leila Alland, M.D., Deepika Jalota, Pharm.D., and Winston Kung</w:t>
      </w:r>
    </w:p>
    <w:tbl>
      <w:tblPr>
        <w:tblW w:w="9092" w:type="dxa"/>
        <w:jc w:val="left"/>
        <w:tblInd w:w="0" w:type="dxa"/>
        <w:tblCellMar>
          <w:top w:w="0" w:type="dxa"/>
          <w:left w:w="0" w:type="dxa"/>
          <w:bottom w:w="85" w:type="dxa"/>
          <w:right w:w="0" w:type="dxa"/>
        </w:tblCellMar>
      </w:tblPr>
      <w:tblGrid>
        <w:gridCol w:w="6950"/>
        <w:gridCol w:w="23"/>
        <w:gridCol w:w="23"/>
        <w:gridCol w:w="965"/>
        <w:gridCol w:w="23"/>
        <w:gridCol w:w="23"/>
        <w:gridCol w:w="1085"/>
      </w:tblGrid>
      <w:tr>
        <w:trPr/>
        <w:tc>
          <w:tcPr>
            <w:tcW w:w="69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 SCT Total to CAP Reconciliation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8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r>
      <w:tr>
        <w:trPr/>
        <w:tc>
          <w:tcPr>
            <w:tcW w:w="69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SCT Total Compensation</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3,378,165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3,541,855</w:t>
            </w:r>
          </w:p>
        </w:tc>
      </w:tr>
      <w:tr>
        <w:trPr/>
        <w:tc>
          <w:tcPr>
            <w:tcW w:w="6950"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SCT Option Awards(1)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(2,814,415)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(2,652,651)</w:t>
            </w:r>
          </w:p>
        </w:tc>
      </w:tr>
      <w:tr>
        <w:trPr/>
        <w:tc>
          <w:tcPr>
            <w:tcW w:w="6950" w:type="dxa"/>
            <w:tcBorders/>
            <w:shd w:fill="CCEEFF"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Year End Fair Value of Outstanding and Unvested Equity Awards Granted in the Year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881,664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1,550,507</w:t>
            </w:r>
          </w:p>
        </w:tc>
      </w:tr>
      <w:tr>
        <w:trPr/>
        <w:tc>
          <w:tcPr>
            <w:tcW w:w="69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Existing Unvested Equity Awards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(1,907,525)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(4,703,316)</w:t>
            </w:r>
          </w:p>
        </w:tc>
      </w:tr>
      <w:tr>
        <w:trPr/>
        <w:tc>
          <w:tcPr>
            <w:tcW w:w="69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Vested Equity Awards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(658,894)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(3,036,441)</w:t>
            </w:r>
          </w:p>
        </w:tc>
      </w:tr>
      <w:tr>
        <w:trPr/>
        <w:tc>
          <w:tcPr>
            <w:tcW w:w="69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as of Vesting Date of Equity Awards Granted and Vested in the Year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403,479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340,600</w:t>
            </w:r>
          </w:p>
        </w:tc>
      </w:tr>
      <w:tr>
        <w:trPr/>
        <w:tc>
          <w:tcPr>
            <w:tcW w:w="69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Actually Paid to PEO</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$(717,526</w:t>
            </w: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$(4,959,446</w:t>
            </w:r>
            <w:r>
              <w:rPr>
                <w:rFonts w:ascii="Times New Roman;Times;serif" w:hAnsi="Times New Roman;Times;serif"/>
                <w:color w:val="000000"/>
                <w:sz w:val="20"/>
              </w:rPr>
              <w:t>)</w:t>
            </w:r>
          </w:p>
        </w:tc>
      </w:tr>
    </w:tbl>
    <w:tbl>
      <w:tblPr>
        <w:tblW w:w="6310" w:type="dxa"/>
        <w:jc w:val="left"/>
        <w:tblInd w:w="0" w:type="dxa"/>
        <w:tblCellMar>
          <w:top w:w="0" w:type="dxa"/>
          <w:left w:w="0" w:type="dxa"/>
          <w:bottom w:w="0" w:type="dxa"/>
          <w:right w:w="0" w:type="dxa"/>
        </w:tblCellMar>
      </w:tblPr>
      <w:tblGrid>
        <w:gridCol w:w="230"/>
        <w:gridCol w:w="608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08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the grant fair value of the equity awards to our PEO, as reported in the SCT.</w:t>
            </w:r>
          </w:p>
        </w:tc>
      </w:tr>
    </w:tbl>
    <w:tbl>
      <w:tblPr>
        <w:tblW w:w="9092" w:type="dxa"/>
        <w:jc w:val="left"/>
        <w:tblInd w:w="0" w:type="dxa"/>
        <w:tblCellMar>
          <w:top w:w="0" w:type="dxa"/>
          <w:left w:w="0" w:type="dxa"/>
          <w:bottom w:w="85" w:type="dxa"/>
          <w:right w:w="0" w:type="dxa"/>
        </w:tblCellMar>
      </w:tblPr>
      <w:tblGrid>
        <w:gridCol w:w="6950"/>
        <w:gridCol w:w="23"/>
        <w:gridCol w:w="23"/>
        <w:gridCol w:w="965"/>
        <w:gridCol w:w="23"/>
        <w:gridCol w:w="23"/>
        <w:gridCol w:w="1085"/>
      </w:tblGrid>
      <w:tr>
        <w:trPr/>
        <w:tc>
          <w:tcPr>
            <w:tcW w:w="69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 SCT Total to CAP Reconciliation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8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r>
      <w:tr>
        <w:trPr/>
        <w:tc>
          <w:tcPr>
            <w:tcW w:w="69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SCT Total Compensation</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1,177,183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1,364,138</w:t>
            </w:r>
          </w:p>
        </w:tc>
      </w:tr>
      <w:tr>
        <w:trPr/>
        <w:tc>
          <w:tcPr>
            <w:tcW w:w="6950"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SCT Option Awards(1)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(355,482)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(718,035)</w:t>
            </w:r>
          </w:p>
        </w:tc>
      </w:tr>
      <w:tr>
        <w:trPr/>
        <w:tc>
          <w:tcPr>
            <w:tcW w:w="6950" w:type="dxa"/>
            <w:tcBorders/>
            <w:shd w:fill="CCEEFF"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Year End Fair Value of Outstanding and Unvested Equity Awards Granted in the Year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595,843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419,701</w:t>
            </w:r>
          </w:p>
        </w:tc>
      </w:tr>
      <w:tr>
        <w:trPr/>
        <w:tc>
          <w:tcPr>
            <w:tcW w:w="69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Existing Unvested Equity Awards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(1,621,768)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(5,031,850)</w:t>
            </w:r>
          </w:p>
        </w:tc>
      </w:tr>
      <w:tr>
        <w:trPr/>
        <w:tc>
          <w:tcPr>
            <w:tcW w:w="69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Vested Equity Awards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(694,801)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(3,470,494)</w:t>
            </w:r>
          </w:p>
        </w:tc>
      </w:tr>
      <w:tr>
        <w:trPr/>
        <w:tc>
          <w:tcPr>
            <w:tcW w:w="69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 Value as of Vesting Date of Equity Awards Granted and Vested in the Year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168,763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92,106</w:t>
            </w:r>
          </w:p>
        </w:tc>
      </w:tr>
      <w:tr>
        <w:trPr/>
        <w:tc>
          <w:tcPr>
            <w:tcW w:w="69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Actually Paid to NEOs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$(730,262</w:t>
            </w: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$(7,344,344</w:t>
            </w:r>
            <w:r>
              <w:rPr>
                <w:rFonts w:ascii="Times New Roman;Times;serif" w:hAnsi="Times New Roman;Times;serif"/>
                <w:color w:val="000000"/>
                <w:sz w:val="20"/>
              </w:rPr>
              <w:t>)</w:t>
            </w:r>
          </w:p>
        </w:tc>
      </w:tr>
    </w:tbl>
    <w:tbl>
      <w:tblPr>
        <w:tblW w:w="6400" w:type="dxa"/>
        <w:jc w:val="left"/>
        <w:tblInd w:w="0" w:type="dxa"/>
        <w:tblCellMar>
          <w:top w:w="0" w:type="dxa"/>
          <w:left w:w="0" w:type="dxa"/>
          <w:bottom w:w="0" w:type="dxa"/>
          <w:right w:w="0" w:type="dxa"/>
        </w:tblCellMar>
      </w:tblPr>
      <w:tblGrid>
        <w:gridCol w:w="230"/>
        <w:gridCol w:w="617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17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the grant fair value of the equity awards to our NEOs, as reported in the SCT.</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0" w:name="DSPFPageBreakArea27"/>
      <w:bookmarkStart w:id="171" w:name="DSPFPageBreakArea27"/>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2" w:name="DSPFPageBreak27"/>
      <w:bookmarkStart w:id="173" w:name="DSPFPageBreak27"/>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74" w:name="ny20006675x1_def14a_108-pvp_pg6"/>
        <w:bookmarkEnd w:id="17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graphs illustrate the relationship during 2021-2022 of the CAP for our PEO and the average CAP for our other NEOs as calculated pursuant to SEC rules to (i) our total shareholder return (“TSR”) and (ii) our net income (loss) (each as set forth in the table above). Note that we do not utilize TSR or net income (loss) in our executive compensation program; however, we do utilize several other performance measures to align executive compensation with the Company’s performance.</w:t>
      </w:r>
    </w:p>
    <w:p>
      <w:pPr>
        <w:pStyle w:val="TextBody"/>
        <w:spacing w:before="545" w:after="283"/>
        <w:jc w:val="center"/>
        <w:rPr>
          <w:color w:val="000000"/>
        </w:rPr>
      </w:pPr>
      <w:r>
        <w:rPr>
          <w:color w:val="000000"/>
        </w:rPr>
        <w:drawing>
          <wp:inline distT="0" distB="0" distL="0" distR="0">
            <wp:extent cx="5076825" cy="304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076825" cy="3048000"/>
                    </a:xfrm>
                    <a:prstGeom prst="rect">
                      <a:avLst/>
                    </a:prstGeom>
                  </pic:spPr>
                </pic:pic>
              </a:graphicData>
            </a:graphic>
          </wp:inline>
        </w:drawing>
      </w:r>
    </w:p>
    <w:p>
      <w:pPr>
        <w:pStyle w:val="TextBody"/>
        <w:spacing w:before="0" w:after="283"/>
        <w:ind w:left="0" w:right="0" w:hanging="0"/>
        <w:jc w:val="left"/>
        <w:rPr>
          <w:color w:val="000000"/>
        </w:rPr>
      </w:pPr>
      <w:r>
        <w:rPr>
          <w:color w:val="000000"/>
        </w:rPr>
        <w:t xml:space="preserve">  </w:t>
      </w:r>
    </w:p>
    <w:p>
      <w:pPr>
        <w:pStyle w:val="TextBody"/>
        <w:spacing w:before="525" w:after="283"/>
        <w:jc w:val="center"/>
        <w:rPr>
          <w:color w:val="000000"/>
        </w:rPr>
      </w:pPr>
      <w:r>
        <w:rPr>
          <w:color w:val="000000"/>
        </w:rPr>
        <w:drawing>
          <wp:inline distT="0" distB="0" distL="0" distR="0">
            <wp:extent cx="5076825" cy="3076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076825" cy="30765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All information provided above under the “Pay Versus Performance” heading will not be deemed to be incorporated by reference into any filing of PMV Pharmaceuticals under the Securities Act of 1933, as amended (the “Securities Act”), or the Exchange Act, whether made before or after the date hereof and irrespective of any general incorporation language in any such filing, except to the extent we specifically incorporate such information by reference.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5" w:name="DSPFPageBreakArea28"/>
      <w:bookmarkStart w:id="176" w:name="DSPFPageBreakArea28"/>
      <w:bookmarkEnd w:id="17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7" w:name="DSPFPageBreak28"/>
      <w:bookmarkStart w:id="178" w:name="DSPFPageBreak28"/>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79" w:name="ny20006675x1_def14a_108-pvp_pg7"/>
        <w:bookmarkEnd w:id="17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180" w:name="tECI"/>
      <w:bookmarkEnd w:id="180"/>
      <w:r>
        <w:rPr>
          <w:rFonts w:ascii="Times New Roman;Times;serif" w:hAnsi="Times New Roman;Times;serif"/>
          <w:b/>
          <w:color w:val="000000"/>
          <w:sz w:val="20"/>
        </w:rPr>
        <w:t>Equity Compensation Plan Information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summarizes our equity compensation plan information as of December 31, 2022. Information is included for equity compensation plans approved by our stockholders. We do not have any equity compensation plans not approved by our stockholders.</w:t>
      </w:r>
    </w:p>
    <w:tbl>
      <w:tblPr>
        <w:tblW w:w="9188" w:type="dxa"/>
        <w:jc w:val="left"/>
        <w:tblInd w:w="0" w:type="dxa"/>
        <w:tblCellMar>
          <w:top w:w="0" w:type="dxa"/>
          <w:left w:w="0" w:type="dxa"/>
          <w:bottom w:w="85" w:type="dxa"/>
          <w:right w:w="0" w:type="dxa"/>
        </w:tblCellMar>
      </w:tblPr>
      <w:tblGrid>
        <w:gridCol w:w="4970"/>
        <w:gridCol w:w="23"/>
        <w:gridCol w:w="23"/>
        <w:gridCol w:w="1160"/>
        <w:gridCol w:w="23"/>
        <w:gridCol w:w="23"/>
        <w:gridCol w:w="1325"/>
        <w:gridCol w:w="23"/>
        <w:gridCol w:w="23"/>
        <w:gridCol w:w="1595"/>
      </w:tblGrid>
      <w:tr>
        <w:trPr/>
        <w:tc>
          <w:tcPr>
            <w:tcW w:w="497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be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Upon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 Weighted-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Exercise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5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Remaining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for Future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Under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Plans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Column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r>
      <w:tr>
        <w:trPr/>
        <w:tc>
          <w:tcPr>
            <w:tcW w:w="497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6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2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95" w:type="dxa"/>
            <w:tcBorders/>
            <w:shd w:fill="CCEEFF" w:val="clear"/>
            <w:tcMar>
              <w:bottom w:w="0" w:type="dxa"/>
            </w:tcMar>
            <w:vAlign w:val="center"/>
          </w:tcPr>
          <w:p>
            <w:pPr>
              <w:pStyle w:val="TableContents"/>
              <w:spacing w:before="0" w:after="0"/>
              <w:jc w:val="left"/>
              <w:rPr>
                <w:color w:val="000000"/>
              </w:rPr>
            </w:pPr>
            <w:r>
              <w:rPr>
                <w:color w:val="000000"/>
              </w:rPr>
              <w:t> </w:t>
            </w:r>
          </w:p>
        </w:tc>
      </w:tr>
      <w:tr>
        <w:trPr/>
        <w:tc>
          <w:tcPr>
            <w:tcW w:w="4970" w:type="dxa"/>
            <w:tcBorders/>
            <w:shd w:fill="auto" w:val="clear"/>
            <w:tcMar>
              <w:bottom w:w="0" w:type="dxa"/>
            </w:tcMar>
            <w:vAlign w:val="center"/>
          </w:tcPr>
          <w:p>
            <w:pPr>
              <w:pStyle w:val="TableContents"/>
              <w:spacing w:lineRule="auto" w:line="240"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2013 Equity Incentive Plan(1)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60" w:type="dxa"/>
            <w:tcBorders/>
            <w:shd w:fill="auto" w:val="clear"/>
            <w:tcMar>
              <w:bottom w:w="0" w:type="dxa"/>
            </w:tcMar>
            <w:vAlign w:val="center"/>
          </w:tcPr>
          <w:p>
            <w:pPr>
              <w:pStyle w:val="TableContents"/>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3,099,452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3.14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95" w:type="dxa"/>
            <w:tcBorders/>
            <w:shd w:fill="auto" w:val="clear"/>
            <w:tcMar>
              <w:bottom w:w="0" w:type="dxa"/>
            </w:tcMar>
            <w:vAlign w:val="center"/>
          </w:tcPr>
          <w:p>
            <w:pPr>
              <w:pStyle w:val="TableContents"/>
              <w:spacing w:before="0" w:after="283"/>
              <w:ind w:left="333" w:right="0" w:hanging="0"/>
              <w:jc w:val="left"/>
              <w:rPr>
                <w:color w:val="000000"/>
              </w:rPr>
            </w:pPr>
            <w:r>
              <w:rPr>
                <w:color w:val="000000"/>
              </w:rPr>
              <w:t>—</w:t>
            </w:r>
          </w:p>
        </w:tc>
      </w:tr>
      <w:tr>
        <w:trPr/>
        <w:tc>
          <w:tcPr>
            <w:tcW w:w="4970" w:type="dxa"/>
            <w:tcBorders/>
            <w:shd w:fill="CCEEFF" w:val="clear"/>
            <w:tcMar>
              <w:bottom w:w="0" w:type="dxa"/>
            </w:tcMar>
            <w:vAlign w:val="center"/>
          </w:tcPr>
          <w:p>
            <w:pPr>
              <w:pStyle w:val="TableContents"/>
              <w:spacing w:lineRule="auto" w:line="240"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2020 Equity Incentive Plan(2)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60" w:type="dxa"/>
            <w:tcBorders/>
            <w:shd w:fill="CCEEFF" w:val="clear"/>
            <w:tcMar>
              <w:bottom w:w="0" w:type="dxa"/>
            </w:tcMar>
            <w:vAlign w:val="center"/>
          </w:tcPr>
          <w:p>
            <w:pPr>
              <w:pStyle w:val="TableContents"/>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2,179,319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25" w:type="dxa"/>
            <w:tcBorders/>
            <w:shd w:fill="CCEEFF" w:val="clear"/>
            <w:tcMar>
              <w:bottom w:w="0" w:type="dxa"/>
            </w:tcMar>
            <w:vAlign w:val="center"/>
          </w:tcPr>
          <w:p>
            <w:pPr>
              <w:pStyle w:val="TableContents"/>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$20.74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95" w:type="dxa"/>
            <w:tcBorders/>
            <w:shd w:fill="CCEEFF" w:val="clear"/>
            <w:tcMar>
              <w:bottom w:w="0" w:type="dxa"/>
            </w:tcMar>
            <w:vAlign w:val="center"/>
          </w:tcPr>
          <w:p>
            <w:pPr>
              <w:pStyle w:val="TableContents"/>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4,618,292</w:t>
            </w:r>
          </w:p>
        </w:tc>
      </w:tr>
      <w:tr>
        <w:trPr/>
        <w:tc>
          <w:tcPr>
            <w:tcW w:w="4970" w:type="dxa"/>
            <w:tcBorders/>
            <w:shd w:fill="auto" w:val="clear"/>
            <w:tcMar>
              <w:bottom w:w="0" w:type="dxa"/>
            </w:tcMar>
            <w:vAlign w:val="center"/>
          </w:tcPr>
          <w:p>
            <w:pPr>
              <w:pStyle w:val="TableContents"/>
              <w:spacing w:lineRule="auto" w:line="240"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2020 Employee Stock Purchase Plan(3)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60" w:type="dxa"/>
            <w:tcBorders/>
            <w:shd w:fill="auto"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95" w:type="dxa"/>
            <w:tcBorders/>
            <w:shd w:fill="auto" w:val="clear"/>
            <w:tcMar>
              <w:bottom w:w="0" w:type="dxa"/>
            </w:tcMar>
            <w:vAlign w:val="center"/>
          </w:tcPr>
          <w:p>
            <w:pPr>
              <w:pStyle w:val="TableContents"/>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705,559</w:t>
            </w:r>
          </w:p>
        </w:tc>
      </w:tr>
      <w:tr>
        <w:trPr/>
        <w:tc>
          <w:tcPr>
            <w:tcW w:w="4970" w:type="dxa"/>
            <w:tcBorders/>
            <w:shd w:fill="CCEEFF"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60" w:type="dxa"/>
            <w:tcBorders/>
            <w:shd w:fill="CCEEFF" w:val="clear"/>
            <w:tcMar>
              <w:bottom w:w="0" w:type="dxa"/>
            </w:tcMar>
            <w:vAlign w:val="center"/>
          </w:tcPr>
          <w:p>
            <w:pPr>
              <w:pStyle w:val="TableContents"/>
              <w:spacing w:before="0" w:after="283"/>
              <w:ind w:left="133" w:right="0" w:hanging="0"/>
              <w:jc w:val="left"/>
              <w:rPr>
                <w:color w:val="000000"/>
                <w:bdr w:val="single" w:sz="8" w:space="1" w:color="000000"/>
              </w:rPr>
            </w:pPr>
            <w:r>
              <w:rPr>
                <w:color w:val="000000"/>
                <w:bdr w:val="single" w:sz="8" w:space="1" w:color="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25" w:type="dxa"/>
            <w:tcBorders/>
            <w:shd w:fill="CCEEFF" w:val="clear"/>
            <w:tcMar>
              <w:bottom w:w="0" w:type="dxa"/>
            </w:tcMar>
            <w:vAlign w:val="center"/>
          </w:tcPr>
          <w:p>
            <w:pPr>
              <w:pStyle w:val="TableContents"/>
              <w:spacing w:before="0" w:after="283"/>
              <w:ind w:left="3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95" w:type="dxa"/>
            <w:tcBorders/>
            <w:shd w:fill="CCEEFF" w:val="clear"/>
            <w:tcMar>
              <w:bottom w:w="0" w:type="dxa"/>
            </w:tcMar>
            <w:vAlign w:val="center"/>
          </w:tcPr>
          <w:p>
            <w:pPr>
              <w:pStyle w:val="TableContents"/>
              <w:spacing w:before="0" w:after="283"/>
              <w:ind w:left="333" w:right="0" w:hanging="0"/>
              <w:jc w:val="left"/>
              <w:rPr>
                <w:color w:val="000000"/>
                <w:bdr w:val="single" w:sz="8" w:space="1" w:color="000000"/>
              </w:rPr>
            </w:pPr>
            <w:r>
              <w:rPr>
                <w:color w:val="000000"/>
                <w:bdr w:val="single" w:sz="8" w:space="1" w:color="000000"/>
              </w:rPr>
              <w:t>—</w:t>
            </w:r>
          </w:p>
        </w:tc>
      </w:tr>
      <w:tr>
        <w:trPr/>
        <w:tc>
          <w:tcPr>
            <w:tcW w:w="497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60" w:type="dxa"/>
            <w:tcBorders/>
            <w:shd w:fill="auto" w:val="clear"/>
            <w:tcMar>
              <w:bottom w:w="0" w:type="dxa"/>
            </w:tcMar>
            <w:vAlign w:val="center"/>
          </w:tcPr>
          <w:p>
            <w:pPr>
              <w:pStyle w:val="TableContents"/>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5,278,771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$10.40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95" w:type="dxa"/>
            <w:tcBorders/>
            <w:shd w:fill="auto" w:val="clear"/>
            <w:tcMar>
              <w:bottom w:w="0" w:type="dxa"/>
            </w:tcMar>
            <w:vAlign w:val="center"/>
          </w:tcPr>
          <w:p>
            <w:pPr>
              <w:pStyle w:val="TableContents"/>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5,323,851</w:t>
            </w:r>
          </w:p>
        </w:tc>
      </w:tr>
    </w:tbl>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Our board of directors adopted, and our stockholders approved, the 2013 Plan. As a result of our initial public offering and the adoption of the 2020 Plan, we no longer grant awards under the 2013 Plan; however, all outstanding options issued pursuant to the 2013 Plan continue to be governed by their existing terms. To the extent that any such awards are forfeited or lapse unexercised or are repurchased, the shares of common stock subject to such awards will become available for issuance under the 2020 Plan.</w:t>
            </w:r>
          </w:p>
        </w:tc>
      </w:tr>
    </w:tbl>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Our 2020 Plan provides that the number of shares available for issuance under the 2020 Plan will be increased on the first day of each fiscal year in an amount equal to the least of (i) 4,406,374 shares, (ii) five percent (5%) of the outstanding shares of common stock on the last day of the immediately preceding fiscal year or (iii) such other amount as our board of directors or any of its committees as will be administering the 2020 Plan may determine. On January 1, 2023, the number of shares of our common stock available for issuance under our 2020 Plan increased by 1,830,853 shares pursuant to these provisions. This increase is not reflected in the table above.</w:t>
            </w:r>
          </w:p>
        </w:tc>
      </w:tr>
    </w:tbl>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Our 2020 ESPP provides that the number of shares available for issuance under the 2020 ESPP will be increased on the first day of each fiscal year in an amount equal to the least of (i) 801,504 shares, (ii) one percent (1%) of the outstanding shares of common stock on the last day of the immediately preceding fiscal year or (iii) such other amount as may be determined by our board of directors or any of its committees as will be administering the 2020 ESPP may determine. On January 1, 2023, the number of shares of our common stock available for issuance under our 2020 ESPP increased by 457,713 shares pursuant to these provisions. This increase is not reflected in the table above.</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1" w:name="DSPFPageBreakArea29"/>
      <w:bookmarkStart w:id="182" w:name="DSPFPageBreakArea29"/>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3" w:name="DSPFPageBreak29"/>
      <w:bookmarkStart w:id="184" w:name="DSPFPageBreak29"/>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5" w:name="ny20006675x1_def14a_109-stock_pg1"/>
        <w:bookmarkEnd w:id="18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86" w:name="tBOS"/>
      <w:bookmarkEnd w:id="186"/>
      <w:r>
        <w:rPr>
          <w:rFonts w:ascii="Times New Roman;Times;serif" w:hAnsi="Times New Roman;Times;serif"/>
          <w:b/>
          <w:color w:val="000000"/>
          <w:sz w:val="20"/>
        </w:rPr>
        <w:t>BENEFICIAL OWNERSHIP OF SHARES OF COMMON STOCK</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sets forth certain information with respect to the beneficial ownership of our common stock as of March 31, 2023 for:</w:t>
      </w:r>
    </w:p>
    <w:tbl>
      <w:tblPr>
        <w:tblW w:w="7015" w:type="dxa"/>
        <w:jc w:val="left"/>
        <w:tblInd w:w="0" w:type="dxa"/>
        <w:tblCellMar>
          <w:top w:w="0" w:type="dxa"/>
          <w:left w:w="0" w:type="dxa"/>
          <w:bottom w:w="0" w:type="dxa"/>
          <w:right w:w="0" w:type="dxa"/>
        </w:tblCellMar>
      </w:tblPr>
      <w:tblGrid>
        <w:gridCol w:w="110"/>
        <w:gridCol w:w="69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9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beneficial owner of 5% or more of the outstanding shares of our common stock; </w:t>
            </w:r>
          </w:p>
        </w:tc>
      </w:tr>
    </w:tbl>
    <w:tbl>
      <w:tblPr>
        <w:tblW w:w="1840" w:type="dxa"/>
        <w:jc w:val="left"/>
        <w:tblInd w:w="0" w:type="dxa"/>
        <w:tblCellMar>
          <w:top w:w="0" w:type="dxa"/>
          <w:left w:w="0" w:type="dxa"/>
          <w:bottom w:w="0" w:type="dxa"/>
          <w:right w:w="0" w:type="dxa"/>
        </w:tblCellMar>
      </w:tblPr>
      <w:tblGrid>
        <w:gridCol w:w="110"/>
        <w:gridCol w:w="17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7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each of our directors;</w:t>
            </w:r>
          </w:p>
        </w:tc>
      </w:tr>
    </w:tbl>
    <w:tbl>
      <w:tblPr>
        <w:tblW w:w="3550" w:type="dxa"/>
        <w:jc w:val="left"/>
        <w:tblInd w:w="0" w:type="dxa"/>
        <w:tblCellMar>
          <w:top w:w="0" w:type="dxa"/>
          <w:left w:w="0" w:type="dxa"/>
          <w:bottom w:w="0" w:type="dxa"/>
          <w:right w:w="0" w:type="dxa"/>
        </w:tblCellMar>
      </w:tblPr>
      <w:tblGrid>
        <w:gridCol w:w="110"/>
        <w:gridCol w:w="34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4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and </w:t>
            </w:r>
          </w:p>
        </w:tc>
      </w:tr>
    </w:tbl>
    <w:tbl>
      <w:tblPr>
        <w:tblW w:w="3835" w:type="dxa"/>
        <w:jc w:val="left"/>
        <w:tblInd w:w="0" w:type="dxa"/>
        <w:tblCellMar>
          <w:top w:w="0" w:type="dxa"/>
          <w:left w:w="0" w:type="dxa"/>
          <w:bottom w:w="0" w:type="dxa"/>
          <w:right w:w="0" w:type="dxa"/>
        </w:tblCellMar>
      </w:tblPr>
      <w:tblGrid>
        <w:gridCol w:w="110"/>
        <w:gridCol w:w="37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7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beneficially owned by each person or entity is determined in accordance with the applicable rules of the SEC and includes voting or investment power with respect to shares of our common stock. The information is not necessarily indicative of beneficial ownership for any other purpose. Unless otherwise indicated, to our knowledge, all persons named in the table have sole voting and investment power with respect to their shares of common stock, except to the extent authority is shared by spouses under community property laws. The inclusion herein of any shares as beneficially owned does not constitute an admission of beneficial ownership. </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Applicable percentage ownership is based on 45,774,761 shares of common stock outstanding as of March 31, 2023. In computing the number of shares of common stock beneficially owned by a person or entity and the percentage ownership of such person or entity, we deemed to be outstanding (i) all shares of common stock subject to options held by the person that are currently exercisable or exercisable within 60 days of March 31, 2023 and (ii) all shares underlying restricted stock units vesting within 60 days of March 31, 2023. However, we did not deem such shares outstanding for the purpose of computing the percentage ownership of any other person.</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Unless otherwise indicated, the address of each beneficial owner listed in the table below is c/o PMV Pharmaceuticals, Inc., One Research Way, Princeton, New Jersey 08540.</w:t>
      </w:r>
    </w:p>
    <w:tbl>
      <w:tblPr>
        <w:tblW w:w="6233" w:type="dxa"/>
        <w:jc w:val="left"/>
        <w:tblInd w:w="0" w:type="dxa"/>
        <w:tblCellMar>
          <w:top w:w="0" w:type="dxa"/>
          <w:left w:w="0" w:type="dxa"/>
          <w:bottom w:w="0" w:type="dxa"/>
          <w:right w:w="0" w:type="dxa"/>
        </w:tblCellMar>
      </w:tblPr>
      <w:tblGrid>
        <w:gridCol w:w="4235"/>
        <w:gridCol w:w="23"/>
        <w:gridCol w:w="23"/>
        <w:gridCol w:w="951"/>
        <w:gridCol w:w="25"/>
        <w:gridCol w:w="25"/>
        <w:gridCol w:w="951"/>
      </w:tblGrid>
      <w:tr>
        <w:trPr/>
        <w:tc>
          <w:tcPr>
            <w:tcW w:w="423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952"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Beneficially Owned</w:t>
            </w:r>
          </w:p>
        </w:tc>
      </w:tr>
      <w:tr>
        <w:trPr/>
        <w:tc>
          <w:tcPr>
            <w:tcW w:w="4235" w:type="dxa"/>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51"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25" w:type="dxa"/>
            <w:tcBorders>
              <w:bottom w:val="single" w:sz="2" w:space="0" w:color="FFFFFF"/>
            </w:tcBorders>
            <w:shd w:fill="auto" w:val="clear"/>
            <w:tcMar>
              <w:bottom w:w="85" w:type="dxa"/>
            </w:tcMar>
            <w:vAlign w:val="center"/>
          </w:tcPr>
          <w:p>
            <w:pPr>
              <w:pStyle w:val="TableContents"/>
              <w:spacing w:before="0" w:after="283"/>
              <w:rPr/>
            </w:pPr>
            <w:r>
              <w:rPr/>
              <w:t>​</w:t>
            </w:r>
          </w:p>
        </w:tc>
        <w:tc>
          <w:tcPr>
            <w:tcW w:w="25" w:type="dxa"/>
            <w:tcBorders>
              <w:bottom w:val="single" w:sz="2" w:space="0" w:color="FFFFFF"/>
            </w:tcBorders>
            <w:shd w:fill="auto" w:val="clear"/>
            <w:tcMar>
              <w:bottom w:w="85" w:type="dxa"/>
            </w:tcMar>
            <w:vAlign w:val="center"/>
          </w:tcPr>
          <w:p>
            <w:pPr>
              <w:pStyle w:val="TableContents"/>
              <w:spacing w:before="0" w:after="283"/>
              <w:rPr/>
            </w:pPr>
            <w:r>
              <w:rPr/>
              <w:t>​</w:t>
            </w:r>
          </w:p>
        </w:tc>
        <w:tc>
          <w:tcPr>
            <w:tcW w:w="951"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Percentage</w:t>
            </w:r>
          </w:p>
        </w:tc>
      </w:tr>
      <w:tr>
        <w:trPr/>
        <w:tc>
          <w:tcPr>
            <w:tcW w:w="4235" w:type="dxa"/>
            <w:tcBorders/>
            <w:shd w:fill="CCEEFF" w:val="clear"/>
            <w:vAlign w:val="center"/>
          </w:tcPr>
          <w:p>
            <w:pPr>
              <w:pStyle w:val="TableContents"/>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Greater than 5% Stockholders: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0"/>
              <w:jc w:val="left"/>
              <w:rPr>
                <w:color w:val="000000"/>
              </w:rPr>
            </w:pPr>
            <w:r>
              <w:rPr>
                <w:color w:val="000000"/>
              </w:rPr>
              <w:t> </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0"/>
              <w:jc w:val="left"/>
              <w:rPr>
                <w:color w:val="000000"/>
              </w:rPr>
            </w:pPr>
            <w:r>
              <w:rPr>
                <w:color w:val="000000"/>
              </w:rPr>
              <w:t> </w:t>
            </w:r>
          </w:p>
        </w:tc>
      </w:tr>
      <w:tr>
        <w:trPr/>
        <w:tc>
          <w:tcPr>
            <w:tcW w:w="423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OrbiMed Advisors(1)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6,855,423</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15.0%</w:t>
            </w:r>
          </w:p>
        </w:tc>
      </w:tr>
      <w:tr>
        <w:trPr/>
        <w:tc>
          <w:tcPr>
            <w:tcW w:w="42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RTW Investments, LP(2)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4,356,920</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9.5%</w:t>
            </w:r>
          </w:p>
        </w:tc>
      </w:tr>
      <w:tr>
        <w:trPr/>
        <w:tc>
          <w:tcPr>
            <w:tcW w:w="423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JPMorgan Chase &amp; Co.(3)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4,004,767</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8.8%</w:t>
            </w:r>
          </w:p>
        </w:tc>
      </w:tr>
      <w:tr>
        <w:trPr/>
        <w:tc>
          <w:tcPr>
            <w:tcW w:w="42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BlackRock, Inc.(4)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3,451,367</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r>
      <w:tr>
        <w:trPr/>
        <w:tc>
          <w:tcPr>
            <w:tcW w:w="423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 Street Corporation(5)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3,307,236</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7.2%</w:t>
            </w:r>
          </w:p>
        </w:tc>
      </w:tr>
      <w:tr>
        <w:trPr/>
        <w:tc>
          <w:tcPr>
            <w:tcW w:w="42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Boxer Capital, LLC(6)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3,241,175</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r>
      <w:tr>
        <w:trPr/>
        <w:tc>
          <w:tcPr>
            <w:tcW w:w="423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Avoro Capital Advisors LLC(7)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3,060,000</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r>
      <w:tr>
        <w:trPr/>
        <w:tc>
          <w:tcPr>
            <w:tcW w:w="42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Vanguard Group(8)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2,753,606</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r>
      <w:tr>
        <w:trPr/>
        <w:tc>
          <w:tcPr>
            <w:tcW w:w="423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Euclidean Capital LLC(9)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2,336,909</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r>
      <w:tr>
        <w:trPr/>
        <w:tc>
          <w:tcPr>
            <w:tcW w:w="423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0"/>
              <w:jc w:val="left"/>
              <w:rPr>
                <w:color w:val="000000"/>
              </w:rPr>
            </w:pPr>
            <w:r>
              <w:rPr>
                <w:color w:val="000000"/>
              </w:rPr>
              <w:t> </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0"/>
              <w:jc w:val="left"/>
              <w:rPr>
                <w:color w:val="000000"/>
              </w:rPr>
            </w:pPr>
            <w:r>
              <w:rPr>
                <w:color w:val="000000"/>
              </w:rPr>
              <w:t> </w:t>
            </w:r>
          </w:p>
        </w:tc>
      </w:tr>
      <w:tr>
        <w:trPr/>
        <w:tc>
          <w:tcPr>
            <w:tcW w:w="4235" w:type="dxa"/>
            <w:tcBorders/>
            <w:shd w:fill="auto" w:val="clear"/>
            <w:vAlign w:val="center"/>
          </w:tcPr>
          <w:p>
            <w:pPr>
              <w:pStyle w:val="TableContents"/>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Directors and Named Executive Officers: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0"/>
              <w:jc w:val="left"/>
              <w:rPr>
                <w:color w:val="000000"/>
              </w:rPr>
            </w:pPr>
            <w:r>
              <w:rPr>
                <w:color w:val="000000"/>
              </w:rPr>
              <w:t> </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0"/>
              <w:jc w:val="left"/>
              <w:rPr>
                <w:color w:val="000000"/>
              </w:rPr>
            </w:pPr>
            <w:r>
              <w:rPr>
                <w:color w:val="000000"/>
              </w:rPr>
              <w:t> </w:t>
            </w:r>
          </w:p>
        </w:tc>
      </w:tr>
      <w:tr>
        <w:trPr/>
        <w:tc>
          <w:tcPr>
            <w:tcW w:w="42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H. Mack, Ph.D.(10)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1,816,889</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3.8%</w:t>
            </w:r>
          </w:p>
        </w:tc>
      </w:tr>
      <w:tr>
        <w:trPr/>
        <w:tc>
          <w:tcPr>
            <w:tcW w:w="423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Winston Kung(11)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594,936</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1.3%</w:t>
            </w:r>
          </w:p>
        </w:tc>
      </w:tr>
      <w:tr>
        <w:trPr/>
        <w:tc>
          <w:tcPr>
            <w:tcW w:w="42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Leila Alland, M.D.(12)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349,511</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23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Charles M. Baum, M.D., Ph.D.(13)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36,823</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2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Kirsten Flowers(14)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14,519</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23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Carol Gallagher, Pharm.D.(15)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6,500</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2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Heyman, Ph.D.(16)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260,331</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23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Arnold Levine, Ph.D.(17)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430,029</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23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Laurie Stelzer(18)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46,278</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51" w:type="dxa"/>
            <w:tcBorders/>
            <w:shd w:fill="CCEE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23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executive officers and directors (10 persons)(19)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3,691,917</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51" w:type="dxa"/>
            <w:tcBorders/>
            <w:shd w:fill="auto"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7.6%</w:t>
            </w:r>
          </w:p>
        </w:tc>
      </w:tr>
    </w:tbl>
    <w:tbl>
      <w:tblPr>
        <w:tblW w:w="1810" w:type="dxa"/>
        <w:jc w:val="left"/>
        <w:tblInd w:w="0" w:type="dxa"/>
        <w:tblCellMar>
          <w:top w:w="0" w:type="dxa"/>
          <w:left w:w="0" w:type="dxa"/>
          <w:bottom w:w="0" w:type="dxa"/>
          <w:right w:w="0" w:type="dxa"/>
        </w:tblCellMar>
      </w:tblPr>
      <w:tblGrid>
        <w:gridCol w:w="110"/>
        <w:gridCol w:w="1700"/>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7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less than 1%.</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7" w:name="DSPFPageBreakArea30"/>
      <w:bookmarkStart w:id="188" w:name="DSPFPageBreakArea30"/>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9" w:name="DSPFPageBreak30"/>
      <w:bookmarkStart w:id="190" w:name="DSPFPageBreak30"/>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91" w:name="ny20006675x1_def14a_109-stock_pg2"/>
        <w:bookmarkEnd w:id="191"/>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Based on a Schedule 13D/A filed with the SEC on April 1, 2022, consists of (i) 6,475,291 shares held by OrbiMed Private Investments V, LP (“OPI V”), (ii) 114,039 shares held by OrbiMed Genesis Master Fund, L.P. (“Genesis”), and (iii) 266,093 shares held by The Biotech Growth Trust PLC (“BIOG”).</w:t>
            </w:r>
          </w:p>
        </w:tc>
      </w:tr>
    </w:tbl>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OrbiMed Capital GP V LLC (“OrbiMed GP”) is the general partner of OPI V, pursuant to the terms of the limited partnership agreement of OPI V, and OrbiMed Advisors is the managing member of OrbiMed GP, pursuant to the terms of the limited liability company agreement of OrbiMed GP. As a result, OrbiMed Advisors and OrbiMed GP share power to direct the vote and disposition of the shares held by OPI V and may be deemed directly or indirectly, including by reason of their mutual affiliation, to be the beneficial owners of the shares held by OPI V. OrbiMed Advisors exercises this investment and voting power through a management committee comprised of Carl L. Gordon, Sven H. Borho, and W. Carter Neild, each of whom disclaims beneficial ownership of the shares held by OPI VI.</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OrbiMed Genesis GP LLC (“OrbiMed Genesis”) is the general partner of Genesis, pursuant to the terms of the 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Sven H. Borho and W. Carter Neild, each of whom disclaims beneficial ownership of the shares held by Genesis.</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OrbiMed Capital LLC (“OrbiMed Capital”) is the investment advisor of BIOG. As a result, OrbiMed Capital has the power to direct the vote and disposition of the shares held by BIOG and may be deemed directly or indirectly, including by reason of mutual affiliation, to be the beneficial owner of the shares held by BIOG. OrbiMed Capital disclaims any beneficial ownership over the shares of the OrbiMed Advisors, OrbiMed GP and OrbiMed Genesis. OrbiMed Capital exercises this investment and voting power through a management committee comprised of Carl L. Gordon, Sven H. Borho, and W. Carter Neild, each of whom disclaims beneficial ownership of the shares held by BIOG.</w:t>
      </w:r>
    </w:p>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The address of each of the OrbiMed entities, Carl L. Gordon, Sven H. Borho and W. Carter Neild is 601 Lexington Avenue, 54th Floor, New York, New York 10022.</w:t>
      </w:r>
    </w:p>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4" w:type="dxa"/>
            <w:tcBorders/>
            <w:shd w:fill="auto" w:val="clear"/>
            <w:vAlign w:val="center"/>
          </w:tcPr>
          <w:p>
            <w:pPr>
              <w:pStyle w:val="TableContents"/>
              <w:spacing w:lineRule="auto" w:line="240" w:before="0" w:after="0"/>
              <w:jc w:val="left"/>
              <w:rPr>
                <w:rFonts w:ascii="Times New Roman;Times;serif" w:hAnsi="Times New Roman;Times;serif"/>
                <w:color w:val="000000"/>
                <w:sz w:val="16"/>
              </w:rPr>
            </w:pPr>
            <w:r>
              <w:rPr>
                <w:rFonts w:ascii="Times New Roman;Times;serif" w:hAnsi="Times New Roman;Times;serif"/>
                <w:color w:val="000000"/>
                <w:sz w:val="16"/>
              </w:rPr>
              <w:t>Based on a Schedule 13G/A filed with the SEC on February 14, 2023, consists of 4,356,920 shares held by RTW Investments, LP (“RTW Investments”). RTW Investments is the investment advisor to certain funds (the “RTW Funds”) with respect to the shares directly held by the RTW Funds. Roderick Wong is the Managing Partner and Chief Investment Officer of RTW Investments with respect to the shares directly held by the RTW Funds and Roderick Wong may be deemed to have shared voting power to dispose or direct the disposition of the shares. The address of RTW Investments, RTW Funds and Roderick Wong is 40 10th Avenue, Floor 7, New York, New York 10014.</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Based on a Schedule 13G/A filed with the SEC on January 25, 2023, consists of 4,004,767 shares of common stock held by JPMorgan Chase &amp; Co. and its affiliates (“JPMorgan”). JPMorgan has the sole power to vote or to direct the vote of 3,735,193 shares and has the sole power to dispose or to direct the disposition of 4,004,767 shares. The address of JPMorgan is 383 Madison Avenue, New York, New York 10179.</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5" w:type="dxa"/>
            <w:tcBorders/>
            <w:shd w:fill="auto" w:val="clear"/>
            <w:vAlign w:val="center"/>
          </w:tcPr>
          <w:p>
            <w:pPr>
              <w:pStyle w:val="TableContents"/>
              <w:spacing w:lineRule="auto" w:line="240" w:before="0" w:after="0"/>
              <w:jc w:val="left"/>
              <w:rPr>
                <w:rFonts w:ascii="Times New Roman;Times;serif" w:hAnsi="Times New Roman;Times;serif"/>
                <w:color w:val="000000"/>
                <w:sz w:val="16"/>
              </w:rPr>
            </w:pPr>
            <w:r>
              <w:rPr>
                <w:rFonts w:ascii="Times New Roman;Times;serif" w:hAnsi="Times New Roman;Times;serif"/>
                <w:color w:val="000000"/>
                <w:sz w:val="16"/>
              </w:rPr>
              <w:t>Based on a Schedule 13G/A filed with the SEC on January 31, 2023, consists of 3,451,367 shares held by BlackRock, Inc. and its affiliates (“BlackRock”). BlackRock has the sole power to vote or to direct the vote of 3,379,443 shares and has the sole power to dispose or to direct the disposition of 3,451,367 shares. The address of BlackRock is 55 East 52nd Street, New York, New York 10055.</w:t>
            </w:r>
          </w:p>
        </w:tc>
      </w:tr>
    </w:tbl>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Based on a Schedule 13G/A filed with the SEC on February 10, 2023 by State Street Corporation and its subsidiary, SSGA Funds Management, Inc. SSGA Funds Management, Inc. has the sole power to vote or to direct the vote of zero shares of common stock, shared power to vote or to direct the vote of 2,707,202 shares of common stock, sole power to dispose or to direct the disposition of zero shares of common stock and shared power to dispose or to direct the disposition of 2,713,402 shares of common stock. State Street Corporation has the sole power to vote or to direct the vote of zero shares of common stock, shared power to vote or to direct the vote of 3,271,836 shares of common stock, sole power to dispose or to direct the disposition of zero shares of common stock and shared power to dispose or to direct the disposition of 3,307,236 shares of common stock. The address of each of State Street Corporation and SSGA Funds Management, Inc. is 1 Lincoln Street, Boston, Massachusetts 02111.</w:t>
            </w:r>
          </w:p>
        </w:tc>
      </w:tr>
    </w:tbl>
    <w:tbl>
      <w:tblPr>
        <w:tblW w:w="10205" w:type="dxa"/>
        <w:jc w:val="left"/>
        <w:tblInd w:w="0" w:type="dxa"/>
        <w:tblCellMar>
          <w:top w:w="0" w:type="dxa"/>
          <w:left w:w="0" w:type="dxa"/>
          <w:bottom w:w="0" w:type="dxa"/>
          <w:right w:w="0" w:type="dxa"/>
        </w:tblCellMar>
      </w:tblPr>
      <w:tblGrid>
        <w:gridCol w:w="178"/>
        <w:gridCol w:w="10027"/>
      </w:tblGrid>
      <w:tr>
        <w:trPr/>
        <w:tc>
          <w:tcPr>
            <w:tcW w:w="17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Based on a Schedule 13G/A filed with the SEC on February 14, 2023, consists of (i) 3,163,795 shares held by Boxer Capital, LLC (“Boxer Capital”) and (ii) 77,380 shares held by MVA Investors, LLC (“MVA Investors”). Boxer Asset Management Inc. (“Boxer Management”) is the managing member and majority owner of Boxer Capital. Joe Lewis is the sole indirect beneficial owner of and controls Boxer Management. MVA Investors is the independent, personal investment vehicle of certain employees of Boxer Capital. Aaron I. Davis is a member of and has voting and dispositive power over securities held by MVA Investors. The address of each of Boxer Capital, MVA Investors and Aaron I. Davis is 11682 El Camino Real, Suite 320, San Diego, California 92130. The address of each of Boxer Management and Joe Lewis is Cay House, EP Taylor Drive N7776, Lyford Cay, New Providence, Bahamas.</w:t>
            </w:r>
          </w:p>
        </w:tc>
      </w:tr>
    </w:tbl>
    <w:tbl>
      <w:tblPr>
        <w:tblW w:w="10205" w:type="dxa"/>
        <w:jc w:val="left"/>
        <w:tblInd w:w="0" w:type="dxa"/>
        <w:tblCellMar>
          <w:top w:w="0" w:type="dxa"/>
          <w:left w:w="0" w:type="dxa"/>
          <w:bottom w:w="0" w:type="dxa"/>
          <w:right w:w="0" w:type="dxa"/>
        </w:tblCellMar>
      </w:tblPr>
      <w:tblGrid>
        <w:gridCol w:w="184"/>
        <w:gridCol w:w="10021"/>
      </w:tblGrid>
      <w:tr>
        <w:trPr/>
        <w:tc>
          <w:tcPr>
            <w:tcW w:w="18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Based on a Schedule 13G/A filed with the SEC on February 14, 2023, consists of 3,060,000 shares held by Avoro Capital Advisors LLC (“Avoro”), which provides investment advisory and management services and has acquired the securities of PMV Pharmaceuticals solely for investment purposes on behalf of Avoro Life Sciences Fund LLC. Behzad Aghazadeh serves as the portfolio manager and controlling person of Avoro. The address of each of Avoro and Dr. Aghazadeh is 110 Greene Street, Suite 800, New York, New York 10012.</w:t>
            </w:r>
          </w:p>
        </w:tc>
      </w:tr>
    </w:tbl>
    <w:tbl>
      <w:tblPr>
        <w:tblW w:w="10205" w:type="dxa"/>
        <w:jc w:val="left"/>
        <w:tblInd w:w="0" w:type="dxa"/>
        <w:tblCellMar>
          <w:top w:w="0" w:type="dxa"/>
          <w:left w:w="0" w:type="dxa"/>
          <w:bottom w:w="0" w:type="dxa"/>
          <w:right w:w="0" w:type="dxa"/>
        </w:tblCellMar>
      </w:tblPr>
      <w:tblGrid>
        <w:gridCol w:w="184"/>
        <w:gridCol w:w="10021"/>
      </w:tblGrid>
      <w:tr>
        <w:trPr/>
        <w:tc>
          <w:tcPr>
            <w:tcW w:w="18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Based on a Schedule 13G/A filed with the SEC on February 9, 2023, consists of 2,753,606 shares held by The Vanguard Group (“Vanguard”). Vanguard is an investment advisor and has the sole power to vote or to direct the vote of zero shares, has the shared power to vote or to direct the vote of 21,177 shares, has the sole power to dispose or to direct the disposition of 2,710,611 shares and has the shared power to dispose or to direct the disposition of 42,995 shares. The address of Vanguard is 100 Vanguard Blvd., Malvern, Pennsylvania 19355.</w:t>
            </w:r>
          </w:p>
        </w:tc>
      </w:tr>
    </w:tbl>
    <w:tbl>
      <w:tblPr>
        <w:tblW w:w="10205" w:type="dxa"/>
        <w:jc w:val="left"/>
        <w:tblInd w:w="0" w:type="dxa"/>
        <w:tblCellMar>
          <w:top w:w="0" w:type="dxa"/>
          <w:left w:w="0" w:type="dxa"/>
          <w:bottom w:w="0" w:type="dxa"/>
          <w:right w:w="0" w:type="dxa"/>
        </w:tblCellMar>
      </w:tblPr>
      <w:tblGrid>
        <w:gridCol w:w="178"/>
        <w:gridCol w:w="10027"/>
      </w:tblGrid>
      <w:tr>
        <w:trPr/>
        <w:tc>
          <w:tcPr>
            <w:tcW w:w="17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a Schedule 13G filed with the SEC on February 14, 2022, consists of (i) 436,884 shares held of record by Greenland A LLC, (ii) 375,704 shares held of record by Greenland FP LLC, (iii) 66,300 shares held of record by Greenland NFP LLC, (iv) 1,300,818 shares held of record by Greenland NFP B Ltd. and (v) 247,203 shares held of record by Symmetry Group Ltd. (such record holders together, the “Greenland Entities”). Euclidean Capital LLC (“Euclidean”), the manager of each of the Greenland Entities, may be deemed to have shared voting control and investment discretion over the shares held by the Greenland Entities. Marilyn Simons and James Simons are owners and managers of Euclidean, and Ashvin Chhabra is President, CIO and manager of Euclidean, each of whom disclaims beneficial ownership of such securities for the purposes of Section 16 except to the extent of any pecuniary interest therein.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2" w:name="DSPFPageBreakArea31"/>
      <w:bookmarkStart w:id="193" w:name="DSPFPageBreakArea31"/>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4" w:name="DSPFPageBreak31"/>
      <w:bookmarkStart w:id="195" w:name="DSPFPageBreak31"/>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96" w:name="ny20006675x1_def14a_109-stock_pg3"/>
        <w:bookmarkEnd w:id="196"/>
        <w:r>
          <w:rPr>
            <w:rStyle w:val="InternetLink"/>
            <w:rFonts w:ascii="Times New Roman;Times;Serif" w:hAnsi="Times New Roman;Times;Serif"/>
            <w:b/>
            <w:caps w:val="false"/>
            <w:smallCaps w:val="false"/>
            <w:sz w:val="16"/>
          </w:rPr>
          <w:t>TABLE OF CONTENTS</w:t>
        </w:r>
      </w:hyperlink>
    </w:p>
    <w:p>
      <w:pPr>
        <w:pStyle w:val="TextBody"/>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The address of each of Euclidean, the Greenland Entities (except Greenland NFP B Ltd. and Symmetry Group Ltd.), Marilyn Simons, James Simons and Ashvin Chhabra is c/o Euclidean Capital LLC, 160 Fifth Ave, 9th Floor, New York, New York 10010. The address of each of Greenland NFP B Ltd. and Symmetry Group Ltd. is c/o Euclidean Capital LLC, Level 1, Palm Grove House, Wickham’s Cay 1, Road Town, Tortola, British Virgin Islands VG1110.</w:t>
      </w:r>
    </w:p>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3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(i) 147,915 shares of common stock held by The Mack-Mulligan Revocable Trust, of which Dr. Mack’s descendants are beneficiaries, (ii) 56,978 shares of common stock held by Mack/Mulligan 2020 Irrevocable Descendants’ Trust, of which Dr. Mack’s descendants are beneficiaries, (iii) 80,000 shares of common stock held by Stinson 2021 Irrevocable Trust, of which Dr. Mack’s spouse and descendants are beneficiaries, (iv) 79,970 shares of common stock held directly by Dr. Mack and (v) 1,452,026 shares of common stock issuable pursuant to options held directly by Dr. Mack, exercisable within 60 days of March 31, 2023. Dr. Mack disclaims beneficial ownership of all shares relating to The Mack-Mulligan Revocable Trust, Mack/Mulligan 2020 Irrevocable Descendants’ Trust and Stinson 2021 Irrevocable Trust except to the extent of any pecuniary interest therein.</w:t>
            </w:r>
          </w:p>
        </w:tc>
      </w:tr>
    </w:tbl>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3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(i) 10,600 shares of common stock held directly by Mr. Kung. (ii) 346,924 shares of common stock issuable pursuant to options held directly by Mr. Kung, exercisable within 60 days of March 31, 2023 and (iii) 237,412 of shares of common stock issuable pursuant to options held directly by the Winston Kung Irrevocable Family Trust, exercisable within 60 days of March 31, 2023. The shares held of record by the Winston Kung Irrevocable Family Trust are for the benefit of Winston Kung’s immediate family. The trustee of the Winston Kung Irrevocable Family Trust is Winston Kung’s sister-in-law, Therese Leung.</w:t>
            </w:r>
          </w:p>
        </w:tc>
      </w:tr>
    </w:tbl>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1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(i) 348,759 shares of common stock issuable pursuant to options held directly by Dr. Alland, exercisable within 60 days of March 31, 2023 and (ii) no shares of common stock underlying restricted stock units vesting within 60 days of March 31, 2023.</w:t>
            </w:r>
          </w:p>
        </w:tc>
      </w:tr>
    </w:tbl>
    <w:tbl>
      <w:tblPr>
        <w:tblW w:w="10205" w:type="dxa"/>
        <w:jc w:val="left"/>
        <w:tblInd w:w="0" w:type="dxa"/>
        <w:tblCellMar>
          <w:top w:w="0" w:type="dxa"/>
          <w:left w:w="0" w:type="dxa"/>
          <w:bottom w:w="0" w:type="dxa"/>
          <w:right w:w="0" w:type="dxa"/>
        </w:tblCellMar>
      </w:tblPr>
      <w:tblGrid>
        <w:gridCol w:w="318"/>
        <w:gridCol w:w="9887"/>
      </w:tblGrid>
      <w:tr>
        <w:trPr/>
        <w:tc>
          <w:tcPr>
            <w:tcW w:w="31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8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36,823 shares of common stock issuable pursuant to options held directly by Dr. Baum, exercisable within 60 days of March 31, 2023.</w:t>
            </w:r>
          </w:p>
        </w:tc>
      </w:tr>
    </w:tbl>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8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14,519 shares of common stock issuable pursuant to options held directly by Ms. Flowers, exercisable within 60 days of March 31, 2023.</w:t>
            </w:r>
          </w:p>
        </w:tc>
      </w:tr>
    </w:tbl>
    <w:tbl>
      <w:tblPr>
        <w:tblW w:w="10205" w:type="dxa"/>
        <w:jc w:val="left"/>
        <w:tblInd w:w="0" w:type="dxa"/>
        <w:tblCellMar>
          <w:top w:w="0" w:type="dxa"/>
          <w:left w:w="0" w:type="dxa"/>
          <w:bottom w:w="0" w:type="dxa"/>
          <w:right w:w="0" w:type="dxa"/>
        </w:tblCellMar>
      </w:tblPr>
      <w:tblGrid>
        <w:gridCol w:w="293"/>
        <w:gridCol w:w="9912"/>
      </w:tblGrid>
      <w:tr>
        <w:trPr/>
        <w:tc>
          <w:tcPr>
            <w:tcW w:w="29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1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6,500 shares of common stock issuable pursuant to options held directly by The Gallagher Revocable Trust dated May 10, 2011, for which Carol Gallagher, Pharm.D. serves as a trustee, exercisable within 60 days of March 31, 2023.</w:t>
            </w:r>
          </w:p>
        </w:tc>
      </w:tr>
    </w:tbl>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93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(i) 220,133 shares of common stock issuable pursuant to options held directly by Dr. Heyman, exercisable within 60 days of March 31, 2023; (ii) 20,098 shares of common stock issuable pursuant to options held by Paul L. Vogel as trustee of the Heyman Family 2020 Irrevocable Trust, of which Dr. Heyman’s immediate family are beneficiaries, exercisable within 60 days of March 31, 2023; (iii) 10,050 shares of common stock issuable pursuant to options held by Paul L. Vogel as trustee of the Julia E. Heyman 2016 Irrevocable Trust, of which Dr. Heyman’s daughter and descendants are beneficiaries, exercisable within 60 days of March 31, 2023; and (iv) 10,050 shares of common stock issuable pursuant to options held by Paul L. Vogel as trustee of the Scott Z. Heyman 2016 Irrevocable Trust, of which Dr. Heyman’s son and descendants are beneficiaries, exercisable within 60 days of March 31, 2023.</w:t>
            </w:r>
          </w:p>
        </w:tc>
      </w:tr>
    </w:tbl>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90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(i) 409,842 shares of common stock held directly by Dr. Levine and (ii) 20,187 shares of common stock issuable pursuant to options held directly by Dr. Levine, exercisable within 60 days of March 31, 2023.</w:t>
            </w:r>
          </w:p>
        </w:tc>
      </w:tr>
    </w:tbl>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988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46,278 shares of common stock issuable pursuant to options held directly by Ms. Stelzer, exercisable within 60 days of March 31, 2023.</w:t>
            </w:r>
          </w:p>
        </w:tc>
      </w:tr>
    </w:tbl>
    <w:tbl>
      <w:tblPr>
        <w:tblW w:w="10205" w:type="dxa"/>
        <w:jc w:val="left"/>
        <w:tblInd w:w="0" w:type="dxa"/>
        <w:tblCellMar>
          <w:top w:w="0" w:type="dxa"/>
          <w:left w:w="0" w:type="dxa"/>
          <w:bottom w:w="0" w:type="dxa"/>
          <w:right w:w="0" w:type="dxa"/>
        </w:tblCellMar>
      </w:tblPr>
      <w:tblGrid>
        <w:gridCol w:w="285"/>
        <w:gridCol w:w="9920"/>
      </w:tblGrid>
      <w:tr>
        <w:trPr/>
        <w:tc>
          <w:tcPr>
            <w:tcW w:w="28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99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(i) 785,305 shares of common stock beneficially owned by our current executive officers and directors as of March 31, 2023 and (ii) 2,906,612 shares of common stock issuable pursuant to options beneficially owned by our current executive officers and directors, exercisable within 60 days of March 31, 2023.</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7" w:name="DSPFPageBreakArea32"/>
      <w:bookmarkStart w:id="198" w:name="DSPFPageBreakArea32"/>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9" w:name="DSPFPageBreak32"/>
      <w:bookmarkStart w:id="200" w:name="DSPFPageBreak32"/>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1" w:name="ny20006675x1_def14a_109-stock_pg4"/>
        <w:bookmarkEnd w:id="20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02" w:name="tDSRS"/>
      <w:bookmarkEnd w:id="202"/>
      <w:r>
        <w:rPr>
          <w:rFonts w:ascii="Times New Roman;Times;serif" w:hAnsi="Times New Roman;Times;serif"/>
          <w:b/>
          <w:color w:val="000000"/>
          <w:sz w:val="20"/>
        </w:rPr>
        <w:t>DELINQUENT SECTION 16(A) REPORTS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16(a) of the Exchange Act requires that our directors and executive officers, and persons who own more than 10% of our common stock, file reports of ownership and changes in ownership with the SEC. Such persons are required by SEC regulations to furnish us with copies of all Section 16(a) forms filed by such persons.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our knowledge, no person who, during the fiscal year ended December 31, 2022, was a director or officer of the Company, or beneficial owner of more than ten percent of our common stock (which is the only class of securities registered under Section 12 of the Securities Act), failed to file on a timely basis reports required by Section 16 of the Exchange Act during such fiscal year, except that, as a result of Company administrative error: (i) on February 8, 2022, one Form 4 filing for Winston Kung relating to the disposition of shares acquired pursuant to a stock purchase plan, (ii) on February 28, 2022, four Form 4 filings for each of David H. Mack, Ph.D., Winston Kung, Leila Alland and Deepika Jalota, respectively, relating to the acquisition of options granted and (iii) on January 30, 2023, one Form 4 filing for Winston Kung relating to the disposition of shares acquired pursuant to a stock purchase plan, were inadvertently filed later than the time prescribed by the SEC.</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3" w:name="DSPFPageBreakArea33"/>
      <w:bookmarkStart w:id="204" w:name="DSPFPageBreakArea33"/>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5" w:name="DSPFPageBreak33"/>
      <w:bookmarkStart w:id="206" w:name="DSPFPageBreak33"/>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7" w:name="ny20006675x1_def14a_110-certain_pg1"/>
        <w:bookmarkEnd w:id="20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08" w:name="tCRA"/>
      <w:bookmarkEnd w:id="208"/>
      <w:r>
        <w:rPr>
          <w:rFonts w:ascii="Times New Roman;Times;serif" w:hAnsi="Times New Roman;Times;serif"/>
          <w:b/>
          <w:color w:val="000000"/>
          <w:sz w:val="20"/>
        </w:rPr>
        <w:t>CERTAIN RELATIONSHIPS AND RELATED PERSON TRANSACTIONS</w:t>
      </w:r>
    </w:p>
    <w:p>
      <w:pPr>
        <w:pStyle w:val="TextBody"/>
        <w:spacing w:before="390" w:after="283"/>
        <w:ind w:left="0" w:right="0" w:hanging="0"/>
        <w:jc w:val="left"/>
        <w:rPr>
          <w:rFonts w:ascii="Times New Roman;Times;serif" w:hAnsi="Times New Roman;Times;serif"/>
          <w:b/>
          <w:color w:val="000000"/>
          <w:sz w:val="20"/>
        </w:rPr>
      </w:pPr>
      <w:bookmarkStart w:id="209" w:name="tRPT"/>
      <w:bookmarkEnd w:id="209"/>
      <w:r>
        <w:rPr>
          <w:rFonts w:ascii="Times New Roman;Times;serif" w:hAnsi="Times New Roman;Times;serif"/>
          <w:b/>
          <w:color w:val="000000"/>
          <w:sz w:val="20"/>
        </w:rPr>
        <w:t>Related Party Transactions Policy</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adopted a formal written policy providing that we are not permitted to enter into any transaction that exceeds $120,000 and in which any related person has a direct or indirect material interest without the consent of our audit committee. 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Prior to our initial public offering, we did not have a written policy for the review, approval or ratification of transactions with related parties.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audit committee has the primary responsibility for reviewing and approving, ratifying or disapproving related person transactions. In determining whether to approve, ratify or disapprove any such transaction, our audit committee will consider, among other factors, (1) whether the transaction is fair to us and on terms no less favorable than terms generally available to unaffiliated third parties under the same or similar circumstances, (2) the extent of the related person’s interest in the transaction, (3) whether there are business reasons for us to enter into such transaction, (4) whether the transaction would impair the independence of any of our outside directors and (5) whether the transaction would present an improper conflict of interest for any of our directors or executive officers.</w:t>
      </w:r>
    </w:p>
    <w:p>
      <w:pPr>
        <w:pStyle w:val="TextBody"/>
        <w:spacing w:before="410" w:after="283"/>
        <w:ind w:left="0" w:right="0" w:hanging="0"/>
        <w:jc w:val="left"/>
        <w:rPr>
          <w:rFonts w:ascii="Times New Roman;Times;serif" w:hAnsi="Times New Roman;Times;serif"/>
          <w:b/>
          <w:color w:val="000000"/>
          <w:sz w:val="20"/>
        </w:rPr>
      </w:pPr>
      <w:bookmarkStart w:id="210" w:name="tTRD"/>
      <w:bookmarkEnd w:id="210"/>
      <w:r>
        <w:rPr>
          <w:rFonts w:ascii="Times New Roman;Times;serif" w:hAnsi="Times New Roman;Times;serif"/>
          <w:b/>
          <w:color w:val="000000"/>
          <w:sz w:val="20"/>
        </w:rPr>
        <w:t>Transactions and Relationships with Directors, Officers and 5% Stockholders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than compensation arrangements, including employment, termination of employment and change in control arrangements, with our directors and executive officers, the following is a description of each transaction since January 1, 2022, to which we were a party, in which:</w:t>
      </w:r>
    </w:p>
    <w:tbl>
      <w:tblPr>
        <w:tblW w:w="5125" w:type="dxa"/>
        <w:jc w:val="left"/>
        <w:tblInd w:w="0" w:type="dxa"/>
        <w:tblCellMar>
          <w:top w:w="0" w:type="dxa"/>
          <w:left w:w="0" w:type="dxa"/>
          <w:bottom w:w="0" w:type="dxa"/>
          <w:right w:w="0" w:type="dxa"/>
        </w:tblCellMar>
      </w:tblPr>
      <w:tblGrid>
        <w:gridCol w:w="110"/>
        <w:gridCol w:w="50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0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amounts involved exceeded or will exceed $120,000;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of our directors, nominees for director, executive officers or beneficial holders of more than 5% of any class of our outstanding capital stock, or any immediate family member of, or person sharing the household with, any of these individuals or entities, had or will have a direct or indirect material interest.</w:t>
            </w:r>
          </w:p>
        </w:tc>
      </w:tr>
    </w:tbl>
    <w:p>
      <w:pPr>
        <w:pStyle w:val="TextBody"/>
        <w:spacing w:before="400" w:after="283"/>
        <w:ind w:left="0" w:right="0" w:hanging="0"/>
        <w:jc w:val="left"/>
        <w:rPr>
          <w:rFonts w:ascii="Times New Roman;Times;serif" w:hAnsi="Times New Roman;Times;serif"/>
          <w:b/>
          <w:i/>
          <w:color w:val="000000"/>
          <w:sz w:val="20"/>
        </w:rPr>
      </w:pPr>
      <w:bookmarkStart w:id="211" w:name="tCAA"/>
      <w:bookmarkEnd w:id="211"/>
      <w:r>
        <w:rPr>
          <w:rFonts w:ascii="Times New Roman;Times;serif" w:hAnsi="Times New Roman;Times;serif"/>
          <w:b/>
          <w:i/>
          <w:color w:val="000000"/>
          <w:sz w:val="20"/>
        </w:rPr>
        <w:t>Consulting Agreement with Arnold Levine, Ph.D.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Arnold Levine, Ph.D., one of our co-founders and a member of our board of directors, serves on our SAB, as well as provides us with additional consulting and advisory services. Dr. Levine receives an annual cash payment of $100,000 for his consulting and advisory services.</w:t>
      </w:r>
    </w:p>
    <w:p>
      <w:pPr>
        <w:pStyle w:val="TextBody"/>
        <w:spacing w:before="400" w:after="283"/>
        <w:ind w:left="0" w:right="0" w:hanging="0"/>
        <w:jc w:val="left"/>
        <w:rPr>
          <w:rFonts w:ascii="Times New Roman;Times;serif" w:hAnsi="Times New Roman;Times;serif"/>
          <w:b/>
          <w:i/>
          <w:color w:val="000000"/>
          <w:sz w:val="20"/>
        </w:rPr>
      </w:pPr>
      <w:bookmarkStart w:id="212" w:name="tSAB"/>
      <w:bookmarkEnd w:id="212"/>
      <w:r>
        <w:rPr>
          <w:rFonts w:ascii="Times New Roman;Times;serif" w:hAnsi="Times New Roman;Times;serif"/>
          <w:b/>
          <w:i/>
          <w:color w:val="000000"/>
          <w:sz w:val="20"/>
        </w:rPr>
        <w:t>Scientific Advisory Board – Richard Heyman, Ph.D.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Heyman, Ph.D., chairperson of our board of directors, serves on our SAB. Effective as of September 2021, Dr. Heyman waived his rights for any SAB compensation he is otherwise entitled to receive from us for his SAB service.</w:t>
      </w:r>
    </w:p>
    <w:p>
      <w:pPr>
        <w:pStyle w:val="TextBody"/>
        <w:spacing w:before="400" w:after="283"/>
        <w:ind w:left="0" w:right="0" w:hanging="0"/>
        <w:jc w:val="left"/>
        <w:rPr>
          <w:rFonts w:ascii="Times New Roman;Times;serif" w:hAnsi="Times New Roman;Times;serif"/>
          <w:b/>
          <w:i/>
          <w:color w:val="000000"/>
          <w:sz w:val="20"/>
        </w:rPr>
      </w:pPr>
      <w:bookmarkStart w:id="213" w:name="tIRA"/>
      <w:bookmarkEnd w:id="213"/>
      <w:r>
        <w:rPr>
          <w:rFonts w:ascii="Times New Roman;Times;serif" w:hAnsi="Times New Roman;Times;serif"/>
          <w:b/>
          <w:i/>
          <w:color w:val="000000"/>
          <w:sz w:val="20"/>
        </w:rPr>
        <w:t>Investors’ Rights Agreement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are party to an amended and restated investors’ rights agreement with certain holders of our capital stock, including entities affiliated with OrbiMed Private Investments V LP. Under our investors’ rights agreement, certain holders of our capital stock have the right to demand that we file a registration statement or request that their shares of our capital stock be covered by a registration statement that we are otherwise filing.</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4" w:name="DSPFPageBreakArea34"/>
      <w:bookmarkStart w:id="215" w:name="DSPFPageBreakArea34"/>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6" w:name="DSPFPageBreak34"/>
      <w:bookmarkStart w:id="217" w:name="DSPFPageBreak34"/>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18" w:name="ny20006675x1_def14a_110-certain_pg2"/>
        <w:bookmarkEnd w:id="21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bookmarkStart w:id="219" w:name="tIDO"/>
      <w:bookmarkEnd w:id="219"/>
      <w:r>
        <w:rPr>
          <w:rFonts w:ascii="Times New Roman;Times;serif" w:hAnsi="Times New Roman;Times;serif"/>
          <w:b/>
          <w:i/>
          <w:color w:val="000000"/>
          <w:sz w:val="20"/>
        </w:rPr>
        <w:t>Indemnification of Directors and Officers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amended and restated certificate of incorporation and amended and restated bylaws provides that we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tbl>
      <w:tblPr>
        <w:tblW w:w="5905" w:type="dxa"/>
        <w:jc w:val="left"/>
        <w:tblInd w:w="0" w:type="dxa"/>
        <w:tblCellMar>
          <w:top w:w="0" w:type="dxa"/>
          <w:left w:w="0" w:type="dxa"/>
          <w:bottom w:w="0" w:type="dxa"/>
          <w:right w:w="0" w:type="dxa"/>
        </w:tblCellMar>
      </w:tblPr>
      <w:tblGrid>
        <w:gridCol w:w="110"/>
        <w:gridCol w:w="57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7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breach of the director’s duty of loyalty to us or to our stockholders;</w:t>
            </w:r>
          </w:p>
        </w:tc>
      </w:tr>
    </w:tbl>
    <w:tbl>
      <w:tblPr>
        <w:tblW w:w="8605" w:type="dxa"/>
        <w:jc w:val="left"/>
        <w:tblInd w:w="0" w:type="dxa"/>
        <w:tblCellMar>
          <w:top w:w="0" w:type="dxa"/>
          <w:left w:w="0" w:type="dxa"/>
          <w:bottom w:w="0" w:type="dxa"/>
          <w:right w:w="0" w:type="dxa"/>
        </w:tblCellMar>
      </w:tblPr>
      <w:tblGrid>
        <w:gridCol w:w="110"/>
        <w:gridCol w:w="84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4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acts or omissions not in good faith or that involve intentional misconduct or a knowing violation of law;</w:t>
            </w:r>
          </w:p>
        </w:tc>
      </w:tr>
    </w:tbl>
    <w:tbl>
      <w:tblPr>
        <w:tblW w:w="6775" w:type="dxa"/>
        <w:jc w:val="left"/>
        <w:tblInd w:w="0" w:type="dxa"/>
        <w:tblCellMar>
          <w:top w:w="0" w:type="dxa"/>
          <w:left w:w="0" w:type="dxa"/>
          <w:bottom w:w="0" w:type="dxa"/>
          <w:right w:w="0" w:type="dxa"/>
        </w:tblCellMar>
      </w:tblPr>
      <w:tblGrid>
        <w:gridCol w:w="110"/>
        <w:gridCol w:w="66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6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unlawful payment of dividends or unlawful stock repurchases or redemptions; and</w:t>
            </w:r>
          </w:p>
        </w:tc>
      </w:tr>
    </w:tbl>
    <w:tbl>
      <w:tblPr>
        <w:tblW w:w="6385" w:type="dxa"/>
        <w:jc w:val="left"/>
        <w:tblInd w:w="0" w:type="dxa"/>
        <w:tblCellMar>
          <w:top w:w="0" w:type="dxa"/>
          <w:left w:w="0" w:type="dxa"/>
          <w:bottom w:w="0" w:type="dxa"/>
          <w:right w:w="0" w:type="dxa"/>
        </w:tblCellMar>
      </w:tblPr>
      <w:tblGrid>
        <w:gridCol w:w="110"/>
        <w:gridCol w:w="62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2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transaction from which the director derived an improper personal benefit.</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are empowered to purchase insurance on behalf of any person whom we are required or permitted to indemnify.</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0" w:name="DSPFPageBreakArea35"/>
      <w:bookmarkStart w:id="221" w:name="DSPFPageBreakArea35"/>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2" w:name="DSPFPageBreak35"/>
      <w:bookmarkStart w:id="223" w:name="DSPFPageBreak35"/>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24" w:name="ny20006675x1_def14a_111-prop1_pg1"/>
        <w:bookmarkEnd w:id="22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25" w:name="tPED"/>
      <w:bookmarkEnd w:id="225"/>
      <w:r>
        <w:rPr>
          <w:rFonts w:ascii="Times New Roman;Times;serif" w:hAnsi="Times New Roman;Times;serif"/>
          <w:b/>
          <w:color w:val="000000"/>
          <w:sz w:val="20"/>
        </w:rPr>
        <w:t>PROPOSAL NO. 1:</w:t>
      </w:r>
    </w:p>
    <w:p>
      <w:pPr>
        <w:pStyle w:val="TextBody"/>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ELECTION OF CLASS III DIRECTORS</w:t>
      </w:r>
    </w:p>
    <w:p>
      <w:pPr>
        <w:pStyle w:val="TextBody"/>
        <w:spacing w:before="390" w:after="283"/>
        <w:ind w:left="0" w:right="0" w:hanging="0"/>
        <w:jc w:val="left"/>
        <w:rPr>
          <w:rFonts w:ascii="Times New Roman;Times;serif" w:hAnsi="Times New Roman;Times;serif"/>
          <w:b/>
          <w:color w:val="000000"/>
          <w:sz w:val="20"/>
        </w:rPr>
      </w:pPr>
      <w:bookmarkStart w:id="226" w:name="tNDB"/>
      <w:bookmarkEnd w:id="226"/>
      <w:r>
        <w:rPr>
          <w:rFonts w:ascii="Times New Roman;Times;serif" w:hAnsi="Times New Roman;Times;serif"/>
          <w:b/>
          <w:color w:val="000000"/>
          <w:sz w:val="20"/>
        </w:rPr>
        <w:t>Number of Directors; Board Structure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of directors currently consists of seven members. Our directors are divided into three classes serving staggered three year terms. Upon expiration of the term of a class of directors, directors in that class will be eligible to be elected for a new three year term at the annual meeting of stockholders in the year in which their term expires.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terms of the Class III directors, Richard Heyman, Ph.D., David H. Mack, Ph.D. and Laurie Stelzer, expire at the Annual Meeting. The Class I directors will serve until our annual meeting of stockholders in 2024. The Class II directors will serve until our annual meeting of stockholders in 2025.</w:t>
      </w:r>
    </w:p>
    <w:p>
      <w:pPr>
        <w:pStyle w:val="TextBody"/>
        <w:spacing w:before="410" w:after="283"/>
        <w:ind w:left="0" w:right="0" w:hanging="0"/>
        <w:jc w:val="left"/>
        <w:rPr>
          <w:rFonts w:ascii="Times New Roman;Times;serif" w:hAnsi="Times New Roman;Times;serif"/>
          <w:b/>
          <w:color w:val="000000"/>
          <w:sz w:val="20"/>
        </w:rPr>
      </w:pPr>
      <w:bookmarkStart w:id="227" w:name="tNS"/>
      <w:bookmarkEnd w:id="227"/>
      <w:r>
        <w:rPr>
          <w:rFonts w:ascii="Times New Roman;Times;serif" w:hAnsi="Times New Roman;Times;serif"/>
          <w:b/>
          <w:color w:val="000000"/>
          <w:sz w:val="20"/>
        </w:rPr>
        <w:t>Nominees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nominating and corporate governance committee has recommended, and our board of directors has approved Richard Heyman, Ph.D., David H. Mack, Ph.D. and Laurie Stelzer as nominees for election as Class III directors at the Annual Meeting. If elected, each of Richard Heyman, Ph.D., David H. Mack, Ph.D. and Laurie Stelzer will serve as a Class III director until the 2026 annual meeting of stockholders and until their respective successor is elected and qualified or until their earlier death, resignation or removal. For more information concerning the nominees, please see the section titled “</w:t>
      </w:r>
      <w:r>
        <w:rPr>
          <w:rFonts w:ascii="Times New Roman;Times;serif" w:hAnsi="Times New Roman;Times;serif"/>
          <w:i/>
          <w:color w:val="000000"/>
          <w:sz w:val="20"/>
        </w:rPr>
        <w:t>Board of Directors and Corporate Governance</w:t>
      </w:r>
      <w:r>
        <w:rPr>
          <w:rFonts w:ascii="Times New Roman;Times;serif" w:hAnsi="Times New Roman;Times;serif"/>
          <w:color w:val="000000"/>
          <w:sz w:val="20"/>
        </w:rPr>
        <w: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Heyman, Ph.D., David H. Mack, Ph.D. and Laurie Stelzer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w:t>
      </w:r>
    </w:p>
    <w:p>
      <w:pPr>
        <w:pStyle w:val="TextBody"/>
        <w:spacing w:before="410" w:after="283"/>
        <w:ind w:left="0" w:right="0" w:hanging="0"/>
        <w:jc w:val="left"/>
        <w:rPr>
          <w:rFonts w:ascii="Times New Roman;Times;serif" w:hAnsi="Times New Roman;Times;serif"/>
          <w:b/>
          <w:color w:val="000000"/>
          <w:sz w:val="20"/>
        </w:rPr>
      </w:pPr>
      <w:bookmarkStart w:id="228" w:name="tVR"/>
      <w:bookmarkEnd w:id="228"/>
      <w:r>
        <w:rPr>
          <w:rFonts w:ascii="Times New Roman;Times;serif" w:hAnsi="Times New Roman;Times;serif"/>
          <w:b/>
          <w:color w:val="000000"/>
          <w:sz w:val="20"/>
        </w:rPr>
        <w:t>Vote Required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director is elected by a plurality of the voting power of the shares present in person (including virtually)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w:t>
      </w:r>
    </w:p>
    <w:p>
      <w:pPr>
        <w:pStyle w:val="TextBody"/>
        <w:spacing w:before="410" w:after="283"/>
        <w:ind w:left="0" w:right="0" w:hanging="0"/>
        <w:jc w:val="left"/>
        <w:rPr>
          <w:rFonts w:ascii="Times New Roman;Times;serif" w:hAnsi="Times New Roman;Times;serif"/>
          <w:b/>
          <w:color w:val="000000"/>
          <w:sz w:val="20"/>
        </w:rPr>
      </w:pPr>
      <w:bookmarkStart w:id="229" w:name="tBR"/>
      <w:bookmarkEnd w:id="229"/>
      <w:r>
        <w:rPr>
          <w:rFonts w:ascii="Times New Roman;Times;serif" w:hAnsi="Times New Roman;Times;serif"/>
          <w:b/>
          <w:color w:val="000000"/>
          <w:sz w:val="20"/>
        </w:rPr>
        <w:t>Board Recommendation</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OUR BOARD OF DIRECTORS UNANIMOUSLY RECOMMENDS A VOTE “FOR” THE ELECTION OF EACH OF THE DIRECTOR NOMINEES NAMED ABOVE.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0" w:name="DSPFPageBreakArea36"/>
      <w:bookmarkStart w:id="231" w:name="DSPFPageBreakArea36"/>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2" w:name="DSPFPageBreak36"/>
      <w:bookmarkStart w:id="233" w:name="DSPFPageBreak36"/>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34" w:name="ny20006675x1_def14a_112-prop2_pg1"/>
        <w:bookmarkEnd w:id="23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35" w:name="tPND"/>
      <w:bookmarkEnd w:id="235"/>
      <w:r>
        <w:rPr>
          <w:rFonts w:ascii="Times New Roman;Times;serif" w:hAnsi="Times New Roman;Times;serif"/>
          <w:b/>
          <w:color w:val="000000"/>
          <w:sz w:val="20"/>
        </w:rPr>
        <w:t xml:space="preserve">PROPOSAL NO. 2: </w:t>
      </w:r>
    </w:p>
    <w:p>
      <w:pPr>
        <w:pStyle w:val="TextBody"/>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NON-BINDING ADVISORY VOTE TO APPROVE THE COMPENSATION OF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OUR NAMED EXECUTIVE OFFICERS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Dodd-Frank Wall street Reform and Consumer Protection Act of 2010 and Section 14A of the Exchange Act enables our stockholders to approve, on an advisory or non-binding basis, the compensation of our named executive officers as disclosed in this proxy statement in accordance with the rules of the SEC. This proposal, commonly referred to as the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 We currently submit a say-on-pay proposal to our stockholders every year.</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say-on-pay vote is advisory, and therefore is not binding on us, our compensation committee or our board of directors.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of directors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 are encouraged to review the section titled “</w:t>
      </w:r>
      <w:r>
        <w:rPr>
          <w:rFonts w:ascii="Times New Roman;Times;serif" w:hAnsi="Times New Roman;Times;serif"/>
          <w:i/>
          <w:color w:val="000000"/>
          <w:sz w:val="20"/>
        </w:rPr>
        <w:t>Executive Compensation</w:t>
      </w:r>
      <w:r>
        <w:rPr>
          <w:rFonts w:ascii="Times New Roman;Times;serif" w:hAnsi="Times New Roman;Times;serif"/>
          <w:color w:val="000000"/>
          <w:sz w:val="20"/>
        </w:rPr>
        <w:t>,” which discusses our compensation policies and procedures with respect to our named executive officers.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believe the information provided in this proxy statement demonstrates that our executive compensation program was designed appropriately and is working to ensure management’s interests are aligned with our stockholders’ interests to support long-term value creation. Accordingly, we are asking our stockholders to approve the compensation of our named executive officers as described in this proxy statement by voting “FOR” the following non-binding resolution:</w:t>
      </w:r>
    </w:p>
    <w:p>
      <w:pPr>
        <w:pStyle w:val="TextBody"/>
        <w:spacing w:before="120" w:after="283"/>
        <w:ind w:left="400" w:right="0" w:hanging="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That the stockholders approve, on an advisory basis, the compensation paid to our named executive officers, as disclosed pursuant to the compensation disclosure rules of the SEC, including the compensation discussion and analysis, the compensation tables and the narrative discussion.”</w:t>
      </w:r>
    </w:p>
    <w:p>
      <w:pPr>
        <w:pStyle w:val="TextBody"/>
        <w:spacing w:before="410" w:after="283"/>
        <w:ind w:left="0" w:right="0" w:hanging="0"/>
        <w:jc w:val="left"/>
        <w:rPr>
          <w:rFonts w:ascii="Times New Roman;Times;serif" w:hAnsi="Times New Roman;Times;serif"/>
          <w:b/>
          <w:color w:val="000000"/>
          <w:sz w:val="20"/>
        </w:rPr>
      </w:pPr>
      <w:bookmarkStart w:id="236" w:name="tVD"/>
      <w:bookmarkEnd w:id="236"/>
      <w:r>
        <w:rPr>
          <w:rFonts w:ascii="Times New Roman;Times;serif" w:hAnsi="Times New Roman;Times;serif"/>
          <w:b/>
          <w:color w:val="000000"/>
          <w:sz w:val="20"/>
        </w:rPr>
        <w:t>Vote Required</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approval, on a non-binding advisory basis, of the compensation of our named executive officers requires the affirmative vote of a majority of the voting power of the shares present in person (including virtually) or represented by proxy at the Annual Meeting and entitled to vote thereon. Abstentions will have the same effect as a vote AGAINST this proposal. Broker non-votes will have no effect on the outcome of this proposal.</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Although the vote is non-binding, our board of directors and our compensation committee value the opinions of our stockholders and will consider the outcome of the vote when making future compensation decisions for our named executive officers.</w:t>
      </w:r>
    </w:p>
    <w:p>
      <w:pPr>
        <w:pStyle w:val="TextBody"/>
        <w:spacing w:before="410" w:after="283"/>
        <w:ind w:left="0" w:right="0" w:hanging="0"/>
        <w:jc w:val="left"/>
        <w:rPr>
          <w:rFonts w:ascii="Times New Roman;Times;serif" w:hAnsi="Times New Roman;Times;serif"/>
          <w:b/>
          <w:color w:val="000000"/>
          <w:sz w:val="20"/>
        </w:rPr>
      </w:pPr>
      <w:bookmarkStart w:id="237" w:name="tBC"/>
      <w:bookmarkEnd w:id="237"/>
      <w:r>
        <w:rPr>
          <w:rFonts w:ascii="Times New Roman;Times;serif" w:hAnsi="Times New Roman;Times;serif"/>
          <w:b/>
          <w:color w:val="000000"/>
          <w:sz w:val="20"/>
        </w:rPr>
        <w:t>Board Recommendation</w:t>
      </w:r>
    </w:p>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OUR BOARD OF DIRECTORS RECOMMENDS A VOTE “FOR” THE APPROVAL, ON A NON-BINDING ADVISORY BASIS, OF THE COMPENSATION OF OUR NAMED EXECUTIVE OFFICERS, AS DISCLOSED IN THIS PROXY STATEMENT.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8" w:name="DSPFPageBreakArea37"/>
      <w:bookmarkStart w:id="239" w:name="DSPFPageBreakArea37"/>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0" w:name="DSPFPageBreak37"/>
      <w:bookmarkStart w:id="241" w:name="DSPFPageBreak37"/>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42" w:name="ny20006675x1_def14a_113-prop3_pg1"/>
        <w:bookmarkEnd w:id="24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43" w:name="tPRI"/>
      <w:bookmarkEnd w:id="243"/>
      <w:r>
        <w:rPr>
          <w:rFonts w:ascii="Times New Roman;Times;serif" w:hAnsi="Times New Roman;Times;serif"/>
          <w:b/>
          <w:color w:val="000000"/>
          <w:sz w:val="20"/>
        </w:rPr>
        <w:t>PROPOSAL NO. 3:</w:t>
      </w:r>
    </w:p>
    <w:p>
      <w:pPr>
        <w:pStyle w:val="TextBody"/>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APPOINTMENT OF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INDEPENDENT REGISTERED PUBLIC ACCOUNTING FIRM</w:t>
      </w:r>
    </w:p>
    <w:p>
      <w:pPr>
        <w:pStyle w:val="TextBody"/>
        <w:spacing w:lineRule="atLeast" w:line="23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audit committee has appointed Ernst &amp; Young LLP as our independent registered public accounting firm to audit our financial statements for our fiscal year ending December 31, 2023. Ernst &amp; Young LLP also served as our independent registered public accounting firm for the fiscal year ended December 31, 2022.</w:t>
      </w:r>
    </w:p>
    <w:p>
      <w:pPr>
        <w:pStyle w:val="TextBody"/>
        <w:spacing w:lineRule="atLeast" w:line="23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 the Annual Meeting, we are asking our stockholders to ratify the appointment of Ernst &amp; Young LLP as our independent registered public accounting firm for our fiscal year ending December 31, 2023.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then our audit committee may reconsider the appointment. One or more representatives of Ernst &amp; Young LLP are expected to be present at the Annual Meeting, and they will have an opportunity to make a statement if they desire to do so and are expected to be available to respond to appropriate questions from our stockholders.</w:t>
      </w:r>
    </w:p>
    <w:p>
      <w:pPr>
        <w:pStyle w:val="TextBody"/>
        <w:spacing w:before="240" w:after="283"/>
        <w:ind w:left="0" w:right="0" w:hanging="0"/>
        <w:jc w:val="left"/>
        <w:rPr>
          <w:rFonts w:ascii="Times New Roman;Times;serif" w:hAnsi="Times New Roman;Times;serif"/>
          <w:b/>
          <w:color w:val="000000"/>
          <w:sz w:val="20"/>
        </w:rPr>
      </w:pPr>
      <w:bookmarkStart w:id="244" w:name="tAAR"/>
      <w:bookmarkEnd w:id="244"/>
      <w:r>
        <w:rPr>
          <w:rFonts w:ascii="Times New Roman;Times;serif" w:hAnsi="Times New Roman;Times;serif"/>
          <w:b/>
          <w:color w:val="000000"/>
          <w:sz w:val="20"/>
        </w:rPr>
        <w:t>Audit and Audit-Related Fees</w:t>
      </w:r>
    </w:p>
    <w:p>
      <w:pPr>
        <w:pStyle w:val="TextBody"/>
        <w:spacing w:lineRule="atLeast" w:line="23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presents fees for professional audit services rendered by Ernst &amp; Young LLP for the audit of the Company’s annual financial statements and internal control over financial reporting for the fiscal years ended December 31, 2022 and 2021 and fees billed for audit-related, tax, and other services rendered by Ernst &amp; Young LLP during those periods.</w:t>
      </w:r>
    </w:p>
    <w:tbl>
      <w:tblPr>
        <w:tblW w:w="3302" w:type="dxa"/>
        <w:jc w:val="left"/>
        <w:tblInd w:w="0" w:type="dxa"/>
        <w:tblCellMar>
          <w:top w:w="0" w:type="dxa"/>
          <w:left w:w="0" w:type="dxa"/>
          <w:bottom w:w="0" w:type="dxa"/>
          <w:right w:w="0" w:type="dxa"/>
        </w:tblCellMar>
      </w:tblPr>
      <w:tblGrid>
        <w:gridCol w:w="1595"/>
        <w:gridCol w:w="23"/>
        <w:gridCol w:w="23"/>
        <w:gridCol w:w="800"/>
        <w:gridCol w:w="23"/>
        <w:gridCol w:w="23"/>
        <w:gridCol w:w="815"/>
      </w:tblGrid>
      <w:tr>
        <w:trPr/>
        <w:tc>
          <w:tcPr>
            <w:tcW w:w="159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800" w:type="dxa"/>
            <w:tcBorders>
              <w:bottom w:val="single" w:sz="8" w:space="0" w:color="000000"/>
            </w:tcBorders>
            <w:shd w:fill="auto" w:val="clear"/>
            <w:tcMar>
              <w:bottom w:w="7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815" w:type="dxa"/>
            <w:tcBorders>
              <w:bottom w:val="single" w:sz="8" w:space="0" w:color="000000"/>
            </w:tcBorders>
            <w:shd w:fill="auto" w:val="clear"/>
            <w:tcMar>
              <w:bottom w:w="7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r>
      <w:tr>
        <w:trPr/>
        <w:tc>
          <w:tcPr>
            <w:tcW w:w="159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$518,000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$828,800</w:t>
            </w:r>
          </w:p>
        </w:tc>
      </w:tr>
      <w:tr>
        <w:trPr/>
        <w:tc>
          <w:tcPr>
            <w:tcW w:w="15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15"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r>
      <w:tr>
        <w:trPr/>
        <w:tc>
          <w:tcPr>
            <w:tcW w:w="159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$518,000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$828,800</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16"/>
              </w:rPr>
              <w:t>Audit Fees” consisted of fees billed for professional services rendered in connection with the audit of our financial statements, reviews of our quarterly financial statements and related accounting consultations and services that are normally provided by the independent registered public accountants in connection with statutory and regulatory filings or engagements for those fiscal years.</w:t>
            </w:r>
          </w:p>
        </w:tc>
      </w:tr>
    </w:tbl>
    <w:p>
      <w:pPr>
        <w:pStyle w:val="TextBody"/>
        <w:spacing w:before="120" w:after="283"/>
        <w:ind w:left="0" w:right="0" w:hanging="0"/>
        <w:jc w:val="left"/>
        <w:rPr>
          <w:rFonts w:ascii="Times New Roman;Times;serif" w:hAnsi="Times New Roman;Times;serif"/>
          <w:b/>
          <w:color w:val="000000"/>
          <w:sz w:val="20"/>
        </w:rPr>
      </w:pPr>
      <w:bookmarkStart w:id="245" w:name="tAE"/>
      <w:bookmarkEnd w:id="245"/>
      <w:r>
        <w:rPr>
          <w:rFonts w:ascii="Times New Roman;Times;serif" w:hAnsi="Times New Roman;Times;serif"/>
          <w:b/>
          <w:color w:val="000000"/>
          <w:sz w:val="20"/>
        </w:rPr>
        <w:t>Auditor Independence</w:t>
      </w:r>
    </w:p>
    <w:p>
      <w:pPr>
        <w:pStyle w:val="TextBody"/>
        <w:spacing w:lineRule="atLeast" w:line="23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2022, there were no other professional services provided by Ernst &amp; Young LLP, other than those listed above, that would have required our audit committee to consider their compatibility with maintaining the independence of Ernst &amp; Young LLP.</w:t>
      </w:r>
    </w:p>
    <w:p>
      <w:pPr>
        <w:pStyle w:val="TextBody"/>
        <w:spacing w:before="120" w:after="283"/>
        <w:ind w:left="0" w:right="0" w:hanging="0"/>
        <w:jc w:val="left"/>
        <w:rPr>
          <w:rFonts w:ascii="Times New Roman;Times;serif" w:hAnsi="Times New Roman;Times;serif"/>
          <w:b/>
          <w:color w:val="000000"/>
          <w:sz w:val="20"/>
        </w:rPr>
      </w:pPr>
      <w:bookmarkStart w:id="246" w:name="tACP"/>
      <w:bookmarkEnd w:id="246"/>
      <w:r>
        <w:rPr>
          <w:rFonts w:ascii="Times New Roman;Times;serif" w:hAnsi="Times New Roman;Times;serif"/>
          <w:b/>
          <w:color w:val="000000"/>
          <w:sz w:val="20"/>
        </w:rPr>
        <w:t>Audit Committee Policy on Pre-Approval of Audit and Permissible Non-Audit Services of Independent Registered Public Accounting Firm</w:t>
      </w:r>
    </w:p>
    <w:p>
      <w:pPr>
        <w:pStyle w:val="TextBody"/>
        <w:spacing w:lineRule="atLeast" w:line="23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All services provided by Ernst &amp; Young LLP for our fiscal years ended December 31, 2022 and 2021 were pre-approved by our audit committee.</w:t>
      </w:r>
    </w:p>
    <w:p>
      <w:pPr>
        <w:pStyle w:val="TextBody"/>
        <w:spacing w:before="120" w:after="283"/>
        <w:ind w:left="0" w:right="0" w:hanging="0"/>
        <w:jc w:val="left"/>
        <w:rPr>
          <w:rFonts w:ascii="Times New Roman;Times;serif" w:hAnsi="Times New Roman;Times;serif"/>
          <w:b/>
          <w:color w:val="000000"/>
          <w:sz w:val="20"/>
        </w:rPr>
      </w:pPr>
      <w:bookmarkStart w:id="247" w:name="tVQ"/>
      <w:bookmarkEnd w:id="247"/>
      <w:r>
        <w:rPr>
          <w:rFonts w:ascii="Times New Roman;Times;serif" w:hAnsi="Times New Roman;Times;serif"/>
          <w:b/>
          <w:color w:val="000000"/>
          <w:sz w:val="20"/>
        </w:rPr>
        <w:t>Vote Required</w:t>
      </w:r>
    </w:p>
    <w:p>
      <w:pPr>
        <w:pStyle w:val="TextBody"/>
        <w:spacing w:lineRule="atLeast" w:line="230"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ratification of the appointment of Ernst &amp; Young LLP as our independent registered public accounting firm for our fiscal year ending December 31, 2023 requires the affirmative vote of a majority of the voting power of the shares present in person (including virtually) or represented by proxy at the Annual Meeting and entitled to vote thereon. Abstentions will have the same effect as a vote AGAINST this proposal.</w:t>
      </w:r>
    </w:p>
    <w:p>
      <w:pPr>
        <w:pStyle w:val="TextBody"/>
        <w:spacing w:before="120" w:after="283"/>
        <w:ind w:left="0" w:right="0" w:hanging="0"/>
        <w:jc w:val="left"/>
        <w:rPr>
          <w:rFonts w:ascii="Times New Roman;Times;serif" w:hAnsi="Times New Roman;Times;serif"/>
          <w:b/>
          <w:color w:val="000000"/>
          <w:sz w:val="20"/>
        </w:rPr>
      </w:pPr>
      <w:bookmarkStart w:id="248" w:name="tBI"/>
      <w:bookmarkEnd w:id="248"/>
      <w:r>
        <w:rPr>
          <w:rFonts w:ascii="Times New Roman;Times;serif" w:hAnsi="Times New Roman;Times;serif"/>
          <w:b/>
          <w:color w:val="000000"/>
          <w:sz w:val="20"/>
        </w:rPr>
        <w:t>Board Recommendation</w:t>
      </w:r>
    </w:p>
    <w:p>
      <w:pPr>
        <w:pStyle w:val="TextBody"/>
        <w:spacing w:lineRule="atLeast" w:line="230"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OUR BOARD OF DIRECTORS RECOMMENDS A VOTE “FOR” THE RATIFICATION OF THE APPOINTMENT OF ERNST &amp; YOUNG LLP AS OUR INDEPENDENT REGISTERED PUBLIC ACCOUNTING FIRM FOR OUR FISCAL YEAR ENDING DECEMBER 31, 2023.</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9" w:name="DSPFPageBreakArea38"/>
      <w:bookmarkStart w:id="250" w:name="DSPFPageBreakArea38"/>
      <w:bookmarkEnd w:id="25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51" w:name="DSPFPageBreak38"/>
      <w:bookmarkStart w:id="252" w:name="DSPFPageBreak38"/>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53" w:name="ny20006675x1_def14a_114-audit_pg1"/>
        <w:bookmarkEnd w:id="25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54" w:name="tRTC"/>
      <w:bookmarkEnd w:id="254"/>
      <w:r>
        <w:rPr>
          <w:rFonts w:ascii="Times New Roman;Times;serif" w:hAnsi="Times New Roman;Times;serif"/>
          <w:b/>
          <w:color w:val="000000"/>
          <w:sz w:val="20"/>
        </w:rPr>
        <w:t>REPORT OF THE AUDIT COMMITTEE</w:t>
      </w:r>
    </w:p>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The information contained in the following Audit Committee Report shall not be deemed to be soliciting material or to be filed with the SEC or to the liabilities of Section 18 of the Exchange Act, nor shall such information be incorporated by reference into any prior or future filing under the Exchange Act, except to the extent that PMV Pharmaceuticals, Inc. specifically incorporates it by reference in such filing.</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audit committee serves as the representative of the board of directors with respect to its oversight of:</w:t>
      </w:r>
    </w:p>
    <w:tbl>
      <w:tblPr>
        <w:tblW w:w="8170" w:type="dxa"/>
        <w:jc w:val="left"/>
        <w:tblInd w:w="0" w:type="dxa"/>
        <w:tblCellMar>
          <w:top w:w="0" w:type="dxa"/>
          <w:left w:w="0" w:type="dxa"/>
          <w:bottom w:w="0" w:type="dxa"/>
          <w:right w:w="0" w:type="dxa"/>
        </w:tblCellMar>
      </w:tblPr>
      <w:tblGrid>
        <w:gridCol w:w="110"/>
        <w:gridCol w:w="80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0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Company’s accounting and financial reporting processes and internal controls of the Company;</w:t>
            </w:r>
          </w:p>
        </w:tc>
      </w:tr>
    </w:tbl>
    <w:tbl>
      <w:tblPr>
        <w:tblW w:w="4810" w:type="dxa"/>
        <w:jc w:val="left"/>
        <w:tblInd w:w="0" w:type="dxa"/>
        <w:tblCellMar>
          <w:top w:w="0" w:type="dxa"/>
          <w:left w:w="0" w:type="dxa"/>
          <w:bottom w:w="0" w:type="dxa"/>
          <w:right w:w="0" w:type="dxa"/>
        </w:tblCellMar>
      </w:tblPr>
      <w:tblGrid>
        <w:gridCol w:w="110"/>
        <w:gridCol w:w="47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7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audit integrity of the Company’s financial statements;</w:t>
            </w:r>
          </w:p>
        </w:tc>
      </w:tr>
    </w:tbl>
    <w:tbl>
      <w:tblPr>
        <w:tblW w:w="5590" w:type="dxa"/>
        <w:jc w:val="left"/>
        <w:tblInd w:w="0" w:type="dxa"/>
        <w:tblCellMar>
          <w:top w:w="0" w:type="dxa"/>
          <w:left w:w="0" w:type="dxa"/>
          <w:bottom w:w="0" w:type="dxa"/>
          <w:right w:w="0" w:type="dxa"/>
        </w:tblCellMar>
      </w:tblPr>
      <w:tblGrid>
        <w:gridCol w:w="110"/>
        <w:gridCol w:w="548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4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Company’s compliance with legal and regulatory requirements;</w:t>
            </w:r>
          </w:p>
        </w:tc>
      </w:tr>
    </w:tbl>
    <w:tbl>
      <w:tblPr>
        <w:tblW w:w="7840" w:type="dxa"/>
        <w:jc w:val="left"/>
        <w:tblInd w:w="0" w:type="dxa"/>
        <w:tblCellMar>
          <w:top w:w="0" w:type="dxa"/>
          <w:left w:w="0" w:type="dxa"/>
          <w:bottom w:w="0" w:type="dxa"/>
          <w:right w:w="0" w:type="dxa"/>
        </w:tblCellMar>
      </w:tblPr>
      <w:tblGrid>
        <w:gridCol w:w="110"/>
        <w:gridCol w:w="77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7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qualifications, independence and performance of the Company’s independent auditors; and</w:t>
            </w:r>
          </w:p>
        </w:tc>
      </w:tr>
    </w:tbl>
    <w:tbl>
      <w:tblPr>
        <w:tblW w:w="7630" w:type="dxa"/>
        <w:jc w:val="left"/>
        <w:tblInd w:w="0" w:type="dxa"/>
        <w:tblCellMar>
          <w:top w:w="0" w:type="dxa"/>
          <w:left w:w="0" w:type="dxa"/>
          <w:bottom w:w="0" w:type="dxa"/>
          <w:right w:w="0" w:type="dxa"/>
        </w:tblCellMar>
      </w:tblPr>
      <w:tblGrid>
        <w:gridCol w:w="110"/>
        <w:gridCol w:w="75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5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implementation and performance of the Company’s internal audit function, if applicable.</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audit committee also reviews the performance of the Company’s independent registered public accounting firm, Ernst &amp; Young LLP, in the annual audit of the Company’s financial statements and in assignments unrelated to the audit, and reviews the independent registered public accounting firm’s fees.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audit committee is composed of three non-employee directors. The board of directors has determined that Ms. Stelzer, Dr. Heyman and Ms. Flowers are each independent and that Ms. Stelzer is an “audit committee financial expert” under rules of the SEC.</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audit committee provides the board of directors such information and materials as it may deem necessary to make the board of directors aware of financial matters requiring the attention of the board of directors. The audit committee reviews the Company’s financial disclosures and meets privately, outside the presence of management, with the Company’s independent registered public accounting firm. In fulfilling its oversight responsibilities, the audit committee reviewed and discussed the audited financial statements in the Company’s 2022 Annual Report on Form 10-K with management, including a discussion of the quality and substance of the accounting principles, the reasonableness of significant judgments made in connection with the audited financial statements, and the clarity of disclosures in the financial statements. The audit committee reports on these meetings to the board of directors.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reviewed and discussed the Company’s audited consolidated financial statements with management and Ernst &amp; Young LLP, the Company’s independent registered public accounting firm. The audit committee has discussed with Ernst &amp; Young LLP the matters required to be discussed by Auditing Standard No. 1301, </w:t>
      </w:r>
      <w:r>
        <w:rPr>
          <w:rFonts w:ascii="Times New Roman;Times;serif" w:hAnsi="Times New Roman;Times;serif"/>
          <w:i/>
          <w:color w:val="000000"/>
          <w:sz w:val="20"/>
        </w:rPr>
        <w:t>Communications with Audit Committees</w:t>
      </w:r>
      <w:r>
        <w:rPr>
          <w:rFonts w:ascii="Times New Roman;Times;serif" w:hAnsi="Times New Roman;Times;serif"/>
          <w:color w:val="000000"/>
          <w:sz w:val="20"/>
        </w:rPr>
        <w:t>, issued by the Public Company Accounting Oversight Board (“PCAOB”) and the applicable requirements of the SEC.</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received and reviewed the written disclosures and the letter from Ernst &amp; Young LLP required by the applicable requirements of the PCAOB regarding Ernst &amp; Young LLP’s communications with the audit committee concerning independence, and has discussed with Ernst &amp; Young LLP its independence. In addition, the audit committee has discussed with Ernst &amp; Young LLP its independence from management and the Company, including matters in the letter from Ernst &amp; Young LLP required by PCAOB Rule 3526, </w:t>
      </w:r>
      <w:r>
        <w:rPr>
          <w:rFonts w:ascii="Times New Roman;Times;serif" w:hAnsi="Times New Roman;Times;serif"/>
          <w:i/>
          <w:color w:val="000000"/>
          <w:sz w:val="20"/>
        </w:rPr>
        <w:t>Communication with Audit Committees Concerning Independence</w:t>
      </w:r>
      <w:r>
        <w:rPr>
          <w:rFonts w:ascii="Times New Roman;Times;serif" w:hAnsi="Times New Roman;Times;serif"/>
          <w:color w:val="000000"/>
          <w:sz w:val="20"/>
        </w:rPr>
        <w:t>, and considered the compatibility of non-audit services with Ernst &amp; Young LLP’s independence.</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Based on the review and discussions referred to above, the audit committee recommended to the board of directors that the Company’s audited consolidated financial statements be included in the Company’s Annual Report on Form 10-K for the fiscal year ended December 31, 2022 for filing with the SEC. The audit committee also has selected Ernst &amp; Young LLP as the independent registered public accounting firm for fiscal year 2023. The board of directors recommends that stockholders ratify this selection at the Annual Meeting.</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Respectfully submitted by the members of the audit committee of the board of directors:</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Laurie Stelzer (Chair)</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Heyman, Ph.D.</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Kirsten Flowers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55" w:name="DSPFPageBreakArea39"/>
      <w:bookmarkStart w:id="256" w:name="DSPFPageBreakArea39"/>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57" w:name="DSPFPageBreak39"/>
      <w:bookmarkStart w:id="258" w:name="DSPFPageBreak39"/>
      <w:bookmarkEnd w:id="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59" w:name="ny20006675x1_def14a_115-other_pg1"/>
        <w:bookmarkEnd w:id="25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60" w:name="tOM"/>
      <w:bookmarkEnd w:id="260"/>
      <w:r>
        <w:rPr>
          <w:rFonts w:ascii="Times New Roman;Times;serif" w:hAnsi="Times New Roman;Times;serif"/>
          <w:b/>
          <w:color w:val="000000"/>
          <w:sz w:val="20"/>
        </w:rPr>
        <w:t>OTHER MATTERS</w:t>
      </w:r>
    </w:p>
    <w:p>
      <w:pPr>
        <w:pStyle w:val="TextBody"/>
        <w:spacing w:before="390" w:after="283"/>
        <w:ind w:left="0" w:right="0" w:hanging="0"/>
        <w:jc w:val="left"/>
        <w:rPr>
          <w:rFonts w:ascii="Times New Roman;Times;serif" w:hAnsi="Times New Roman;Times;serif"/>
          <w:b/>
          <w:color w:val="000000"/>
          <w:sz w:val="20"/>
        </w:rPr>
      </w:pPr>
      <w:bookmarkStart w:id="261" w:name="tSPN"/>
      <w:bookmarkEnd w:id="261"/>
      <w:r>
        <w:rPr>
          <w:rFonts w:ascii="Times New Roman;Times;serif" w:hAnsi="Times New Roman;Times;serif"/>
          <w:b/>
          <w:color w:val="000000"/>
          <w:sz w:val="20"/>
        </w:rPr>
        <w:t>Stockholder Proposals or Director Nominations for 2024 Annual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a stockholder would like us to consider including a proposal in our proxy statement for our 2024 annual meeting pursuant to Rule 14a-8 of the Exchange Act, then the proposal must be received by our corporate secretary at our principal executive offices on or before December 30, 2023. In addition, stockholder proposals must comply with the requirements of Rule 14a-8 regarding the inclusion of stockholder proposals in company-sponsored proxy materials. Proposals should be addressed to:</w:t>
      </w:r>
    </w:p>
    <w:p>
      <w:pPr>
        <w:pStyle w:val="TextBody"/>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PMV Pharmaceuticals,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Attention: Corporate Secretary</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One Research Way</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Princeton, New Jersey 08540</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amended and restated bylaws also establish an advance notice procedure for stockholders who wish to present a proposal or nominate a director at an annual meeting, but do not seek to include the proposal or director nominee in our proxy statement. In order to be properly brought before our 2024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w:t>
      </w:r>
    </w:p>
    <w:tbl>
      <w:tblPr>
        <w:tblW w:w="4915" w:type="dxa"/>
        <w:jc w:val="left"/>
        <w:tblInd w:w="0" w:type="dxa"/>
        <w:tblCellMar>
          <w:top w:w="0" w:type="dxa"/>
          <w:left w:w="0" w:type="dxa"/>
          <w:bottom w:w="0" w:type="dxa"/>
          <w:right w:w="0" w:type="dxa"/>
        </w:tblCellMar>
      </w:tblPr>
      <w:tblGrid>
        <w:gridCol w:w="110"/>
        <w:gridCol w:w="48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8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no earlier than 8:00 a.m., Eastern, on February 9, 2024; and</w:t>
            </w:r>
          </w:p>
        </w:tc>
      </w:tr>
    </w:tbl>
    <w:tbl>
      <w:tblPr>
        <w:tblW w:w="4330" w:type="dxa"/>
        <w:jc w:val="left"/>
        <w:tblInd w:w="0" w:type="dxa"/>
        <w:tblCellMar>
          <w:top w:w="0" w:type="dxa"/>
          <w:left w:w="0" w:type="dxa"/>
          <w:bottom w:w="0" w:type="dxa"/>
          <w:right w:w="0" w:type="dxa"/>
        </w:tblCellMar>
      </w:tblPr>
      <w:tblGrid>
        <w:gridCol w:w="110"/>
        <w:gridCol w:w="42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2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no later than 5:00 p.m., Eastern, on March 10, 2024.</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the event that we hold our 2024 annual meeting more or less than 25 days after the one-year anniversary of this year’s annual meeting, then such written notice must be received by our corporate secretary at our principal executive offices:</w:t>
      </w:r>
    </w:p>
    <w:tbl>
      <w:tblPr>
        <w:tblW w:w="8245" w:type="dxa"/>
        <w:jc w:val="left"/>
        <w:tblInd w:w="0" w:type="dxa"/>
        <w:tblCellMar>
          <w:top w:w="0" w:type="dxa"/>
          <w:left w:w="0" w:type="dxa"/>
          <w:bottom w:w="0" w:type="dxa"/>
          <w:right w:w="0" w:type="dxa"/>
        </w:tblCellMar>
      </w:tblPr>
      <w:tblGrid>
        <w:gridCol w:w="110"/>
        <w:gridCol w:w="81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1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no earlier than 8:00 a.m., Eastern, on the 120th day prior to the day of our 2024 annual meeting;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no later than 5:00 p.m., Eastern, on the 90th day prior to the day of our 2024 annual meeting or, if the first public announcement of the date of such annual meeting is less than 100 days prior to the date of such annual meeting, the 10th day following the day on which public announcement of the date of the annual meeting is first made by us.</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addition, we are required under new SEC Rule 14a-19 to include on our proxy card all nominees for director for whom we have received notice under the rule, which must be received no later than 60 calendar days prior to the anniversary of the previous year’s annual meeting. For any such director nominee to be included on our proxy card for our 2024 annual meeting of stockholders, our corporate secretary must receive notice under SEC Rule 14a-19 no later than April 9, 2024. Please note that the notice requirements under SEC Rule 14a-19 is in addition to the applicable notice requirements under the advance notice provisions of our amended and restated bylaws described above.</w:t>
      </w:r>
    </w:p>
    <w:p>
      <w:pPr>
        <w:pStyle w:val="TextBody"/>
        <w:spacing w:before="410" w:after="283"/>
        <w:ind w:left="0" w:right="0" w:hanging="0"/>
        <w:jc w:val="left"/>
        <w:rPr>
          <w:rFonts w:ascii="Times New Roman;Times;serif" w:hAnsi="Times New Roman;Times;serif"/>
          <w:b/>
          <w:color w:val="000000"/>
          <w:sz w:val="20"/>
        </w:rPr>
      </w:pPr>
      <w:bookmarkStart w:id="262" w:name="tAAB"/>
      <w:bookmarkEnd w:id="262"/>
      <w:r>
        <w:rPr>
          <w:rFonts w:ascii="Times New Roman;Times;serif" w:hAnsi="Times New Roman;Times;serif"/>
          <w:b/>
          <w:color w:val="000000"/>
          <w:sz w:val="20"/>
        </w:rPr>
        <w:t>Availability of Amended and Restated Bylaws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copy of our amended and restated bylaws may be obtained by accessing our filings on the SEC’s website at </w:t>
      </w:r>
      <w:r>
        <w:rPr>
          <w:rFonts w:ascii="Times New Roman;Times;serif" w:hAnsi="Times New Roman;Times;serif"/>
          <w:i/>
          <w:color w:val="000000"/>
          <w:sz w:val="20"/>
        </w:rPr>
        <w:t>www.sec.gov</w:t>
      </w:r>
      <w:r>
        <w:rPr>
          <w:rFonts w:ascii="Times New Roman;Times;serif" w:hAnsi="Times New Roman;Times;serif"/>
          <w:color w:val="000000"/>
          <w:sz w:val="20"/>
        </w:rPr>
        <w:t>. You may also contact our corporate secretary at our principal executive offices for a copy of the relevant bylaw provisions regarding the requirements for making stockholder proposals and nominating director candidates.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3" w:name="DSPFPageBreakArea40"/>
      <w:bookmarkStart w:id="264" w:name="DSPFPageBreakArea40"/>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5" w:name="DSPFPageBreak40"/>
      <w:bookmarkStart w:id="266" w:name="DSPFPageBreak40"/>
      <w:bookmarkEnd w:id="2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67" w:name="ny20006675x1_def14a_115-other_pg2"/>
        <w:bookmarkEnd w:id="26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268" w:name="tAO"/>
      <w:bookmarkEnd w:id="268"/>
      <w:r>
        <w:rPr>
          <w:rFonts w:ascii="Times New Roman;Times;serif" w:hAnsi="Times New Roman;Times;serif"/>
          <w:b/>
          <w:color w:val="000000"/>
          <w:sz w:val="20"/>
        </w:rPr>
        <w:t>2022 Annual Report</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financial statements for our fiscal year ended December 31, 2022 are included in our annual report, which we will make available to stockholders at the same time as this proxy statement. Our proxy materials and our annual report are posted on our website at ir.pmvpharma.com and are available from the SEC at its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w:t>
      </w:r>
      <w:r>
        <w:rPr>
          <w:rFonts w:ascii="Times New Roman;Times;serif" w:hAnsi="Times New Roman;Times;serif"/>
          <w:b/>
          <w:color w:val="000000"/>
          <w:sz w:val="20"/>
        </w:rPr>
        <w:t>You may also obtain a copy of our annual report, free of charge, by sending a written request to PMV Pharmaceuticals, Inc., One Research Way, Princeton, New Jersey 08540, Attention: Corporate Secretary.</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spacing w:before="170" w:after="283"/>
        <w:jc w:val="center"/>
        <w:rPr>
          <w:rFonts w:ascii="Times New Roman;Times;serif" w:hAnsi="Times New Roman;Times;serif"/>
          <w:color w:val="000000"/>
          <w:sz w:val="20"/>
        </w:rPr>
      </w:pPr>
      <w:r>
        <w:rPr>
          <w:rFonts w:ascii="Times New Roman;Times;serif" w:hAnsi="Times New Roman;Times;serif"/>
          <w:color w:val="000000"/>
          <w:sz w:val="20"/>
        </w:rPr>
        <w:t>* * *</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 is important that your shares be represented at the Annual Meeting, regardless of the number of shares that you hold. You are, therefore, urged to vote as promptly as possible to ensure your vote is recorded.</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w:t>
      </w:r>
    </w:p>
    <w:p>
      <w:pPr>
        <w:pStyle w:val="TextBody"/>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Princeton, New Jersey</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28, 2023</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9" w:name="DSPFPageBreakArea41"/>
      <w:bookmarkStart w:id="270" w:name="DSPFPageBreakArea41"/>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71" w:name="DSPFPageBreak41"/>
      <w:bookmarkStart w:id="272" w:name="DSPFPageBreak41"/>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73" w:name="ny20006675x1_def14a_300-proxycard_pg1"/>
        <w:bookmarkEnd w:id="27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6991350" cy="9048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991350" cy="904875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4" w:name="DSPFPageBreakArea42"/>
      <w:bookmarkStart w:id="275" w:name="DSPFPageBreakArea42"/>
      <w:bookmarkEnd w:id="27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76" w:name="DSPFPageBreak42"/>
      <w:bookmarkStart w:id="277" w:name="DSPFPageBreak42"/>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78" w:name="ny20006675x1_def14a_300-proxycard_pg2"/>
        <w:bookmarkEnd w:id="27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6991350" cy="9048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991350" cy="904875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24495</Words>
  <CharactersWithSpaces>156303</CharactersWithSpaces>
  <Paragraphs>3370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